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BACAC" w14:textId="2E44FFD5" w:rsidR="0057334E" w:rsidRPr="0057334E" w:rsidRDefault="0057334E" w:rsidP="0057334E">
      <w:pPr>
        <w:spacing w:before="360"/>
        <w:outlineLvl w:val="0"/>
        <w:rPr>
          <w:color w:val="FFFFFF" w:themeColor="background1"/>
          <w:sz w:val="34"/>
          <w:szCs w:val="34"/>
        </w:rPr>
      </w:pPr>
      <w:bookmarkStart w:id="0" w:name="_Toc432437392"/>
      <w:r w:rsidRPr="0057334E">
        <w:rPr>
          <w:b/>
          <w:color w:val="FFFFFF" w:themeColor="background1"/>
          <w:sz w:val="100"/>
          <w:szCs w:val="100"/>
        </w:rPr>
        <w:t>Harnessing the power of defaults</w:t>
      </w:r>
      <w:r w:rsidRPr="0057334E">
        <w:rPr>
          <w:b/>
          <w:color w:val="FFFFFF" w:themeColor="background1"/>
          <w:sz w:val="100"/>
          <w:szCs w:val="100"/>
        </w:rPr>
        <w:br/>
      </w:r>
      <w:r w:rsidRPr="0057334E">
        <w:rPr>
          <w:color w:val="FFFFFF" w:themeColor="background1"/>
          <w:sz w:val="34"/>
          <w:szCs w:val="34"/>
        </w:rPr>
        <w:t>Governance Note</w:t>
      </w:r>
    </w:p>
    <w:p w14:paraId="52F8879E" w14:textId="1986CE5B" w:rsidR="008253C4" w:rsidRDefault="00943711" w:rsidP="00523110">
      <w:pPr>
        <w:pStyle w:val="NoSpacing"/>
      </w:pPr>
      <w:r>
        <w:rPr>
          <w:noProof/>
        </w:rPr>
        <mc:AlternateContent>
          <mc:Choice Requires="wps">
            <w:drawing>
              <wp:anchor distT="0" distB="0" distL="114300" distR="114300" simplePos="0" relativeHeight="251662336" behindDoc="0" locked="0" layoutInCell="1" allowOverlap="1" wp14:anchorId="205C5D23" wp14:editId="63A72E2E">
                <wp:simplePos x="0" y="0"/>
                <wp:positionH relativeFrom="margin">
                  <wp:posOffset>0</wp:posOffset>
                </wp:positionH>
                <wp:positionV relativeFrom="bottomMargin">
                  <wp:posOffset>351804</wp:posOffset>
                </wp:positionV>
                <wp:extent cx="4798800" cy="669600"/>
                <wp:effectExtent l="0" t="0" r="1905" b="16510"/>
                <wp:wrapSquare wrapText="bothSides"/>
                <wp:docPr id="48" name="Text Box 48"/>
                <wp:cNvGraphicFramePr/>
                <a:graphic xmlns:a="http://schemas.openxmlformats.org/drawingml/2006/main">
                  <a:graphicData uri="http://schemas.microsoft.com/office/word/2010/wordprocessingShape">
                    <wps:wsp>
                      <wps:cNvSpPr txBox="1"/>
                      <wps:spPr>
                        <a:xfrm>
                          <a:off x="0" y="0"/>
                          <a:ext cx="4798800" cy="66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FEEFC1" w14:textId="77777777" w:rsidR="00943711" w:rsidRPr="00472278" w:rsidRDefault="00943711" w:rsidP="00943711">
                            <w:pPr>
                              <w:pStyle w:val="Normal11pt"/>
                              <w:rPr>
                                <w:b/>
                                <w:color w:val="FFFFFF" w:themeColor="background1"/>
                              </w:rPr>
                            </w:pPr>
                            <w:r w:rsidRPr="00472278">
                              <w:rPr>
                                <w:b/>
                                <w:color w:val="FFFFFF" w:themeColor="background1"/>
                              </w:rPr>
                              <w:t>pmc.gov.au/beta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C5D23" id="_x0000_t202" coordsize="21600,21600" o:spt="202" path="m,l,21600r21600,l21600,xe">
                <v:stroke joinstyle="miter"/>
                <v:path gradientshapeok="t" o:connecttype="rect"/>
              </v:shapetype>
              <v:shape id="Text Box 48" o:spid="_x0000_s1026" type="#_x0000_t202" style="position:absolute;margin-left:0;margin-top:27.7pt;width:377.85pt;height:52.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" filled="f" stroked="f">
                <v:textbox inset="0,0,0,0">
                  <w:txbxContent>
                    <w:p w14:paraId="32FEEFC1" w14:textId="77777777" w:rsidR="00943711" w:rsidRPr="00472278" w:rsidRDefault="00943711" w:rsidP="00943711">
                      <w:pPr>
                        <w:pStyle w:val="Normal11pt"/>
                        <w:rPr>
                          <w:b/>
                          <w:color w:val="FFFFFF" w:themeColor="background1"/>
                        </w:rPr>
                      </w:pPr>
                      <w:r w:rsidRPr="00472278">
                        <w:rPr>
                          <w:b/>
                          <w:color w:val="FFFFFF" w:themeColor="background1"/>
                        </w:rPr>
                        <w:t>pmc.gov.au/beta</w:t>
                      </w:r>
                    </w:p>
                  </w:txbxContent>
                </v:textbox>
                <w10:wrap type="square" anchorx="margin" anchory="margin"/>
              </v:shape>
            </w:pict>
          </mc:Fallback>
        </mc:AlternateContent>
      </w:r>
    </w:p>
    <w:p w14:paraId="22B5E939" w14:textId="77777777" w:rsidR="008253C4" w:rsidRDefault="008253C4" w:rsidP="00C85DE1">
      <w:pPr>
        <w:pStyle w:val="WhiteCoverHeading"/>
        <w:sectPr w:rsidR="008253C4" w:rsidSect="0057334E">
          <w:headerReference w:type="default" r:id="rId11"/>
          <w:pgSz w:w="11906" w:h="16838" w:code="9"/>
          <w:pgMar w:top="2041" w:right="1841" w:bottom="1701" w:left="1247" w:header="720" w:footer="851" w:gutter="0"/>
          <w:pgNumType w:start="0"/>
          <w:cols w:space="708"/>
          <w:docGrid w:linePitch="360"/>
        </w:sectPr>
      </w:pPr>
      <w:bookmarkStart w:id="1" w:name="_GoBack"/>
      <w:bookmarkEnd w:id="1"/>
    </w:p>
    <w:p w14:paraId="37C0F94A" w14:textId="77777777" w:rsidR="004909C3" w:rsidRPr="004909C3" w:rsidRDefault="004909C3" w:rsidP="0057334E">
      <w:pPr>
        <w:pStyle w:val="LargeH1"/>
        <w:outlineLvl w:val="1"/>
      </w:pPr>
      <w:r w:rsidRPr="007F1EC8">
        <w:lastRenderedPageBreak/>
        <w:t>Who</w:t>
      </w:r>
      <w:r w:rsidRPr="004909C3">
        <w:t>?</w:t>
      </w:r>
    </w:p>
    <w:p w14:paraId="01284D99" w14:textId="77777777" w:rsidR="004909C3" w:rsidRPr="0057334E" w:rsidRDefault="004909C3" w:rsidP="0057334E">
      <w:pPr>
        <w:pStyle w:val="h3"/>
      </w:pPr>
      <w:r w:rsidRPr="0057334E">
        <w:t>Who are we?</w:t>
      </w:r>
    </w:p>
    <w:p w14:paraId="0235A587" w14:textId="77777777" w:rsidR="004909C3" w:rsidRPr="004909C3" w:rsidRDefault="004909C3" w:rsidP="00DE2306">
      <w:pPr>
        <w:pStyle w:val="Normal11pt"/>
      </w:pPr>
      <w:r w:rsidRPr="004909C3">
        <w:t xml:space="preserve">We are the Behavioural Economics Team of the Australian Government, or BETA. We are the Australian Government’s first central unit applying behavioural economics to improve public policy, programs and processes. </w:t>
      </w:r>
    </w:p>
    <w:p w14:paraId="5F1BCF55" w14:textId="77777777" w:rsidR="004909C3" w:rsidRPr="004909C3" w:rsidRDefault="004909C3" w:rsidP="00DE2306">
      <w:pPr>
        <w:pStyle w:val="Normal11pt"/>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48EDEA6C" w14:textId="77777777" w:rsidR="004909C3" w:rsidRPr="004909C3" w:rsidRDefault="004909C3" w:rsidP="0057334E">
      <w:pPr>
        <w:pStyle w:val="h3"/>
      </w:pPr>
      <w:r w:rsidRPr="004909C3">
        <w:t>What is behavioural economics?</w:t>
      </w:r>
    </w:p>
    <w:p w14:paraId="6A470A19" w14:textId="77777777" w:rsidR="004909C3" w:rsidRPr="004909C3" w:rsidRDefault="004909C3" w:rsidP="00DE2306">
      <w:pPr>
        <w:pStyle w:val="Normal11pt"/>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425B4B41" w14:textId="77777777" w:rsidR="004909C3" w:rsidRPr="004909C3" w:rsidRDefault="004909C3" w:rsidP="0057334E">
      <w:pPr>
        <w:pStyle w:val="h3"/>
      </w:pPr>
      <w:r w:rsidRPr="004909C3">
        <w:t>What are behavioural insights and how are they useful for policy design?</w:t>
      </w:r>
      <w:r w:rsidR="00E76E12">
        <w:t xml:space="preserve"> </w:t>
      </w:r>
    </w:p>
    <w:p w14:paraId="4362E537" w14:textId="77777777" w:rsidR="004909C3" w:rsidRPr="004909C3" w:rsidRDefault="004909C3" w:rsidP="00DE2306">
      <w:pPr>
        <w:pStyle w:val="Normal11pt"/>
      </w:pPr>
      <w:r w:rsidRPr="004909C3">
        <w:t>Behavioural insights apply behavioural economics concepts to the real world by drawing on empirically-tested results. These new tools can inform the design of government interventions to improve the welfare of citizens.</w:t>
      </w:r>
    </w:p>
    <w:p w14:paraId="44003856" w14:textId="77777777" w:rsidR="004909C3" w:rsidRDefault="004909C3" w:rsidP="00DE2306">
      <w:pPr>
        <w:pStyle w:val="Normal11pt"/>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577E0E69" w14:textId="74B940F3" w:rsidR="00830E2C" w:rsidRDefault="004909C3" w:rsidP="00501BE9">
      <w:r w:rsidRPr="00501BE9">
        <w:br w:type="page"/>
      </w:r>
    </w:p>
    <w:p w14:paraId="05C81A95" w14:textId="77777777" w:rsidR="0057334E" w:rsidRDefault="0057334E" w:rsidP="0057334E">
      <w:pPr>
        <w:pStyle w:val="TOCHeading"/>
        <w:outlineLvl w:val="1"/>
      </w:pPr>
      <w:r>
        <w:lastRenderedPageBreak/>
        <w:t>Contents</w:t>
      </w:r>
    </w:p>
    <w:bookmarkEnd w:id="0" w:displacedByCustomXml="next"/>
    <w:sdt>
      <w:sdtPr>
        <w:rPr>
          <w:b w:val="0"/>
          <w:bCs/>
          <w:sz w:val="22"/>
        </w:rPr>
        <w:id w:val="667208857"/>
        <w:docPartObj>
          <w:docPartGallery w:val="Table of Contents"/>
          <w:docPartUnique/>
        </w:docPartObj>
      </w:sdtPr>
      <w:sdtEndPr>
        <w:rPr>
          <w:bCs w:val="0"/>
          <w:sz w:val="20"/>
        </w:rPr>
      </w:sdtEndPr>
      <w:sdtContent>
        <w:p w14:paraId="6A93CB17" w14:textId="43B0771C" w:rsidR="008A2A47" w:rsidRDefault="00CB1ED4">
          <w:pPr>
            <w:pStyle w:val="TOC1"/>
            <w:rPr>
              <w:rFonts w:eastAsiaTheme="minorEastAsia" w:cstheme="minorBidi"/>
              <w:b w:val="0"/>
              <w:color w:val="auto"/>
              <w:sz w:val="24"/>
              <w:lang w:val="en-US" w:eastAsia="en-US"/>
            </w:rPr>
          </w:pPr>
          <w:r>
            <w:fldChar w:fldCharType="begin"/>
          </w:r>
          <w:r>
            <w:instrText xml:space="preserve"> TOC \h \z \t "Heading 1,1,Large H1,1,Appendix Heading,2" </w:instrText>
          </w:r>
          <w:r>
            <w:fldChar w:fldCharType="separate"/>
          </w:r>
          <w:hyperlink w:anchor="_Toc516665917" w:history="1">
            <w:r w:rsidR="008A2A47" w:rsidRPr="00FE7C2D">
              <w:rPr>
                <w:rStyle w:val="Hyperlink"/>
              </w:rPr>
              <w:t>Harnessing the power of defaults</w:t>
            </w:r>
            <w:r w:rsidR="008A2A47">
              <w:rPr>
                <w:webHidden/>
              </w:rPr>
              <w:tab/>
            </w:r>
            <w:r w:rsidR="008A2A47">
              <w:rPr>
                <w:webHidden/>
              </w:rPr>
              <w:fldChar w:fldCharType="begin"/>
            </w:r>
            <w:r w:rsidR="008A2A47">
              <w:rPr>
                <w:webHidden/>
              </w:rPr>
              <w:instrText xml:space="preserve"> PAGEREF _Toc516665917 \h </w:instrText>
            </w:r>
            <w:r w:rsidR="008A2A47">
              <w:rPr>
                <w:webHidden/>
              </w:rPr>
            </w:r>
            <w:r w:rsidR="008A2A47">
              <w:rPr>
                <w:webHidden/>
              </w:rPr>
              <w:fldChar w:fldCharType="separate"/>
            </w:r>
            <w:r w:rsidR="00D12E8B">
              <w:rPr>
                <w:webHidden/>
              </w:rPr>
              <w:t>3</w:t>
            </w:r>
            <w:r w:rsidR="008A2A47">
              <w:rPr>
                <w:webHidden/>
              </w:rPr>
              <w:fldChar w:fldCharType="end"/>
            </w:r>
          </w:hyperlink>
        </w:p>
        <w:p w14:paraId="42E32AF7" w14:textId="77777777" w:rsidR="008A2A47" w:rsidRDefault="00495663">
          <w:pPr>
            <w:pStyle w:val="TOC1"/>
            <w:rPr>
              <w:rFonts w:eastAsiaTheme="minorEastAsia" w:cstheme="minorBidi"/>
              <w:b w:val="0"/>
              <w:color w:val="auto"/>
              <w:sz w:val="24"/>
              <w:lang w:val="en-US" w:eastAsia="en-US"/>
            </w:rPr>
          </w:pPr>
          <w:hyperlink w:anchor="_Toc516665918" w:history="1">
            <w:r w:rsidR="008A2A47" w:rsidRPr="00FE7C2D">
              <w:rPr>
                <w:rStyle w:val="Hyperlink"/>
              </w:rPr>
              <w:t>What?</w:t>
            </w:r>
            <w:r w:rsidR="008A2A47">
              <w:rPr>
                <w:webHidden/>
              </w:rPr>
              <w:tab/>
            </w:r>
            <w:r w:rsidR="008A2A47">
              <w:rPr>
                <w:webHidden/>
              </w:rPr>
              <w:fldChar w:fldCharType="begin"/>
            </w:r>
            <w:r w:rsidR="008A2A47">
              <w:rPr>
                <w:webHidden/>
              </w:rPr>
              <w:instrText xml:space="preserve"> PAGEREF _Toc516665918 \h </w:instrText>
            </w:r>
            <w:r w:rsidR="008A2A47">
              <w:rPr>
                <w:webHidden/>
              </w:rPr>
            </w:r>
            <w:r w:rsidR="008A2A47">
              <w:rPr>
                <w:webHidden/>
              </w:rPr>
              <w:fldChar w:fldCharType="separate"/>
            </w:r>
            <w:r w:rsidR="00D12E8B">
              <w:rPr>
                <w:webHidden/>
              </w:rPr>
              <w:t>4</w:t>
            </w:r>
            <w:r w:rsidR="008A2A47">
              <w:rPr>
                <w:webHidden/>
              </w:rPr>
              <w:fldChar w:fldCharType="end"/>
            </w:r>
          </w:hyperlink>
        </w:p>
        <w:p w14:paraId="1FF41801" w14:textId="77777777" w:rsidR="008A2A47" w:rsidRDefault="00495663">
          <w:pPr>
            <w:pStyle w:val="TOC1"/>
            <w:rPr>
              <w:rFonts w:eastAsiaTheme="minorEastAsia" w:cstheme="minorBidi"/>
              <w:b w:val="0"/>
              <w:color w:val="auto"/>
              <w:sz w:val="24"/>
              <w:lang w:val="en-US" w:eastAsia="en-US"/>
            </w:rPr>
          </w:pPr>
          <w:hyperlink w:anchor="_Toc516665919" w:history="1">
            <w:r w:rsidR="008A2A47" w:rsidRPr="00FE7C2D">
              <w:rPr>
                <w:rStyle w:val="Hyperlink"/>
              </w:rPr>
              <w:t>Making sensible decisions</w:t>
            </w:r>
            <w:r w:rsidR="008A2A47">
              <w:rPr>
                <w:webHidden/>
              </w:rPr>
              <w:tab/>
            </w:r>
            <w:r w:rsidR="008A2A47">
              <w:rPr>
                <w:webHidden/>
              </w:rPr>
              <w:fldChar w:fldCharType="begin"/>
            </w:r>
            <w:r w:rsidR="008A2A47">
              <w:rPr>
                <w:webHidden/>
              </w:rPr>
              <w:instrText xml:space="preserve"> PAGEREF _Toc516665919 \h </w:instrText>
            </w:r>
            <w:r w:rsidR="008A2A47">
              <w:rPr>
                <w:webHidden/>
              </w:rPr>
            </w:r>
            <w:r w:rsidR="008A2A47">
              <w:rPr>
                <w:webHidden/>
              </w:rPr>
              <w:fldChar w:fldCharType="separate"/>
            </w:r>
            <w:r w:rsidR="00D12E8B">
              <w:rPr>
                <w:webHidden/>
              </w:rPr>
              <w:t>6</w:t>
            </w:r>
            <w:r w:rsidR="008A2A47">
              <w:rPr>
                <w:webHidden/>
              </w:rPr>
              <w:fldChar w:fldCharType="end"/>
            </w:r>
          </w:hyperlink>
        </w:p>
        <w:p w14:paraId="7249A2C5" w14:textId="77777777" w:rsidR="008A2A47" w:rsidRDefault="00495663">
          <w:pPr>
            <w:pStyle w:val="TOC1"/>
            <w:rPr>
              <w:rFonts w:eastAsiaTheme="minorEastAsia" w:cstheme="minorBidi"/>
              <w:b w:val="0"/>
              <w:color w:val="auto"/>
              <w:sz w:val="24"/>
              <w:lang w:val="en-US" w:eastAsia="en-US"/>
            </w:rPr>
          </w:pPr>
          <w:hyperlink w:anchor="_Toc516665920" w:history="1">
            <w:r w:rsidR="008A2A47" w:rsidRPr="00FE7C2D">
              <w:rPr>
                <w:rStyle w:val="Hyperlink"/>
              </w:rPr>
              <w:t>Why?</w:t>
            </w:r>
            <w:r w:rsidR="008A2A47">
              <w:rPr>
                <w:webHidden/>
              </w:rPr>
              <w:tab/>
            </w:r>
            <w:r w:rsidR="008A2A47">
              <w:rPr>
                <w:webHidden/>
              </w:rPr>
              <w:fldChar w:fldCharType="begin"/>
            </w:r>
            <w:r w:rsidR="008A2A47">
              <w:rPr>
                <w:webHidden/>
              </w:rPr>
              <w:instrText xml:space="preserve"> PAGEREF _Toc516665920 \h </w:instrText>
            </w:r>
            <w:r w:rsidR="008A2A47">
              <w:rPr>
                <w:webHidden/>
              </w:rPr>
            </w:r>
            <w:r w:rsidR="008A2A47">
              <w:rPr>
                <w:webHidden/>
              </w:rPr>
              <w:fldChar w:fldCharType="separate"/>
            </w:r>
            <w:r w:rsidR="00D12E8B">
              <w:rPr>
                <w:webHidden/>
              </w:rPr>
              <w:t>7</w:t>
            </w:r>
            <w:r w:rsidR="008A2A47">
              <w:rPr>
                <w:webHidden/>
              </w:rPr>
              <w:fldChar w:fldCharType="end"/>
            </w:r>
          </w:hyperlink>
        </w:p>
        <w:p w14:paraId="0DF6598E" w14:textId="77777777" w:rsidR="008A2A47" w:rsidRDefault="00495663">
          <w:pPr>
            <w:pStyle w:val="TOC1"/>
            <w:rPr>
              <w:rFonts w:eastAsiaTheme="minorEastAsia" w:cstheme="minorBidi"/>
              <w:b w:val="0"/>
              <w:color w:val="auto"/>
              <w:sz w:val="24"/>
              <w:lang w:val="en-US" w:eastAsia="en-US"/>
            </w:rPr>
          </w:pPr>
          <w:hyperlink w:anchor="_Toc516665921" w:history="1">
            <w:r w:rsidR="008A2A47" w:rsidRPr="00FE7C2D">
              <w:rPr>
                <w:rStyle w:val="Hyperlink"/>
              </w:rPr>
              <w:t>The optimal default framework</w:t>
            </w:r>
            <w:r w:rsidR="008A2A47">
              <w:rPr>
                <w:webHidden/>
              </w:rPr>
              <w:tab/>
            </w:r>
            <w:r w:rsidR="008A2A47">
              <w:rPr>
                <w:webHidden/>
              </w:rPr>
              <w:fldChar w:fldCharType="begin"/>
            </w:r>
            <w:r w:rsidR="008A2A47">
              <w:rPr>
                <w:webHidden/>
              </w:rPr>
              <w:instrText xml:space="preserve"> PAGEREF _Toc516665921 \h </w:instrText>
            </w:r>
            <w:r w:rsidR="008A2A47">
              <w:rPr>
                <w:webHidden/>
              </w:rPr>
            </w:r>
            <w:r w:rsidR="008A2A47">
              <w:rPr>
                <w:webHidden/>
              </w:rPr>
              <w:fldChar w:fldCharType="separate"/>
            </w:r>
            <w:r w:rsidR="00D12E8B">
              <w:rPr>
                <w:webHidden/>
              </w:rPr>
              <w:t>9</w:t>
            </w:r>
            <w:r w:rsidR="008A2A47">
              <w:rPr>
                <w:webHidden/>
              </w:rPr>
              <w:fldChar w:fldCharType="end"/>
            </w:r>
          </w:hyperlink>
        </w:p>
        <w:p w14:paraId="3ED644F9" w14:textId="77777777" w:rsidR="008A2A47" w:rsidRDefault="00495663">
          <w:pPr>
            <w:pStyle w:val="TOC1"/>
            <w:rPr>
              <w:rFonts w:eastAsiaTheme="minorEastAsia" w:cstheme="minorBidi"/>
              <w:b w:val="0"/>
              <w:color w:val="auto"/>
              <w:sz w:val="24"/>
              <w:lang w:val="en-US" w:eastAsia="en-US"/>
            </w:rPr>
          </w:pPr>
          <w:hyperlink w:anchor="_Toc516665922" w:history="1">
            <w:r w:rsidR="008A2A47" w:rsidRPr="00FE7C2D">
              <w:rPr>
                <w:rStyle w:val="Hyperlink"/>
              </w:rPr>
              <w:t>Appendix: factors contributing to default effectiveness</w:t>
            </w:r>
            <w:r w:rsidR="008A2A47">
              <w:rPr>
                <w:webHidden/>
              </w:rPr>
              <w:tab/>
            </w:r>
            <w:r w:rsidR="008A2A47">
              <w:rPr>
                <w:webHidden/>
              </w:rPr>
              <w:fldChar w:fldCharType="begin"/>
            </w:r>
            <w:r w:rsidR="008A2A47">
              <w:rPr>
                <w:webHidden/>
              </w:rPr>
              <w:instrText xml:space="preserve"> PAGEREF _Toc516665922 \h </w:instrText>
            </w:r>
            <w:r w:rsidR="008A2A47">
              <w:rPr>
                <w:webHidden/>
              </w:rPr>
            </w:r>
            <w:r w:rsidR="008A2A47">
              <w:rPr>
                <w:webHidden/>
              </w:rPr>
              <w:fldChar w:fldCharType="separate"/>
            </w:r>
            <w:r w:rsidR="00D12E8B">
              <w:rPr>
                <w:webHidden/>
              </w:rPr>
              <w:t>12</w:t>
            </w:r>
            <w:r w:rsidR="008A2A47">
              <w:rPr>
                <w:webHidden/>
              </w:rPr>
              <w:fldChar w:fldCharType="end"/>
            </w:r>
          </w:hyperlink>
        </w:p>
        <w:p w14:paraId="3D20DAA0" w14:textId="77777777" w:rsidR="008A2A47" w:rsidRDefault="00495663">
          <w:pPr>
            <w:pStyle w:val="TOC1"/>
            <w:rPr>
              <w:rFonts w:eastAsiaTheme="minorEastAsia" w:cstheme="minorBidi"/>
              <w:b w:val="0"/>
              <w:color w:val="auto"/>
              <w:sz w:val="24"/>
              <w:lang w:val="en-US" w:eastAsia="en-US"/>
            </w:rPr>
          </w:pPr>
          <w:hyperlink w:anchor="_Toc516665923" w:history="1">
            <w:r w:rsidR="00D12E8B">
              <w:rPr>
                <w:rStyle w:val="Hyperlink"/>
              </w:rPr>
              <w:t>References</w:t>
            </w:r>
            <w:r w:rsidR="008A2A47">
              <w:rPr>
                <w:webHidden/>
              </w:rPr>
              <w:tab/>
            </w:r>
            <w:r w:rsidR="008A2A47">
              <w:rPr>
                <w:webHidden/>
              </w:rPr>
              <w:fldChar w:fldCharType="begin"/>
            </w:r>
            <w:r w:rsidR="008A2A47">
              <w:rPr>
                <w:webHidden/>
              </w:rPr>
              <w:instrText xml:space="preserve"> PAGEREF _Toc516665923 \h </w:instrText>
            </w:r>
            <w:r w:rsidR="008A2A47">
              <w:rPr>
                <w:webHidden/>
              </w:rPr>
            </w:r>
            <w:r w:rsidR="008A2A47">
              <w:rPr>
                <w:webHidden/>
              </w:rPr>
              <w:fldChar w:fldCharType="separate"/>
            </w:r>
            <w:r w:rsidR="00D12E8B">
              <w:rPr>
                <w:webHidden/>
              </w:rPr>
              <w:t>13</w:t>
            </w:r>
            <w:r w:rsidR="008A2A47">
              <w:rPr>
                <w:webHidden/>
              </w:rPr>
              <w:fldChar w:fldCharType="end"/>
            </w:r>
          </w:hyperlink>
        </w:p>
        <w:p w14:paraId="201EC2F3" w14:textId="77777777" w:rsidR="008253C4" w:rsidRDefault="00CB1ED4" w:rsidP="00DE2306">
          <w:pPr>
            <w:sectPr w:rsidR="008253C4" w:rsidSect="00097150">
              <w:headerReference w:type="default" r:id="rId12"/>
              <w:footerReference w:type="default" r:id="rId13"/>
              <w:pgSz w:w="11906" w:h="16838" w:code="9"/>
              <w:pgMar w:top="2041" w:right="2381" w:bottom="1701" w:left="1247" w:header="720" w:footer="851" w:gutter="0"/>
              <w:cols w:space="708"/>
              <w:docGrid w:linePitch="360"/>
            </w:sectPr>
          </w:pPr>
          <w:r>
            <w:rPr>
              <w:noProof/>
              <w:color w:val="FFFFFF" w:themeColor="background1"/>
              <w:sz w:val="28"/>
            </w:rPr>
            <w:fldChar w:fldCharType="end"/>
          </w:r>
        </w:p>
      </w:sdtContent>
    </w:sdt>
    <w:p w14:paraId="5729B619" w14:textId="77777777" w:rsidR="00BD6652" w:rsidRPr="0057334E" w:rsidRDefault="00BD6652" w:rsidP="0057334E">
      <w:pPr>
        <w:pStyle w:val="h2"/>
      </w:pPr>
      <w:bookmarkStart w:id="2" w:name="_Toc516665917"/>
      <w:r w:rsidRPr="0057334E">
        <w:lastRenderedPageBreak/>
        <w:t>Harnessing the power of defaults</w:t>
      </w:r>
      <w:bookmarkEnd w:id="2"/>
    </w:p>
    <w:p w14:paraId="763BC468" w14:textId="77777777" w:rsidR="00BD6652" w:rsidRPr="0046461B" w:rsidRDefault="00BD6652" w:rsidP="00BD6652">
      <w:pPr>
        <w:pStyle w:val="Intro"/>
        <w:numPr>
          <w:ilvl w:val="0"/>
          <w:numId w:val="18"/>
        </w:numPr>
      </w:pPr>
      <w:r w:rsidRPr="0046461B">
        <w:t>Setting effective defaults is a powerful behavioural</w:t>
      </w:r>
      <w:r>
        <w:t xml:space="preserve"> </w:t>
      </w:r>
      <w:r w:rsidRPr="0046461B">
        <w:t>insights tool for policy-maker</w:t>
      </w:r>
      <w:r w:rsidR="00D12E8B">
        <w:t>s</w:t>
      </w:r>
      <w:r w:rsidRPr="0046461B">
        <w:t>.</w:t>
      </w:r>
    </w:p>
    <w:p w14:paraId="6DEAB620" w14:textId="77777777" w:rsidR="00BD6652" w:rsidRPr="0046461B" w:rsidRDefault="00BD6652" w:rsidP="00BD6652">
      <w:pPr>
        <w:pStyle w:val="Intro"/>
        <w:numPr>
          <w:ilvl w:val="0"/>
          <w:numId w:val="18"/>
        </w:numPr>
      </w:pPr>
      <w:r w:rsidRPr="0046461B">
        <w:t>Carefully designed defaults could help reduce</w:t>
      </w:r>
      <w:r>
        <w:t xml:space="preserve"> </w:t>
      </w:r>
      <w:r w:rsidRPr="0046461B">
        <w:t>complexity and costs and simplify choices for people.</w:t>
      </w:r>
    </w:p>
    <w:p w14:paraId="6059DCA3" w14:textId="77777777" w:rsidR="001A0BC6" w:rsidRDefault="00BD6652" w:rsidP="00BD6652">
      <w:pPr>
        <w:pStyle w:val="Intro"/>
        <w:numPr>
          <w:ilvl w:val="0"/>
          <w:numId w:val="18"/>
        </w:numPr>
      </w:pPr>
      <w:r w:rsidRPr="0046461B">
        <w:t>For defaults to be effective, they need to be appropriate,</w:t>
      </w:r>
      <w:r>
        <w:t xml:space="preserve"> </w:t>
      </w:r>
      <w:r w:rsidRPr="0046461B">
        <w:t>transparent and ethical and clearly identify the trade-offs</w:t>
      </w:r>
      <w:r w:rsidR="00C01360">
        <w:t>.</w:t>
      </w:r>
    </w:p>
    <w:p w14:paraId="26D4BB71" w14:textId="77777777" w:rsidR="0060417E" w:rsidRDefault="00BD6652" w:rsidP="0057334E">
      <w:pPr>
        <w:spacing w:after="360"/>
      </w:pPr>
      <w:r>
        <w:rPr>
          <w:noProof/>
        </w:rPr>
        <w:drawing>
          <wp:anchor distT="0" distB="0" distL="114300" distR="114300" simplePos="0" relativeHeight="251671552" behindDoc="0" locked="1" layoutInCell="1" allowOverlap="1" wp14:anchorId="4BB64C16" wp14:editId="584BC248">
            <wp:simplePos x="0" y="0"/>
            <wp:positionH relativeFrom="page">
              <wp:posOffset>806450</wp:posOffset>
            </wp:positionH>
            <wp:positionV relativeFrom="paragraph">
              <wp:posOffset>454025</wp:posOffset>
            </wp:positionV>
            <wp:extent cx="5191760" cy="3890645"/>
            <wp:effectExtent l="0" t="0" r="0" b="0"/>
            <wp:wrapThrough wrapText="bothSides">
              <wp:wrapPolygon edited="0">
                <wp:start x="0" y="0"/>
                <wp:lineTo x="0" y="21434"/>
                <wp:lineTo x="21452" y="21434"/>
                <wp:lineTo x="2145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91760" cy="3890645"/>
                    </a:xfrm>
                    <a:prstGeom prst="rect">
                      <a:avLst/>
                    </a:prstGeom>
                    <a:noFill/>
                  </pic:spPr>
                </pic:pic>
              </a:graphicData>
            </a:graphic>
            <wp14:sizeRelH relativeFrom="page">
              <wp14:pctWidth>0</wp14:pctWidth>
            </wp14:sizeRelH>
            <wp14:sizeRelV relativeFrom="page">
              <wp14:pctHeight>0</wp14:pctHeight>
            </wp14:sizeRelV>
          </wp:anchor>
        </w:drawing>
      </w:r>
    </w:p>
    <w:p w14:paraId="4A27B318" w14:textId="744060B4" w:rsidR="00A5777A" w:rsidRPr="00A5777A" w:rsidRDefault="007F38DB" w:rsidP="0057334E">
      <w:pPr>
        <w:pStyle w:val="LargeH1"/>
        <w:outlineLvl w:val="1"/>
      </w:pPr>
      <w:bookmarkStart w:id="3" w:name="_Toc516665918"/>
      <w:r>
        <w:lastRenderedPageBreak/>
        <w:t>What</w:t>
      </w:r>
      <w:r w:rsidR="00A5777A" w:rsidRPr="00A5777A">
        <w:t>?</w:t>
      </w:r>
      <w:bookmarkEnd w:id="3"/>
    </w:p>
    <w:p w14:paraId="700E7FC6" w14:textId="77777777" w:rsidR="007F38DB" w:rsidRPr="0046461B" w:rsidRDefault="007F38DB" w:rsidP="0057334E">
      <w:pPr>
        <w:pStyle w:val="h3"/>
      </w:pPr>
      <w:r w:rsidRPr="0046461B">
        <w:t>What is a default option?</w:t>
      </w:r>
    </w:p>
    <w:p w14:paraId="7748C9E2" w14:textId="77777777" w:rsidR="007F38DB" w:rsidRPr="002214B3" w:rsidRDefault="007F38DB" w:rsidP="002214B3">
      <w:pPr>
        <w:rPr>
          <w:b/>
        </w:rPr>
      </w:pPr>
      <w:r w:rsidRPr="002214B3">
        <w:rPr>
          <w:b/>
        </w:rPr>
        <w:t>Default options are pre-set courses of action that take effect if nothing is specified by the decision-maker</w:t>
      </w:r>
      <w:r w:rsidR="002214B3">
        <w:rPr>
          <w:rStyle w:val="EndnoteReference"/>
          <w:b/>
        </w:rPr>
        <w:endnoteReference w:id="1"/>
      </w:r>
      <w:r w:rsidRPr="002214B3">
        <w:rPr>
          <w:b/>
        </w:rPr>
        <w:t>. Defaults are everywhere and we rely on them every day.</w:t>
      </w:r>
    </w:p>
    <w:p w14:paraId="64DD32D4" w14:textId="77777777" w:rsidR="007F38DB" w:rsidRPr="0046461B" w:rsidRDefault="007F38DB" w:rsidP="007F38DB">
      <w:r w:rsidRPr="0046461B">
        <w:t>Examples include default temperature settings, default mobile ringtones, default time lag and screen savers on computers, automatic subscription renewals and default double-sided printer settings among numerous others. Defaults help to reduce and simplify the n</w:t>
      </w:r>
      <w:r w:rsidR="00D12E8B">
        <w:t>umber of choices we make every</w:t>
      </w:r>
      <w:r w:rsidRPr="0046461B">
        <w:t>day, often without realising it.</w:t>
      </w:r>
    </w:p>
    <w:p w14:paraId="14F3EDB9" w14:textId="77777777" w:rsidR="007F38DB" w:rsidRPr="0057334E" w:rsidRDefault="007F38DB" w:rsidP="0057334E">
      <w:pPr>
        <w:pStyle w:val="h4"/>
      </w:pPr>
      <w:r w:rsidRPr="0057334E">
        <w:t>Over the last number of years, we’ve seen defaults:</w:t>
      </w:r>
    </w:p>
    <w:p w14:paraId="6CF38B9A" w14:textId="77777777" w:rsidR="007F38DB" w:rsidRPr="0046461B" w:rsidRDefault="007F38DB" w:rsidP="007F38DB">
      <w:pPr>
        <w:pStyle w:val="ListParagraph"/>
        <w:numPr>
          <w:ilvl w:val="0"/>
          <w:numId w:val="19"/>
        </w:numPr>
      </w:pPr>
      <w:r w:rsidRPr="0046461B">
        <w:t>dramaticall</w:t>
      </w:r>
      <w:r w:rsidR="007038E7">
        <w:t>y increase participation rates</w:t>
      </w:r>
      <w:r w:rsidR="00BE3154">
        <w:rPr>
          <w:rStyle w:val="EndnoteReference"/>
        </w:rPr>
        <w:endnoteReference w:id="2"/>
      </w:r>
      <w:r w:rsidRPr="0046461B">
        <w:t xml:space="preserve"> and amounts</w:t>
      </w:r>
      <w:r w:rsidR="007038E7">
        <w:rPr>
          <w:rStyle w:val="EndnoteReference"/>
        </w:rPr>
        <w:endnoteReference w:id="3"/>
      </w:r>
      <w:r w:rsidRPr="0046461B">
        <w:t xml:space="preserve"> of retirement savings schemes in the US and increase organ donation rates across the European Union</w:t>
      </w:r>
      <w:r w:rsidR="007038E7">
        <w:rPr>
          <w:rStyle w:val="EndnoteReference"/>
        </w:rPr>
        <w:endnoteReference w:id="4"/>
      </w:r>
      <w:r w:rsidR="00E30A05" w:rsidRPr="00E30A05">
        <w:rPr>
          <w:vertAlign w:val="superscript"/>
        </w:rPr>
        <w:t>,</w:t>
      </w:r>
      <w:bookmarkStart w:id="4" w:name="_Ref515870435"/>
      <w:r w:rsidR="007038E7">
        <w:rPr>
          <w:rStyle w:val="EndnoteReference"/>
        </w:rPr>
        <w:endnoteReference w:id="5"/>
      </w:r>
      <w:bookmarkEnd w:id="4"/>
    </w:p>
    <w:p w14:paraId="37C831D4" w14:textId="77777777" w:rsidR="007F38DB" w:rsidRPr="0046461B" w:rsidRDefault="007F38DB" w:rsidP="007F38DB">
      <w:pPr>
        <w:pStyle w:val="ListParagraph"/>
        <w:numPr>
          <w:ilvl w:val="0"/>
          <w:numId w:val="19"/>
        </w:numPr>
      </w:pPr>
      <w:r w:rsidRPr="0046461B">
        <w:t>drive consumers towards making more environmentally friendly choices</w:t>
      </w:r>
      <w:r w:rsidR="000250D8">
        <w:fldChar w:fldCharType="begin"/>
      </w:r>
      <w:r w:rsidR="000250D8">
        <w:instrText xml:space="preserve"> NOTEREF _Ref515870435 \f \h </w:instrText>
      </w:r>
      <w:r w:rsidR="000250D8">
        <w:fldChar w:fldCharType="separate"/>
      </w:r>
      <w:r w:rsidR="000250D8" w:rsidRPr="000250D8">
        <w:rPr>
          <w:rStyle w:val="EndnoteReference"/>
        </w:rPr>
        <w:t>5</w:t>
      </w:r>
      <w:r w:rsidR="000250D8">
        <w:fldChar w:fldCharType="end"/>
      </w:r>
      <w:r w:rsidR="00805A67" w:rsidRPr="00805A67">
        <w:rPr>
          <w:vertAlign w:val="superscript"/>
        </w:rPr>
        <w:t>,</w:t>
      </w:r>
      <w:r w:rsidR="007038E7">
        <w:rPr>
          <w:rStyle w:val="EndnoteReference"/>
        </w:rPr>
        <w:endnoteReference w:id="6"/>
      </w:r>
    </w:p>
    <w:p w14:paraId="40ED8556" w14:textId="77777777" w:rsidR="007F38DB" w:rsidRPr="0046461B" w:rsidRDefault="007F38DB" w:rsidP="007F38DB">
      <w:pPr>
        <w:pStyle w:val="ListParagraph"/>
        <w:numPr>
          <w:ilvl w:val="0"/>
          <w:numId w:val="19"/>
        </w:numPr>
      </w:pPr>
      <w:r w:rsidRPr="0046461B">
        <w:t>increase charitable donation rates in the UK</w:t>
      </w:r>
      <w:r w:rsidR="007038E7">
        <w:rPr>
          <w:rStyle w:val="EndnoteReference"/>
        </w:rPr>
        <w:endnoteReference w:id="7"/>
      </w:r>
      <w:r w:rsidRPr="0046461B">
        <w:t>.</w:t>
      </w:r>
    </w:p>
    <w:p w14:paraId="53A7EA03" w14:textId="77777777" w:rsidR="007F38DB" w:rsidRPr="0046461B" w:rsidRDefault="007F38DB" w:rsidP="007F38DB">
      <w:r w:rsidRPr="0046461B">
        <w:t>From a traditional economics perspective, making a choice is the process of optimal decision-making, formalised by utility functions which are underpinned by people’s preferences. Decision-makers face a range of possible consumption bundles (combination of choices) of which ultimately one optimal bundle is chosen at any given point in time. A central assumption of this model is that the default position, i.e. the starting point, does not bear any relevance to the decision-maker’s final decision.</w:t>
      </w:r>
    </w:p>
    <w:p w14:paraId="6BC948A2" w14:textId="77777777" w:rsidR="00B84204" w:rsidRDefault="007F38DB" w:rsidP="00B84204">
      <w:r w:rsidRPr="0046461B">
        <w:t>However, we now know this not to be true with people often ‘going-with-the- flow’ and valuing their default position by treating it as a ‘reference point’ for decisions. In such cases, the evidence is overwhelming that presenting one option as a default (the reference point) increases the chance it will be chosen. The default option is also the outcome that is realised when no active choice (choosing not to choose) is made by the consumer.</w:t>
      </w:r>
    </w:p>
    <w:p w14:paraId="23F45D00" w14:textId="77777777" w:rsidR="00F13C4C" w:rsidRDefault="00F13C4C" w:rsidP="00B84204">
      <w:r>
        <w:br w:type="page"/>
      </w:r>
    </w:p>
    <w:p w14:paraId="70A07D13" w14:textId="77777777" w:rsidR="007F38DB" w:rsidRPr="0046461B" w:rsidRDefault="007F38DB" w:rsidP="007F38DB">
      <w:r w:rsidRPr="0046461B">
        <w:lastRenderedPageBreak/>
        <w:t>An ever-growing body of evidence suggests that this phenomenon can be successfully used to achieve improvements in policy outcomes across a diverse number of areas.</w:t>
      </w:r>
    </w:p>
    <w:p w14:paraId="57EB24F5" w14:textId="77777777" w:rsidR="007F38DB" w:rsidRPr="0046461B" w:rsidRDefault="007F38DB" w:rsidP="007F38DB">
      <w:r w:rsidRPr="0046461B">
        <w:t>The magnetism of defaults is believed to be so strong that it has been called the “iron law of default inertia”</w:t>
      </w:r>
      <w:r w:rsidR="00BF04E3" w:rsidRPr="00BF04E3">
        <w:rPr>
          <w:vertAlign w:val="superscript"/>
        </w:rPr>
        <w:t xml:space="preserve"> </w:t>
      </w:r>
      <w:r w:rsidR="007038E7">
        <w:rPr>
          <w:rStyle w:val="EndnoteReference"/>
        </w:rPr>
        <w:endnoteReference w:id="8"/>
      </w:r>
      <w:r w:rsidRPr="0046461B">
        <w:t>. As such, setting effective defaults could be one of the most powerful behavioural insights tools for policy-maker</w:t>
      </w:r>
      <w:r w:rsidR="00D12E8B">
        <w:t>s</w:t>
      </w:r>
      <w:r w:rsidRPr="0046461B">
        <w:t>. Policy and programme designers often have to think about whether to set a default option, force an active choice or do nothing to support a choice.</w:t>
      </w:r>
    </w:p>
    <w:p w14:paraId="55853B58" w14:textId="77777777" w:rsidR="007F38DB" w:rsidRPr="0046461B" w:rsidRDefault="007F38DB" w:rsidP="007F38DB">
      <w:r w:rsidRPr="0046461B">
        <w:t>This paper will explain how default settings can be used in policy and program design, why default architecture is an effective tool and how to set up an optimal framework for default.</w:t>
      </w:r>
    </w:p>
    <w:p w14:paraId="7342932E" w14:textId="77777777" w:rsidR="007F38DB" w:rsidRPr="00D12E8B" w:rsidRDefault="00F13C4C" w:rsidP="0057334E">
      <w:pPr>
        <w:pStyle w:val="h2"/>
      </w:pPr>
      <w:r>
        <w:rPr>
          <w:noProof/>
        </w:rPr>
        <w:drawing>
          <wp:anchor distT="0" distB="0" distL="114300" distR="114300" simplePos="0" relativeHeight="251672576" behindDoc="0" locked="1" layoutInCell="1" allowOverlap="1" wp14:anchorId="4BB64C1C" wp14:editId="0CA2A120">
            <wp:simplePos x="0" y="0"/>
            <wp:positionH relativeFrom="page">
              <wp:posOffset>753110</wp:posOffset>
            </wp:positionH>
            <wp:positionV relativeFrom="paragraph">
              <wp:posOffset>707390</wp:posOffset>
            </wp:positionV>
            <wp:extent cx="5209540" cy="4224020"/>
            <wp:effectExtent l="0" t="0" r="0" b="0"/>
            <wp:wrapThrough wrapText="bothSides">
              <wp:wrapPolygon edited="0">
                <wp:start x="0" y="0"/>
                <wp:lineTo x="0" y="21431"/>
                <wp:lineTo x="21484" y="21431"/>
                <wp:lineTo x="2148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305" r="15305"/>
                    <a:stretch/>
                  </pic:blipFill>
                  <pic:spPr bwMode="auto">
                    <a:xfrm>
                      <a:off x="0" y="0"/>
                      <a:ext cx="5209540" cy="422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bookmarkStart w:id="5" w:name="_Toc516665919"/>
      <w:r w:rsidR="007F38DB" w:rsidRPr="00D12E8B">
        <w:lastRenderedPageBreak/>
        <w:t>Making sensible</w:t>
      </w:r>
      <w:r w:rsidRPr="00D12E8B">
        <w:t xml:space="preserve"> </w:t>
      </w:r>
      <w:r w:rsidR="007F38DB" w:rsidRPr="00D12E8B">
        <w:t>decisions</w:t>
      </w:r>
      <w:bookmarkEnd w:id="5"/>
    </w:p>
    <w:p w14:paraId="5C154159" w14:textId="77777777" w:rsidR="007F38DB" w:rsidRPr="0046461B" w:rsidRDefault="00C14EA0" w:rsidP="0057334E">
      <w:pPr>
        <w:pStyle w:val="h3"/>
      </w:pPr>
      <w:r w:rsidRPr="00C14EA0">
        <w:rPr>
          <w:noProof/>
        </w:rPr>
        <w:drawing>
          <wp:anchor distT="0" distB="0" distL="114300" distR="114300" simplePos="0" relativeHeight="251673600" behindDoc="1" locked="1" layoutInCell="1" allowOverlap="1" wp14:anchorId="594AC260" wp14:editId="31C03AEB">
            <wp:simplePos x="0" y="0"/>
            <wp:positionH relativeFrom="page">
              <wp:posOffset>6192520</wp:posOffset>
            </wp:positionH>
            <wp:positionV relativeFrom="page">
              <wp:posOffset>3132455</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7F38DB" w:rsidRPr="0046461B">
        <w:t>How default settings could be harnessed</w:t>
      </w:r>
    </w:p>
    <w:p w14:paraId="3678D411" w14:textId="393623F4" w:rsidR="007F38DB" w:rsidRPr="0046461B" w:rsidRDefault="007F38DB" w:rsidP="00F13C4C">
      <w:pPr>
        <w:pStyle w:val="Heading2"/>
      </w:pPr>
      <w:r w:rsidRPr="0057334E">
        <w:rPr>
          <w:rStyle w:val="h4Char"/>
        </w:rPr>
        <w:t>If an established default leads to a sub-optimal behaviour, changing</w:t>
      </w:r>
      <w:r w:rsidR="00F13C4C" w:rsidRPr="0057334E">
        <w:rPr>
          <w:rStyle w:val="h4Char"/>
        </w:rPr>
        <w:t xml:space="preserve"> </w:t>
      </w:r>
      <w:r w:rsidRPr="0046461B">
        <w:t>the choice architecture could reverse an inefficient outcome.</w:t>
      </w:r>
    </w:p>
    <w:p w14:paraId="546C56C2" w14:textId="77777777" w:rsidR="007F38DB" w:rsidRPr="0046461B" w:rsidRDefault="007F38DB" w:rsidP="007F38DB">
      <w:r w:rsidRPr="0046461B">
        <w:t>Carefully designed defaults could help trigger the optimal behavioural response by reducing complexity when people find it hard to choose, reducing administrative burden (for example, the hassle costs of switching bank accounts or utility suppliers) and by restricting the number of choices</w:t>
      </w:r>
      <w:r w:rsidR="00F13C4C">
        <w:t xml:space="preserve"> </w:t>
      </w:r>
      <w:r w:rsidRPr="0046461B">
        <w:t>(if choice overload is a problem).</w:t>
      </w:r>
    </w:p>
    <w:p w14:paraId="5B492E5C" w14:textId="77777777" w:rsidR="007F38DB" w:rsidRPr="0046461B" w:rsidRDefault="007F38DB" w:rsidP="007F38DB">
      <w:r w:rsidRPr="0046461B">
        <w:t>The most celebrated, and most cited, example of a policy default is in the area of retirement saving. Plans to ‘auto-enrol’ people into workplace pension saving have been inspired by behavioural insights using default settings.</w:t>
      </w:r>
    </w:p>
    <w:p w14:paraId="2184701E" w14:textId="77777777" w:rsidR="007F38DB" w:rsidRPr="0046461B" w:rsidRDefault="007F38DB" w:rsidP="007F38DB">
      <w:r w:rsidRPr="0046461B">
        <w:t xml:space="preserve">In 2012, new legislation meant that all employers in the United Kingdom with 250 workers or </w:t>
      </w:r>
      <w:r w:rsidR="00D12E8B">
        <w:t xml:space="preserve">more had to automatically enrol their workers in a pension plan and allow them to opt-out. </w:t>
      </w:r>
      <w:r w:rsidRPr="0046461B">
        <w:t>There is substantial evidence that such policies encouraged people to start pension plans more quickly. Indeed, enrolment in pension schemes in the UK had increased dramatically since the roll-out of the automatic enrolment option. By the end of August 2015, 5.4 million workers were enrolled into new workplace pensions, simply because they did not have to make an active decision to enrol</w:t>
      </w:r>
      <w:r w:rsidR="007038E7">
        <w:rPr>
          <w:rStyle w:val="EndnoteReference"/>
        </w:rPr>
        <w:endnoteReference w:id="9"/>
      </w:r>
      <w:r w:rsidRPr="0046461B">
        <w:t>.</w:t>
      </w:r>
    </w:p>
    <w:p w14:paraId="26864222" w14:textId="77777777" w:rsidR="007F38DB" w:rsidRPr="0046461B" w:rsidRDefault="007F38DB" w:rsidP="007F38DB">
      <w:r w:rsidRPr="0046461B">
        <w:t>Closer to home, New Zealand, which at one point in time had the lowest savings rate in the OECD, launched the KiwiSaver scheme in July 2007. The default in this case was an employee savings plan with money paid into the savings account by the employer unless employees ticked a box to opt-out. From the start of the scheme until May 2015, those who joined</w:t>
      </w:r>
      <w:r w:rsidR="00F13C4C">
        <w:t xml:space="preserve"> </w:t>
      </w:r>
      <w:r w:rsidRPr="0046461B">
        <w:t>KiwiSaver received a $1,000 tax-free “kick start” to their KiwiSaver account from the government. By the end of the financial year (June 2008) around 716,000 people were signed up for the KiwiSaver account. By July 2015, that number rose to 2.5 million active accounts</w:t>
      </w:r>
      <w:r w:rsidR="00712052">
        <w:rPr>
          <w:rStyle w:val="EndnoteReference"/>
        </w:rPr>
        <w:endnoteReference w:id="10"/>
      </w:r>
      <w:r w:rsidRPr="0046461B">
        <w:t>.</w:t>
      </w:r>
    </w:p>
    <w:p w14:paraId="34D17AAF" w14:textId="77777777" w:rsidR="007F38DB" w:rsidRPr="0046461B" w:rsidRDefault="007F38DB" w:rsidP="00930CF2"/>
    <w:p w14:paraId="635C5647" w14:textId="77777777" w:rsidR="007F38DB" w:rsidRPr="0046461B" w:rsidRDefault="00F23CFE" w:rsidP="0057334E">
      <w:pPr>
        <w:pStyle w:val="LargeH1"/>
        <w:outlineLvl w:val="1"/>
      </w:pPr>
      <w:bookmarkStart w:id="6" w:name="_Toc516665920"/>
      <w:r w:rsidRPr="00F23CFE">
        <w:rPr>
          <w:noProof/>
        </w:rPr>
        <w:lastRenderedPageBreak/>
        <w:drawing>
          <wp:anchor distT="0" distB="0" distL="114300" distR="114300" simplePos="0" relativeHeight="251674624" behindDoc="1" locked="0" layoutInCell="1" allowOverlap="1" wp14:anchorId="4EF413ED" wp14:editId="36A116EC">
            <wp:simplePos x="0" y="0"/>
            <wp:positionH relativeFrom="page">
              <wp:posOffset>6192520</wp:posOffset>
            </wp:positionH>
            <wp:positionV relativeFrom="page">
              <wp:posOffset>3353435</wp:posOffset>
            </wp:positionV>
            <wp:extent cx="914400" cy="914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7F38DB" w:rsidRPr="0046461B">
        <w:t>Why?</w:t>
      </w:r>
      <w:bookmarkEnd w:id="6"/>
    </w:p>
    <w:p w14:paraId="6866BF4D" w14:textId="77777777" w:rsidR="007F38DB" w:rsidRPr="0046461B" w:rsidRDefault="007F38DB" w:rsidP="0057334E">
      <w:pPr>
        <w:pStyle w:val="h3"/>
      </w:pPr>
      <w:r w:rsidRPr="0046461B">
        <w:t>Why defaults work</w:t>
      </w:r>
    </w:p>
    <w:p w14:paraId="48C5E130" w14:textId="77777777" w:rsidR="007F38DB" w:rsidRPr="007038E7" w:rsidRDefault="007F38DB" w:rsidP="007038E7">
      <w:pPr>
        <w:rPr>
          <w:b/>
        </w:rPr>
      </w:pPr>
      <w:r w:rsidRPr="007038E7">
        <w:rPr>
          <w:b/>
        </w:rPr>
        <w:t>A whole host of factors contribute to the effectiveness of defaults; however, they can be aggregated under three main categories: transaction barriers, behavioural biases and preference formation (Figure 1 in appendix)</w:t>
      </w:r>
      <w:bookmarkStart w:id="7" w:name="_Ref515870559"/>
      <w:r w:rsidR="00712052">
        <w:rPr>
          <w:rStyle w:val="EndnoteReference"/>
          <w:b/>
        </w:rPr>
        <w:endnoteReference w:id="11"/>
      </w:r>
      <w:bookmarkEnd w:id="7"/>
      <w:r w:rsidR="000A4375" w:rsidRPr="000A4375">
        <w:rPr>
          <w:b/>
          <w:vertAlign w:val="superscript"/>
        </w:rPr>
        <w:t>,</w:t>
      </w:r>
      <w:bookmarkStart w:id="8" w:name="_Ref515870565"/>
      <w:r w:rsidR="00712052">
        <w:rPr>
          <w:rStyle w:val="EndnoteReference"/>
          <w:b/>
        </w:rPr>
        <w:endnoteReference w:id="12"/>
      </w:r>
      <w:bookmarkEnd w:id="8"/>
      <w:r w:rsidRPr="007038E7">
        <w:rPr>
          <w:b/>
        </w:rPr>
        <w:t>.</w:t>
      </w:r>
    </w:p>
    <w:p w14:paraId="6BBAE509" w14:textId="77777777" w:rsidR="007F38DB" w:rsidRPr="0046461B" w:rsidRDefault="007F38DB" w:rsidP="0057334E">
      <w:pPr>
        <w:pStyle w:val="h4"/>
      </w:pPr>
      <w:r w:rsidRPr="0046461B">
        <w:t>Transaction barriers</w:t>
      </w:r>
    </w:p>
    <w:p w14:paraId="7BF17065" w14:textId="77777777" w:rsidR="007F38DB" w:rsidRPr="0046461B" w:rsidRDefault="007F38DB" w:rsidP="007F38DB">
      <w:r w:rsidRPr="00D81E02">
        <w:rPr>
          <w:rStyle w:val="BoldColour"/>
        </w:rPr>
        <w:t xml:space="preserve">Transaction barriers </w:t>
      </w:r>
      <w:r w:rsidRPr="0046461B">
        <w:t>impose cost by requiring some effort from people</w:t>
      </w:r>
      <w:r w:rsidR="00C14EA0">
        <w:t xml:space="preserve"> </w:t>
      </w:r>
      <w:r w:rsidRPr="0046461B">
        <w:t>to opt-out of defaults, even when options are easily understood and opting-out may better align with individual’s preferences. For instance:</w:t>
      </w:r>
    </w:p>
    <w:p w14:paraId="7871D9A2" w14:textId="77777777" w:rsidR="007F38DB" w:rsidRPr="0046461B" w:rsidRDefault="007F38DB" w:rsidP="00C14EA0">
      <w:pPr>
        <w:pStyle w:val="ListParagraph"/>
        <w:numPr>
          <w:ilvl w:val="0"/>
          <w:numId w:val="20"/>
        </w:numPr>
      </w:pPr>
      <w:r w:rsidRPr="0046461B">
        <w:t xml:space="preserve">A default might be sticky due to the </w:t>
      </w:r>
      <w:r w:rsidRPr="00C14EA0">
        <w:rPr>
          <w:rStyle w:val="BoldColour"/>
        </w:rPr>
        <w:t>altering rule</w:t>
      </w:r>
      <w:r w:rsidRPr="0046461B">
        <w:t xml:space="preserve"> or the process of</w:t>
      </w:r>
      <w:r w:rsidR="00C14EA0">
        <w:t xml:space="preserve"> </w:t>
      </w:r>
      <w:r w:rsidRPr="0046461B">
        <w:t xml:space="preserve">opting out. These rules </w:t>
      </w:r>
      <w:r w:rsidRPr="00FB0A00">
        <w:rPr>
          <w:rStyle w:val="BoldColour"/>
        </w:rPr>
        <w:t>impose actual or perceived costs</w:t>
      </w:r>
      <w:r w:rsidRPr="0046461B">
        <w:t xml:space="preserve"> and/or </w:t>
      </w:r>
      <w:r w:rsidRPr="00FB0A00">
        <w:rPr>
          <w:rStyle w:val="BoldColour"/>
        </w:rPr>
        <w:t>create confusion</w:t>
      </w:r>
      <w:r w:rsidRPr="0046461B">
        <w:t xml:space="preserve">. For example, at one point there were 50 privacy buttons and 170 options Facebook users </w:t>
      </w:r>
      <w:r w:rsidR="00D12E8B">
        <w:t>had to</w:t>
      </w:r>
      <w:r w:rsidRPr="0046461B">
        <w:t xml:space="preserve"> wade through in the course of rejecting the website’s pre-set privacy defaults</w:t>
      </w:r>
      <w:r w:rsidR="00712052">
        <w:rPr>
          <w:rStyle w:val="EndnoteReference"/>
        </w:rPr>
        <w:endnoteReference w:id="13"/>
      </w:r>
      <w:r w:rsidRPr="0046461B">
        <w:t xml:space="preserve">. Such high transaction costs could make the default sticky if the individual </w:t>
      </w:r>
      <w:r w:rsidRPr="00FB0A00">
        <w:rPr>
          <w:rStyle w:val="BoldColour"/>
        </w:rPr>
        <w:t>could not clearly perceive a benefit</w:t>
      </w:r>
      <w:r w:rsidRPr="0046461B">
        <w:t xml:space="preserve"> relative to the effort involved in opting out of a default.</w:t>
      </w:r>
    </w:p>
    <w:p w14:paraId="06854DC9" w14:textId="77777777" w:rsidR="007F38DB" w:rsidRDefault="007F38DB" w:rsidP="00C14EA0">
      <w:pPr>
        <w:pStyle w:val="ListParagraph"/>
        <w:numPr>
          <w:ilvl w:val="0"/>
          <w:numId w:val="20"/>
        </w:numPr>
      </w:pPr>
      <w:r w:rsidRPr="0046461B">
        <w:t xml:space="preserve">A default may also appear unchangeable if it is not framed correctly, or when the choice to opt-out is </w:t>
      </w:r>
      <w:r w:rsidRPr="007A18DF">
        <w:rPr>
          <w:rStyle w:val="BoldColour"/>
        </w:rPr>
        <w:t>not clearly visible</w:t>
      </w:r>
      <w:r w:rsidRPr="0046461B">
        <w:t xml:space="preserve"> or made plain.</w:t>
      </w:r>
    </w:p>
    <w:p w14:paraId="4305BE15" w14:textId="77777777" w:rsidR="007F38DB" w:rsidRPr="0046461B" w:rsidRDefault="007F38DB" w:rsidP="0057334E">
      <w:pPr>
        <w:pStyle w:val="h3"/>
      </w:pPr>
      <w:r w:rsidRPr="0046461B">
        <w:t>Behavioural Biases</w:t>
      </w:r>
    </w:p>
    <w:p w14:paraId="4E5A0FF5" w14:textId="77777777" w:rsidR="007F38DB" w:rsidRPr="0046461B" w:rsidRDefault="007F38DB" w:rsidP="007F38DB">
      <w:r w:rsidRPr="0046461B">
        <w:t xml:space="preserve">Behavioural Biases such as </w:t>
      </w:r>
      <w:r w:rsidRPr="007A18DF">
        <w:rPr>
          <w:rStyle w:val="BoldColour"/>
        </w:rPr>
        <w:t>Judgment Biases</w:t>
      </w:r>
      <w:r w:rsidRPr="0046461B">
        <w:t xml:space="preserve"> (skewing of perception)</w:t>
      </w:r>
      <w:r w:rsidR="00C14EA0">
        <w:t xml:space="preserve"> </w:t>
      </w:r>
      <w:r w:rsidRPr="0046461B">
        <w:t xml:space="preserve">and </w:t>
      </w:r>
      <w:r w:rsidRPr="007A18DF">
        <w:rPr>
          <w:rStyle w:val="BoldColour"/>
        </w:rPr>
        <w:t>Decision Biases</w:t>
      </w:r>
      <w:r w:rsidRPr="0046461B">
        <w:t xml:space="preserve"> (reaction to uncertainty) play a strong role in the effectiveness of a default. These include:</w:t>
      </w:r>
    </w:p>
    <w:p w14:paraId="70230C28" w14:textId="77777777" w:rsidR="007F38DB" w:rsidRPr="0046461B" w:rsidRDefault="007F38DB" w:rsidP="00F23CFE">
      <w:pPr>
        <w:pStyle w:val="ListParagraph"/>
        <w:numPr>
          <w:ilvl w:val="0"/>
          <w:numId w:val="21"/>
        </w:numPr>
      </w:pPr>
      <w:r w:rsidRPr="007A18DF">
        <w:rPr>
          <w:rStyle w:val="BoldColour"/>
        </w:rPr>
        <w:t>Loss aversion</w:t>
      </w:r>
      <w:r w:rsidRPr="0046461B">
        <w:t xml:space="preserve"> </w:t>
      </w:r>
      <w:r w:rsidR="007A18DF">
        <w:t>–</w:t>
      </w:r>
      <w:r w:rsidR="00A43D7F">
        <w:t xml:space="preserve"> </w:t>
      </w:r>
      <w:r w:rsidRPr="0046461B">
        <w:t xml:space="preserve">where individuals weigh losses more heavily than gains against some reference point (for example, against the default position). One manifestation of loss aversion is the </w:t>
      </w:r>
      <w:r w:rsidRPr="00660F73">
        <w:rPr>
          <w:rStyle w:val="BoldColour"/>
        </w:rPr>
        <w:t>endowment effect</w:t>
      </w:r>
      <w:r w:rsidRPr="0046461B">
        <w:t>, placing a higher value on what one already possesses (the reference point</w:t>
      </w:r>
      <w:r w:rsidR="00C35A16">
        <w:t xml:space="preserve"> – </w:t>
      </w:r>
      <w:r w:rsidRPr="0046461B">
        <w:t>‘default’) against which losses are measured.</w:t>
      </w:r>
    </w:p>
    <w:p w14:paraId="0B9658CA" w14:textId="77777777" w:rsidR="007F38DB" w:rsidRPr="0046461B" w:rsidRDefault="007F38DB" w:rsidP="00F23CFE">
      <w:pPr>
        <w:pStyle w:val="ListParagraph"/>
        <w:numPr>
          <w:ilvl w:val="0"/>
          <w:numId w:val="21"/>
        </w:numPr>
      </w:pPr>
      <w:r w:rsidRPr="00F23CFE">
        <w:rPr>
          <w:rStyle w:val="BoldColour"/>
        </w:rPr>
        <w:t>Discounting</w:t>
      </w:r>
      <w:r w:rsidRPr="0046461B">
        <w:t xml:space="preserve"> </w:t>
      </w:r>
      <w:r w:rsidR="00F23CFE">
        <w:t>–</w:t>
      </w:r>
      <w:r w:rsidRPr="0046461B">
        <w:t xml:space="preserve"> where the perceived upfront costs of opting</w:t>
      </w:r>
      <w:r w:rsidR="00D12E8B">
        <w:t xml:space="preserve"> </w:t>
      </w:r>
      <w:r w:rsidRPr="0046461B">
        <w:t>out are immediate and certain but the benefits are uncertain and in the future.</w:t>
      </w:r>
    </w:p>
    <w:p w14:paraId="21D8F369" w14:textId="77777777" w:rsidR="007F38DB" w:rsidRPr="0046461B" w:rsidRDefault="007F38DB" w:rsidP="00F23CFE">
      <w:pPr>
        <w:pStyle w:val="ListParagraph"/>
        <w:numPr>
          <w:ilvl w:val="0"/>
          <w:numId w:val="21"/>
        </w:numPr>
      </w:pPr>
      <w:r w:rsidRPr="00F23CFE">
        <w:rPr>
          <w:rStyle w:val="BoldColour"/>
        </w:rPr>
        <w:t>Procrastination</w:t>
      </w:r>
      <w:r w:rsidRPr="0046461B">
        <w:t xml:space="preserve"> </w:t>
      </w:r>
      <w:r w:rsidR="00F23CFE">
        <w:t>–</w:t>
      </w:r>
      <w:r w:rsidRPr="0046461B">
        <w:t xml:space="preserve"> where a decision carries a high cognitive or emotional load or has the presence of high stakes, leading to individuals maintaining the status quo.</w:t>
      </w:r>
    </w:p>
    <w:p w14:paraId="1AFEB533" w14:textId="77777777" w:rsidR="007F38DB" w:rsidRPr="0046461B" w:rsidRDefault="007F38DB" w:rsidP="00F23CFE">
      <w:pPr>
        <w:pStyle w:val="ListParagraph"/>
        <w:numPr>
          <w:ilvl w:val="0"/>
          <w:numId w:val="21"/>
        </w:numPr>
      </w:pPr>
      <w:r w:rsidRPr="00F23CFE">
        <w:rPr>
          <w:rStyle w:val="BoldColour"/>
        </w:rPr>
        <w:lastRenderedPageBreak/>
        <w:t>Omission</w:t>
      </w:r>
      <w:r w:rsidRPr="0046461B">
        <w:t xml:space="preserve"> </w:t>
      </w:r>
      <w:r w:rsidR="00F23CFE">
        <w:t>–</w:t>
      </w:r>
      <w:r w:rsidRPr="0046461B">
        <w:t xml:space="preserve"> bias where the fear of making the wrong decision gives defaults traction. This leads to </w:t>
      </w:r>
      <w:r w:rsidRPr="00660F73">
        <w:rPr>
          <w:rStyle w:val="BoldColour"/>
        </w:rPr>
        <w:t>regret aversion</w:t>
      </w:r>
      <w:r w:rsidRPr="0046461B">
        <w:t xml:space="preserve"> where people blame themselves for a poor outcome (the error of commission) more than when the outcome is caused by sticking to the default (the error of omission).</w:t>
      </w:r>
    </w:p>
    <w:p w14:paraId="387A25E4" w14:textId="77777777" w:rsidR="007F38DB" w:rsidRPr="0046461B" w:rsidRDefault="007F38DB" w:rsidP="0057334E">
      <w:pPr>
        <w:pStyle w:val="h3"/>
      </w:pPr>
      <w:r w:rsidRPr="0046461B">
        <w:t>Preference formation</w:t>
      </w:r>
    </w:p>
    <w:p w14:paraId="410C76CB" w14:textId="77777777" w:rsidR="007F38DB" w:rsidRPr="0046461B" w:rsidRDefault="007F38DB" w:rsidP="007F38DB">
      <w:r w:rsidRPr="0046461B">
        <w:t xml:space="preserve">The process of </w:t>
      </w:r>
      <w:r w:rsidRPr="00660F73">
        <w:rPr>
          <w:rStyle w:val="BoldColour"/>
        </w:rPr>
        <w:t>preference formation</w:t>
      </w:r>
      <w:r w:rsidRPr="0046461B">
        <w:t xml:space="preserve"> could also make defaults sticky in situations where defaults influence how preferences are formed.</w:t>
      </w:r>
    </w:p>
    <w:p w14:paraId="163610DB" w14:textId="77777777" w:rsidR="007F38DB" w:rsidRPr="0046461B" w:rsidRDefault="007F38DB" w:rsidP="007F38DB">
      <w:r w:rsidRPr="0046461B">
        <w:t>For example, defaults may portray:</w:t>
      </w:r>
    </w:p>
    <w:p w14:paraId="3331637F" w14:textId="77777777" w:rsidR="007F38DB" w:rsidRPr="0046461B" w:rsidRDefault="007F38DB" w:rsidP="00660F73">
      <w:pPr>
        <w:pStyle w:val="ListParagraph"/>
        <w:numPr>
          <w:ilvl w:val="0"/>
          <w:numId w:val="22"/>
        </w:numPr>
      </w:pPr>
      <w:r w:rsidRPr="00660F73">
        <w:rPr>
          <w:rStyle w:val="BoldColour"/>
        </w:rPr>
        <w:t>Implicit advice</w:t>
      </w:r>
      <w:r w:rsidRPr="0046461B">
        <w:t xml:space="preserve"> </w:t>
      </w:r>
      <w:r w:rsidR="00660F73">
        <w:t>–</w:t>
      </w:r>
      <w:r w:rsidRPr="0046461B">
        <w:t xml:space="preserve"> where people treat the default as the recommended option set by knowledgeable experts and as such, form the opinion that the default is the best choice for them.</w:t>
      </w:r>
    </w:p>
    <w:p w14:paraId="08C2D2FC" w14:textId="77777777" w:rsidR="007F38DB" w:rsidRPr="0046461B" w:rsidRDefault="007F38DB" w:rsidP="00660F73">
      <w:pPr>
        <w:pStyle w:val="ListParagraph"/>
        <w:numPr>
          <w:ilvl w:val="0"/>
          <w:numId w:val="22"/>
        </w:numPr>
      </w:pPr>
      <w:r w:rsidRPr="00660F73">
        <w:rPr>
          <w:rStyle w:val="BoldColour"/>
        </w:rPr>
        <w:t>Experience</w:t>
      </w:r>
      <w:r w:rsidRPr="0046461B">
        <w:t xml:space="preserve"> </w:t>
      </w:r>
      <w:r w:rsidR="00660F73">
        <w:t>–</w:t>
      </w:r>
      <w:r w:rsidRPr="0046461B">
        <w:t xml:space="preserve"> where staying in a default position for too long leads to the decision-maker developing a strong preference for the default.</w:t>
      </w:r>
    </w:p>
    <w:p w14:paraId="3524CAD7" w14:textId="77777777" w:rsidR="009C2DC1" w:rsidRDefault="009C2DC1">
      <w:pPr>
        <w:keepLines w:val="0"/>
        <w:spacing w:before="0" w:after="0" w:line="240" w:lineRule="auto"/>
      </w:pPr>
      <w:r>
        <w:br w:type="page"/>
      </w:r>
    </w:p>
    <w:p w14:paraId="5F8663E9" w14:textId="77777777" w:rsidR="007F38DB" w:rsidRPr="0046461B" w:rsidRDefault="007F38DB" w:rsidP="0057334E">
      <w:pPr>
        <w:pStyle w:val="h2"/>
      </w:pPr>
      <w:bookmarkStart w:id="9" w:name="_Toc516665921"/>
      <w:r w:rsidRPr="0046461B">
        <w:lastRenderedPageBreak/>
        <w:t>The optimal</w:t>
      </w:r>
      <w:r w:rsidR="009C2DC1">
        <w:t xml:space="preserve"> default framework</w:t>
      </w:r>
      <w:bookmarkEnd w:id="9"/>
    </w:p>
    <w:p w14:paraId="41B3B843" w14:textId="77777777" w:rsidR="007F38DB" w:rsidRPr="0046461B" w:rsidRDefault="002952C5" w:rsidP="0057334E">
      <w:pPr>
        <w:pStyle w:val="h3"/>
      </w:pPr>
      <w:r>
        <w:t>Key principles</w:t>
      </w:r>
      <w:r w:rsidR="00674CAA">
        <w:fldChar w:fldCharType="begin"/>
      </w:r>
      <w:r w:rsidR="00674CAA">
        <w:instrText xml:space="preserve"> NOTEREF _Ref515870559 \f \h </w:instrText>
      </w:r>
      <w:r w:rsidR="00674CAA">
        <w:fldChar w:fldCharType="separate"/>
      </w:r>
      <w:r w:rsidR="00674CAA" w:rsidRPr="00674CAA">
        <w:rPr>
          <w:rStyle w:val="EndnoteReference"/>
        </w:rPr>
        <w:t>11</w:t>
      </w:r>
      <w:r w:rsidR="00674CAA">
        <w:fldChar w:fldCharType="end"/>
      </w:r>
      <w:r w:rsidR="00674CAA" w:rsidRPr="00674CAA">
        <w:rPr>
          <w:vertAlign w:val="superscript"/>
        </w:rPr>
        <w:t>,</w:t>
      </w:r>
      <w:r w:rsidR="00674CAA">
        <w:fldChar w:fldCharType="begin"/>
      </w:r>
      <w:r w:rsidR="00674CAA">
        <w:instrText xml:space="preserve"> NOTEREF _Ref515870565 \f \h </w:instrText>
      </w:r>
      <w:r w:rsidR="00674CAA">
        <w:fldChar w:fldCharType="separate"/>
      </w:r>
      <w:r w:rsidR="00674CAA" w:rsidRPr="00674CAA">
        <w:rPr>
          <w:rStyle w:val="EndnoteReference"/>
        </w:rPr>
        <w:t>12</w:t>
      </w:r>
      <w:r w:rsidR="00674CAA">
        <w:fldChar w:fldCharType="end"/>
      </w:r>
    </w:p>
    <w:p w14:paraId="26B0BB48" w14:textId="77777777" w:rsidR="007F38DB" w:rsidRPr="0046461B" w:rsidRDefault="007F38DB" w:rsidP="007F38DB">
      <w:r w:rsidRPr="0046461B">
        <w:t>Following are some key principles that policy</w:t>
      </w:r>
      <w:r w:rsidR="00D12E8B">
        <w:t>-</w:t>
      </w:r>
      <w:r w:rsidRPr="0046461B">
        <w:t>makers should consider when thinking about applying a default setting to improve a policy or service delivery outcome.</w:t>
      </w:r>
    </w:p>
    <w:p w14:paraId="650D83EF" w14:textId="77777777" w:rsidR="007F38DB" w:rsidRPr="0046461B" w:rsidRDefault="007F38DB" w:rsidP="0057334E">
      <w:pPr>
        <w:pStyle w:val="h3"/>
      </w:pPr>
      <w:r w:rsidRPr="0046461B">
        <w:t>Principle 1</w:t>
      </w:r>
    </w:p>
    <w:p w14:paraId="528B4C4D" w14:textId="77777777" w:rsidR="007F38DB" w:rsidRPr="0046461B" w:rsidRDefault="007F38DB" w:rsidP="0057334E">
      <w:pPr>
        <w:pStyle w:val="h4"/>
      </w:pPr>
      <w:r w:rsidRPr="0046461B">
        <w:t>Appropriateness – consider whether the policy/programme/service delivery setting is appropriate for default</w:t>
      </w:r>
    </w:p>
    <w:p w14:paraId="44FB1611" w14:textId="77777777" w:rsidR="007F38DB" w:rsidRPr="0046461B" w:rsidRDefault="007F38DB" w:rsidP="007F38DB">
      <w:r w:rsidRPr="0046461B">
        <w:t>Defaults work best where people are homogenous in their preferences and circumstances, and have relatively limited decision-making expertise, with the costs of making an alternative choice being high relative to the benefits of doing so.</w:t>
      </w:r>
    </w:p>
    <w:p w14:paraId="6F8A59D2" w14:textId="77777777" w:rsidR="007F38DB" w:rsidRPr="0046461B" w:rsidRDefault="007F38DB" w:rsidP="007F38DB">
      <w:r w:rsidRPr="0046461B">
        <w:t>When assessing whether a policy, programme or service would benefit from a default setting, policy-makers should clearly identify whether the following conditions exist:</w:t>
      </w:r>
    </w:p>
    <w:p w14:paraId="29A4D0B7" w14:textId="77777777" w:rsidR="00021B7A" w:rsidRDefault="007F38DB" w:rsidP="007F38DB">
      <w:pPr>
        <w:pStyle w:val="ListParagraph"/>
        <w:numPr>
          <w:ilvl w:val="0"/>
          <w:numId w:val="23"/>
        </w:numPr>
      </w:pPr>
      <w:r w:rsidRPr="009C2DC1">
        <w:rPr>
          <w:rStyle w:val="BoldColour"/>
        </w:rPr>
        <w:t>An opposed party with access to the consumer:</w:t>
      </w:r>
      <w:r w:rsidRPr="0046461B">
        <w:t xml:space="preserve"> Policy-makers should consider whether the effectivene</w:t>
      </w:r>
      <w:r w:rsidR="00712052">
        <w:t xml:space="preserve">ss of the default option could </w:t>
      </w:r>
      <w:r w:rsidRPr="0046461B">
        <w:t>be frustrated as a result of the actions of other stakeholders who are capable of influencing people’s choices, have a vested interest in doing so and could counter-nudge people in a different direction to reduce the effectiveness of the default.</w:t>
      </w:r>
    </w:p>
    <w:p w14:paraId="32E7C709" w14:textId="77777777" w:rsidR="007F38DB" w:rsidRPr="0046461B" w:rsidRDefault="007F38DB" w:rsidP="00021B7A">
      <w:pPr>
        <w:ind w:left="360"/>
      </w:pPr>
      <w:r w:rsidRPr="0046461B">
        <w:t>The success of the UK pension enrolment relied on the pension funds being in favour of enrolling participants into the program. If these</w:t>
      </w:r>
      <w:r w:rsidR="00021B7A">
        <w:t xml:space="preserve"> </w:t>
      </w:r>
      <w:r w:rsidRPr="0046461B">
        <w:t>stakeholders were opposed to the program, they could influence consumer’s behaviour to opt-out of the default. This has been a regulator’s experience</w:t>
      </w:r>
      <w:r w:rsidR="00021B7A">
        <w:t xml:space="preserve"> </w:t>
      </w:r>
      <w:r w:rsidRPr="0046461B">
        <w:t>in the US when they tried unsuccessfully to introduce default settings to protect consumers from bank overdraft charges</w:t>
      </w:r>
      <w:r w:rsidR="00A43D7F">
        <w:rPr>
          <w:vertAlign w:val="superscript"/>
        </w:rPr>
        <w:fldChar w:fldCharType="begin"/>
      </w:r>
      <w:r w:rsidR="00A43D7F">
        <w:instrText xml:space="preserve"> NOTEREF _Ref515870559 \f \h </w:instrText>
      </w:r>
      <w:r w:rsidR="00A43D7F">
        <w:rPr>
          <w:vertAlign w:val="superscript"/>
        </w:rPr>
      </w:r>
      <w:r w:rsidR="00A43D7F">
        <w:rPr>
          <w:vertAlign w:val="superscript"/>
        </w:rPr>
        <w:fldChar w:fldCharType="separate"/>
      </w:r>
      <w:r w:rsidR="00A43D7F" w:rsidRPr="00A43D7F">
        <w:rPr>
          <w:rStyle w:val="EndnoteReference"/>
        </w:rPr>
        <w:t>11</w:t>
      </w:r>
      <w:r w:rsidR="00A43D7F">
        <w:rPr>
          <w:vertAlign w:val="superscript"/>
        </w:rPr>
        <w:fldChar w:fldCharType="end"/>
      </w:r>
      <w:r w:rsidRPr="0046461B">
        <w:t>. Banks conducted a targeted campaign to entice consumers to opt-out of the default and to revert back to their original arrangement with the bank.</w:t>
      </w:r>
    </w:p>
    <w:p w14:paraId="00CB73D9" w14:textId="77777777" w:rsidR="00A43D7F" w:rsidRDefault="00A43D7F">
      <w:pPr>
        <w:keepLines w:val="0"/>
        <w:spacing w:before="0" w:after="0" w:line="240" w:lineRule="auto"/>
      </w:pPr>
      <w:r>
        <w:br w:type="page"/>
      </w:r>
    </w:p>
    <w:p w14:paraId="1827FB90" w14:textId="77777777" w:rsidR="007F38DB" w:rsidRPr="0046461B" w:rsidRDefault="007F38DB" w:rsidP="00DB6BB6">
      <w:pPr>
        <w:pStyle w:val="ListParagraph"/>
        <w:numPr>
          <w:ilvl w:val="0"/>
          <w:numId w:val="23"/>
        </w:numPr>
      </w:pPr>
      <w:r w:rsidRPr="00DB6BB6">
        <w:rPr>
          <w:rStyle w:val="BoldColour"/>
        </w:rPr>
        <w:lastRenderedPageBreak/>
        <w:t>A confusing decision environment and/or consumer preference uncertainty:</w:t>
      </w:r>
      <w:r w:rsidRPr="0046461B">
        <w:t xml:space="preserve"> These lead to reinforcement of behavioural biases discussed earlier. In particular, fear of making a mistake (omission bias), procrastination and loss aversion all lead to the default setting being effective. A default that does not align with strong established preferences may not be successful. </w:t>
      </w:r>
    </w:p>
    <w:p w14:paraId="50EA91D6" w14:textId="77777777" w:rsidR="007F38DB" w:rsidRPr="0046461B" w:rsidRDefault="007F38DB" w:rsidP="00D12E8B">
      <w:pPr>
        <w:ind w:left="360"/>
      </w:pPr>
      <w:r w:rsidRPr="0046461B">
        <w:t>A recent intervention attempted to automatically invest the tax refund amount of low income participants into US bonds.</w:t>
      </w:r>
      <w:r w:rsidR="00C35A16">
        <w:t xml:space="preserve"> </w:t>
      </w:r>
      <w:r w:rsidRPr="0046461B">
        <w:t>The majority of participants decided to opt-out of this default and receive the refund in cash instead, because they had already allocated the anticipated tax refund toward paying off debts and other living expenses</w:t>
      </w:r>
      <w:r w:rsidR="00712052">
        <w:rPr>
          <w:rStyle w:val="EndnoteReference"/>
        </w:rPr>
        <w:endnoteReference w:id="14"/>
      </w:r>
      <w:r w:rsidRPr="0046461B">
        <w:t>. Similarly, even though the default for both men and women is to retain their pre- marriage surnames, only 20 per cent of Australian women do so</w:t>
      </w:r>
      <w:r w:rsidR="00712052">
        <w:rPr>
          <w:rStyle w:val="EndnoteReference"/>
        </w:rPr>
        <w:endnoteReference w:id="15"/>
      </w:r>
      <w:r w:rsidRPr="0046461B">
        <w:t>. The failure of this default to be effective has been attributed to the real cost incurred in keeping</w:t>
      </w:r>
      <w:r w:rsidR="000F313D">
        <w:t xml:space="preserve"> a previous surname along with </w:t>
      </w:r>
      <w:r w:rsidRPr="0046461B">
        <w:t>strong established preferences (social norms) to adopt the partner’s name</w:t>
      </w:r>
      <w:r w:rsidR="004348C9">
        <w:fldChar w:fldCharType="begin"/>
      </w:r>
      <w:r w:rsidR="004348C9">
        <w:instrText xml:space="preserve"> NOTEREF _Ref515870565 \f \h </w:instrText>
      </w:r>
      <w:r w:rsidR="004348C9">
        <w:fldChar w:fldCharType="separate"/>
      </w:r>
      <w:r w:rsidR="004348C9" w:rsidRPr="004348C9">
        <w:rPr>
          <w:rStyle w:val="EndnoteReference"/>
        </w:rPr>
        <w:t>12</w:t>
      </w:r>
      <w:r w:rsidR="004348C9">
        <w:fldChar w:fldCharType="end"/>
      </w:r>
      <w:r w:rsidRPr="0046461B">
        <w:t>.</w:t>
      </w:r>
    </w:p>
    <w:p w14:paraId="3DE464E6" w14:textId="77777777" w:rsidR="007F38DB" w:rsidRPr="0046461B" w:rsidRDefault="007F38DB" w:rsidP="0057334E">
      <w:pPr>
        <w:pStyle w:val="h3"/>
      </w:pPr>
      <w:r w:rsidRPr="0046461B">
        <w:t>Principle 2</w:t>
      </w:r>
    </w:p>
    <w:p w14:paraId="7DFF8FE3" w14:textId="77777777" w:rsidR="007F38DB" w:rsidRPr="0046461B" w:rsidRDefault="007F38DB" w:rsidP="0057334E">
      <w:pPr>
        <w:pStyle w:val="h4"/>
      </w:pPr>
      <w:r w:rsidRPr="0046461B">
        <w:t>Transparency and optimality – the default must be a good choice</w:t>
      </w:r>
    </w:p>
    <w:p w14:paraId="503FEA7B" w14:textId="77777777" w:rsidR="007F38DB" w:rsidRPr="0046461B" w:rsidRDefault="007F38DB" w:rsidP="007F38DB">
      <w:r w:rsidRPr="0046461B">
        <w:t>A default should be transparent and align with people’s best intentions. Attempting to mislead customers may result in backlash if it is seen to be steering people in a direction which they do not support. As such, it</w:t>
      </w:r>
      <w:r w:rsidR="00DB6BB6">
        <w:t xml:space="preserve"> </w:t>
      </w:r>
      <w:r w:rsidRPr="0046461B">
        <w:t>is crucial to conduct proper pre-rollout diagnosis and post-rollout evaluation of the intervention’s effectiveness.</w:t>
      </w:r>
    </w:p>
    <w:p w14:paraId="3F1343A1" w14:textId="77777777" w:rsidR="007F38DB" w:rsidRPr="0046461B" w:rsidRDefault="007F38DB" w:rsidP="0057334E">
      <w:pPr>
        <w:pStyle w:val="h3"/>
      </w:pPr>
      <w:r w:rsidRPr="0046461B">
        <w:t>Principle 3</w:t>
      </w:r>
    </w:p>
    <w:p w14:paraId="6116543F" w14:textId="77777777" w:rsidR="007F38DB" w:rsidRPr="0046461B" w:rsidRDefault="00D12E8B" w:rsidP="0057334E">
      <w:pPr>
        <w:pStyle w:val="h4"/>
      </w:pPr>
      <w:r>
        <w:t xml:space="preserve">Winners and losers – </w:t>
      </w:r>
      <w:r w:rsidR="007F38DB" w:rsidRPr="0046461B">
        <w:t>identify and quantify the trade-offs</w:t>
      </w:r>
    </w:p>
    <w:p w14:paraId="30AAF025" w14:textId="77777777" w:rsidR="007F38DB" w:rsidRPr="0046461B" w:rsidRDefault="007F38DB" w:rsidP="007F38DB">
      <w:r w:rsidRPr="0046461B">
        <w:t>If people are more heterogeneous, any default is likely to be sub-optimal for a greater proportion of them. Because average effects typically mask differential impacts, some participants may be worse off as a result of the default. If the trade-offs are not clearly communicated and mitigation strategies identified, special interest groups could undermine the default setting. In certain cases it may be a better option to prompt people to make their own decisions.</w:t>
      </w:r>
    </w:p>
    <w:p w14:paraId="28CB8D91" w14:textId="77777777" w:rsidR="007F38DB" w:rsidRPr="0046461B" w:rsidRDefault="007F38DB" w:rsidP="007F38DB">
      <w:r w:rsidRPr="0046461B">
        <w:t>Consequently, when designing a default it is important to clearly identify and communicate the trade-offs and adjust the default setting accordingly. For example, in the KiwiSaver scheme, a number of people signed up to a default conservative fund and did not switch to a portfolio more in line with their risk profile.</w:t>
      </w:r>
    </w:p>
    <w:p w14:paraId="2402AA27" w14:textId="77777777" w:rsidR="00667AAF" w:rsidRDefault="00667AAF">
      <w:pPr>
        <w:keepLines w:val="0"/>
        <w:spacing w:before="0" w:after="0" w:line="240" w:lineRule="auto"/>
      </w:pPr>
      <w:r>
        <w:br w:type="page"/>
      </w:r>
    </w:p>
    <w:p w14:paraId="15464FAB" w14:textId="77777777" w:rsidR="007F38DB" w:rsidRPr="0046461B" w:rsidRDefault="007F38DB" w:rsidP="0057334E">
      <w:pPr>
        <w:pStyle w:val="h3"/>
      </w:pPr>
      <w:r w:rsidRPr="0046461B">
        <w:lastRenderedPageBreak/>
        <w:t>Principle 4</w:t>
      </w:r>
    </w:p>
    <w:p w14:paraId="456B211F" w14:textId="77777777" w:rsidR="007F38DB" w:rsidRPr="0046461B" w:rsidRDefault="007F38DB" w:rsidP="0057334E">
      <w:pPr>
        <w:pStyle w:val="h4"/>
      </w:pPr>
      <w:r w:rsidRPr="0046461B">
        <w:t>Default type – use principles 1-3 to determine an appropriate default setting</w:t>
      </w:r>
      <w:r w:rsidR="000F313D">
        <w:rPr>
          <w:rStyle w:val="EndnoteReference"/>
        </w:rPr>
        <w:endnoteReference w:id="16"/>
      </w:r>
    </w:p>
    <w:p w14:paraId="41411D4C" w14:textId="77777777" w:rsidR="007F38DB" w:rsidRPr="0046461B" w:rsidRDefault="007F38DB" w:rsidP="007F38DB">
      <w:r w:rsidRPr="0046461B">
        <w:t>The degree of default choice architecture that would best accomplish the policy’s objective should be considered in line with principles 1-3. Below are some commonly used default settings:</w:t>
      </w:r>
    </w:p>
    <w:p w14:paraId="7A0DCC5D" w14:textId="77777777" w:rsidR="00667AAF" w:rsidRDefault="007F38DB" w:rsidP="007F38DB">
      <w:pPr>
        <w:pStyle w:val="ListParagraph"/>
        <w:numPr>
          <w:ilvl w:val="0"/>
          <w:numId w:val="23"/>
        </w:numPr>
      </w:pPr>
      <w:r w:rsidRPr="00667AAF">
        <w:rPr>
          <w:rStyle w:val="BoldColour"/>
        </w:rPr>
        <w:t>Mandated defaults:</w:t>
      </w:r>
      <w:r w:rsidRPr="0046461B">
        <w:t xml:space="preserve"> For example, participation in the Australian Superannuation Guarantee system is automated (simple) and mandatory. A mandated default may be justified when the decision is complex and perceived benefits are too far away in the future to be calculated accurately.</w:t>
      </w:r>
    </w:p>
    <w:p w14:paraId="7E66113B" w14:textId="77777777" w:rsidR="00667AAF" w:rsidRDefault="007F38DB" w:rsidP="007F38DB">
      <w:pPr>
        <w:pStyle w:val="ListParagraph"/>
        <w:numPr>
          <w:ilvl w:val="0"/>
          <w:numId w:val="23"/>
        </w:numPr>
      </w:pPr>
      <w:r w:rsidRPr="00667AAF">
        <w:rPr>
          <w:rStyle w:val="BoldColour"/>
        </w:rPr>
        <w:t>Non-mandatory or soft defaults:</w:t>
      </w:r>
      <w:r w:rsidRPr="0046461B">
        <w:t xml:space="preserve"> Continuing with the above example of the Australian Superannuation Guarantee, a participant could be allocated into a default Superannuation fund if they do not nominate a preferred fund. However they are free to opt-out of this soft default at any time and choose a fund that best reflects their preferences.</w:t>
      </w:r>
    </w:p>
    <w:p w14:paraId="2CAFF19B" w14:textId="77777777" w:rsidR="00667AAF" w:rsidRDefault="007F38DB" w:rsidP="007F38DB">
      <w:pPr>
        <w:pStyle w:val="ListParagraph"/>
        <w:numPr>
          <w:ilvl w:val="0"/>
          <w:numId w:val="23"/>
        </w:numPr>
      </w:pPr>
      <w:r w:rsidRPr="00667AAF">
        <w:rPr>
          <w:rStyle w:val="BoldColour"/>
        </w:rPr>
        <w:t>Active choice:</w:t>
      </w:r>
      <w:r w:rsidRPr="0046461B">
        <w:t xml:space="preserve"> This approach is suitable when policy-makers do not want to make an implicit recommendation via its default structure and when it is critical to engage and focus people on the choices they have been asked to make.</w:t>
      </w:r>
    </w:p>
    <w:p w14:paraId="74D493CF" w14:textId="77777777" w:rsidR="00667AAF" w:rsidRDefault="007F38DB" w:rsidP="007F38DB">
      <w:pPr>
        <w:pStyle w:val="ListParagraph"/>
        <w:numPr>
          <w:ilvl w:val="0"/>
          <w:numId w:val="23"/>
        </w:numPr>
      </w:pPr>
      <w:r w:rsidRPr="00667AAF">
        <w:rPr>
          <w:rStyle w:val="BoldColour"/>
        </w:rPr>
        <w:t>Sensory defaults:</w:t>
      </w:r>
      <w:r w:rsidRPr="0046461B">
        <w:t xml:space="preserve"> Defaults that change according to what can be inferred about the user, e.g. websites that change language dependent on country of origin of the visitor.</w:t>
      </w:r>
    </w:p>
    <w:p w14:paraId="1A375780" w14:textId="77777777" w:rsidR="007F38DB" w:rsidRPr="0046461B" w:rsidRDefault="007F38DB" w:rsidP="007F38DB">
      <w:pPr>
        <w:pStyle w:val="ListParagraph"/>
        <w:numPr>
          <w:ilvl w:val="0"/>
          <w:numId w:val="23"/>
        </w:numPr>
      </w:pPr>
      <w:r w:rsidRPr="00667AAF">
        <w:rPr>
          <w:rStyle w:val="BoldColour"/>
        </w:rPr>
        <w:t>Predictive defaults:</w:t>
      </w:r>
      <w:r w:rsidRPr="0046461B">
        <w:t xml:space="preserve"> Defaults that are intelligently altered after observing users.</w:t>
      </w:r>
    </w:p>
    <w:p w14:paraId="5824812C" w14:textId="77777777" w:rsidR="007F38DB" w:rsidRPr="0046461B" w:rsidRDefault="007F38DB" w:rsidP="0057334E">
      <w:pPr>
        <w:pStyle w:val="h3"/>
      </w:pPr>
      <w:r w:rsidRPr="0046461B">
        <w:t>Principle 5:</w:t>
      </w:r>
    </w:p>
    <w:p w14:paraId="0B7C4D41" w14:textId="77777777" w:rsidR="007F38DB" w:rsidRPr="0046461B" w:rsidRDefault="007F38DB" w:rsidP="0057334E">
      <w:pPr>
        <w:pStyle w:val="h4"/>
      </w:pPr>
      <w:r w:rsidRPr="0046461B">
        <w:t>Consider consideration – be mindful of the ethical issues</w:t>
      </w:r>
    </w:p>
    <w:p w14:paraId="3AAC690A" w14:textId="77777777" w:rsidR="007F38DB" w:rsidRPr="0046461B" w:rsidRDefault="007F38DB" w:rsidP="007F38DB">
      <w:r w:rsidRPr="0046461B">
        <w:t>It would be prudent to conduct extensive qualitative research on the relevant population’s views of policy and potential outcomes should a default be introduced. One way to achieve this is to set a forced choice default experiment and observe the outcome.</w:t>
      </w:r>
    </w:p>
    <w:p w14:paraId="034687D8" w14:textId="77777777" w:rsidR="007F38DB" w:rsidRPr="0046461B" w:rsidRDefault="007F38DB" w:rsidP="007F38DB">
      <w:r w:rsidRPr="0046461B">
        <w:t>In cases of mandating defaults policy-makers must carefully consider if it is in everyone’s best interest to be covered by the default. Even if on aggregate a default leads to a socially beneficial outcome, a range of factors including</w:t>
      </w:r>
    </w:p>
    <w:p w14:paraId="43D60977" w14:textId="77777777" w:rsidR="007F38DB" w:rsidRPr="0046461B" w:rsidRDefault="007F38DB" w:rsidP="007F38DB">
      <w:r w:rsidRPr="0046461B">
        <w:t>inconvenience and burden experienced by a small fraction of users could make this default architecture unethical. When opt-out as an active choice is permitted, the above-mentioned concerns are somewhat alleviated; nevertheless, ethical considerations around active consent and participation remain.</w:t>
      </w:r>
    </w:p>
    <w:p w14:paraId="0535E338" w14:textId="77777777" w:rsidR="006E6BB5" w:rsidRDefault="006E6BB5">
      <w:pPr>
        <w:keepLines w:val="0"/>
        <w:spacing w:before="0" w:after="0" w:line="240" w:lineRule="auto"/>
      </w:pPr>
      <w:r>
        <w:br w:type="page"/>
      </w:r>
    </w:p>
    <w:p w14:paraId="7F5A7C4F" w14:textId="77777777" w:rsidR="003525C8" w:rsidRDefault="007F38DB" w:rsidP="0057334E">
      <w:pPr>
        <w:pStyle w:val="h2"/>
      </w:pPr>
      <w:bookmarkStart w:id="10" w:name="_Toc516665922"/>
      <w:r w:rsidRPr="0046461B">
        <w:lastRenderedPageBreak/>
        <w:t>Appendix: factors contributing to default effectiveness</w:t>
      </w:r>
      <w:bookmarkEnd w:id="10"/>
    </w:p>
    <w:p w14:paraId="0E7FA031" w14:textId="2ABB996A" w:rsidR="00495663" w:rsidRDefault="00495663" w:rsidP="003525C8">
      <w:r>
        <w:rPr>
          <w:noProof/>
        </w:rPr>
        <w:drawing>
          <wp:inline distT="0" distB="0" distL="0" distR="0" wp14:anchorId="4B41F73C" wp14:editId="48F354C0">
            <wp:extent cx="5377218" cy="3177447"/>
            <wp:effectExtent l="0" t="0" r="0" b="4445"/>
            <wp:docPr id="20" name="Picture 20" descr="Default Effectiveness (is made up of 3 overarching contributing factors) Transaction Barriers -  1. Altering Rules: Imposing actual or perceived costs and Creating Confusion. 2. Invisibility: Opt-out is framed as being less visible. Behavioural Biases - 1. Loss Aversion: Valuing losses more heavily than gains. 2. Discounting: Upfront costs outweigh future gains. 3. Procrastination: Cognitive and emotional overload leads to staying in. 4. Omission Bias: Fear of making the wrong decision. Preference Formation - 1. Implicit Advice: Default is perceived as the best option. 2. Experience: Form preferences by being in the ‘default’ position.&#10;" title="Default Effectiveness (is made up of 3 overarching contributing factors) Transaction Barriers -  1. Altering Rules: Imposing actual or perceived costs and Creating Confusion. 2. Invisibility: Opt-out is framed as being less visible. Behavioural Biases - 1. Loss Aversion: Valuing losses more heavily than gains. 2. Discounting: Upfront costs outweigh future gains. 3. Procrastination: Cognitive and emotional overload leads to staying in. 4. Omission Bias: Fear of making the wrong decision. Preference Formation - 1. Implicit Advice: Default is perceived as the best option. 2. Experience: Form preferences by being in the ‘defaul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7995" cy="3183815"/>
                    </a:xfrm>
                    <a:prstGeom prst="rect">
                      <a:avLst/>
                    </a:prstGeom>
                  </pic:spPr>
                </pic:pic>
              </a:graphicData>
            </a:graphic>
          </wp:inline>
        </w:drawing>
      </w:r>
    </w:p>
    <w:p w14:paraId="485B78D9" w14:textId="433A44EC" w:rsidR="00DA21BF" w:rsidRDefault="00495663">
      <w:pPr>
        <w:keepLines w:val="0"/>
        <w:spacing w:before="0" w:after="0" w:line="240" w:lineRule="auto"/>
      </w:pPr>
      <w:r>
        <w:rPr>
          <w:b/>
          <w:color w:val="FFFFFF" w:themeColor="background1"/>
        </w:rPr>
        <w:t>\</w:t>
      </w:r>
      <w:r w:rsidR="00DA21BF">
        <w:br w:type="page"/>
      </w:r>
    </w:p>
    <w:p w14:paraId="7837F372" w14:textId="77777777" w:rsidR="007F38DB" w:rsidRPr="0046461B" w:rsidRDefault="007F38DB" w:rsidP="0057334E">
      <w:pPr>
        <w:pStyle w:val="h2"/>
      </w:pPr>
      <w:bookmarkStart w:id="11" w:name="_Toc516665923"/>
      <w:r w:rsidRPr="0046461B">
        <w:lastRenderedPageBreak/>
        <w:t>References:</w:t>
      </w:r>
      <w:bookmarkEnd w:id="11"/>
    </w:p>
    <w:p w14:paraId="4FC3438D" w14:textId="77777777" w:rsidR="006915B0" w:rsidRDefault="006915B0" w:rsidP="002214B3">
      <w:pPr>
        <w:rPr>
          <w:rStyle w:val="Hyperlink"/>
        </w:rPr>
        <w:sectPr w:rsidR="006915B0" w:rsidSect="00097150">
          <w:headerReference w:type="default" r:id="rId19"/>
          <w:footerReference w:type="default" r:id="rId20"/>
          <w:endnotePr>
            <w:numFmt w:val="decimal"/>
          </w:endnotePr>
          <w:pgSz w:w="11906" w:h="16838" w:code="9"/>
          <w:pgMar w:top="2041" w:right="2381" w:bottom="1701" w:left="1247" w:header="720" w:footer="851" w:gutter="0"/>
          <w:cols w:space="708"/>
          <w:docGrid w:linePitch="360"/>
        </w:sectPr>
      </w:pPr>
    </w:p>
    <w:p w14:paraId="11035536" w14:textId="77777777" w:rsidR="00A93062" w:rsidRPr="006915B0" w:rsidRDefault="006915B0" w:rsidP="007038E7">
      <w:r>
        <w:rPr>
          <w:noProof/>
        </w:rPr>
        <w:lastRenderedPageBreak/>
        <mc:AlternateContent>
          <mc:Choice Requires="wps">
            <w:drawing>
              <wp:anchor distT="0" distB="0" distL="114300" distR="114300" simplePos="0" relativeHeight="251668480" behindDoc="0" locked="1" layoutInCell="1" allowOverlap="1" wp14:anchorId="5AEBF105" wp14:editId="5F863A34">
                <wp:simplePos x="0" y="0"/>
                <wp:positionH relativeFrom="column">
                  <wp:posOffset>-85725</wp:posOffset>
                </wp:positionH>
                <wp:positionV relativeFrom="page">
                  <wp:posOffset>5221605</wp:posOffset>
                </wp:positionV>
                <wp:extent cx="5461200" cy="1370330"/>
                <wp:effectExtent l="0" t="0" r="0" b="1270"/>
                <wp:wrapSquare wrapText="bothSides"/>
                <wp:docPr id="6" name="Text Box 6"/>
                <wp:cNvGraphicFramePr/>
                <a:graphic xmlns:a="http://schemas.openxmlformats.org/drawingml/2006/main">
                  <a:graphicData uri="http://schemas.microsoft.com/office/word/2010/wordprocessingShape">
                    <wps:wsp>
                      <wps:cNvSpPr txBox="1"/>
                      <wps:spPr>
                        <a:xfrm>
                          <a:off x="0" y="0"/>
                          <a:ext cx="5461200" cy="1370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0F7E6E" w14:textId="77777777" w:rsidR="006915B0" w:rsidRPr="000E55FE" w:rsidRDefault="00495663" w:rsidP="000E55FE">
                            <w:pPr>
                              <w:pStyle w:val="Heading1a"/>
                              <w:rPr>
                                <w:color w:val="FFFFFF" w:themeColor="background1"/>
                                <w:sz w:val="16"/>
                              </w:rPr>
                            </w:pPr>
                            <w:hyperlink r:id="rId21" w:history="1">
                              <w:r w:rsidR="006915B0" w:rsidRPr="000E55FE">
                                <w:rPr>
                                  <w:rStyle w:val="Hyperlink"/>
                                  <w:color w:val="FFFFFF" w:themeColor="background1"/>
                                </w:rPr>
                                <w:t>www.pmc.gov.au/beta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BF105" id="Text Box 6" o:spid="_x0000_s1027" type="#_x0000_t202" style="position:absolute;margin-left:-6.75pt;margin-top:411.15pt;width:430pt;height:10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" filled="f" stroked="f">
                <v:textbox>
                  <w:txbxContent>
                    <w:p w14:paraId="310F7E6E" w14:textId="77777777" w:rsidR="006915B0" w:rsidRPr="000E55FE" w:rsidRDefault="00495663" w:rsidP="000E55FE">
                      <w:pPr>
                        <w:pStyle w:val="Heading1a"/>
                        <w:rPr>
                          <w:color w:val="FFFFFF" w:themeColor="background1"/>
                          <w:sz w:val="16"/>
                        </w:rPr>
                      </w:pPr>
                      <w:hyperlink r:id="rId22" w:history="1">
                        <w:r w:rsidR="006915B0" w:rsidRPr="000E55FE">
                          <w:rPr>
                            <w:rStyle w:val="Hyperlink"/>
                            <w:color w:val="FFFFFF" w:themeColor="background1"/>
                          </w:rPr>
                          <w:t>www.pmc.gov.au/beta</w:t>
                        </w:r>
                      </w:hyperlink>
                    </w:p>
                  </w:txbxContent>
                </v:textbox>
                <w10:wrap type="square" anchory="page"/>
                <w10:anchorlock/>
              </v:shape>
            </w:pict>
          </mc:Fallback>
        </mc:AlternateContent>
      </w:r>
      <w:r>
        <w:rPr>
          <w:noProof/>
        </w:rPr>
        <mc:AlternateContent>
          <mc:Choice Requires="wps">
            <w:drawing>
              <wp:anchor distT="0" distB="0" distL="114300" distR="114300" simplePos="0" relativeHeight="251666432" behindDoc="0" locked="1" layoutInCell="1" allowOverlap="1" wp14:anchorId="2F5EEA14" wp14:editId="3B73BA67">
                <wp:simplePos x="0" y="0"/>
                <wp:positionH relativeFrom="column">
                  <wp:posOffset>-85725</wp:posOffset>
                </wp:positionH>
                <wp:positionV relativeFrom="page">
                  <wp:posOffset>3851275</wp:posOffset>
                </wp:positionV>
                <wp:extent cx="5461200" cy="1370330"/>
                <wp:effectExtent l="0" t="0" r="0" b="1270"/>
                <wp:wrapSquare wrapText="bothSides"/>
                <wp:docPr id="5" name="Text Box 5"/>
                <wp:cNvGraphicFramePr/>
                <a:graphic xmlns:a="http://schemas.openxmlformats.org/drawingml/2006/main">
                  <a:graphicData uri="http://schemas.microsoft.com/office/word/2010/wordprocessingShape">
                    <wps:wsp>
                      <wps:cNvSpPr txBox="1"/>
                      <wps:spPr>
                        <a:xfrm>
                          <a:off x="0" y="0"/>
                          <a:ext cx="5461200" cy="1370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8A924C" w14:textId="77777777" w:rsidR="006915B0" w:rsidRPr="000E55FE" w:rsidRDefault="006915B0" w:rsidP="006915B0">
                            <w:pPr>
                              <w:pStyle w:val="BackPageH1"/>
                              <w:rPr>
                                <w:color w:val="FFFFFF" w:themeColor="background1"/>
                              </w:rPr>
                            </w:pPr>
                            <w:r w:rsidRPr="000E55FE">
                              <w:rPr>
                                <w:color w:val="FFFFFF" w:themeColor="background1"/>
                              </w:rPr>
                              <w:t xml:space="preserve">Behavioural Economics Team </w:t>
                            </w:r>
                            <w:r w:rsidRPr="000E55FE">
                              <w:rPr>
                                <w:color w:val="FFFFFF" w:themeColor="background1"/>
                              </w:rPr>
                              <w:br/>
                              <w:t>of the Australian Government</w:t>
                            </w:r>
                          </w:p>
                          <w:p w14:paraId="2E1B377D" w14:textId="77777777" w:rsidR="006915B0" w:rsidRPr="000E55FE" w:rsidRDefault="006915B0" w:rsidP="006915B0">
                            <w:pPr>
                              <w:rPr>
                                <w:color w:val="FFFFFF" w:themeColor="background1"/>
                              </w:rPr>
                            </w:pPr>
                          </w:p>
                          <w:p w14:paraId="652C93FE" w14:textId="77777777" w:rsidR="006915B0" w:rsidRPr="000E55FE" w:rsidRDefault="006915B0" w:rsidP="006915B0">
                            <w:pPr>
                              <w:pStyle w:val="BackPageH1"/>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EEA14" id="Text Box 5" o:spid="_x0000_s1028" type="#_x0000_t202" style="position:absolute;margin-left:-6.75pt;margin-top:303.25pt;width:430pt;height:10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" filled="f" stroked="f">
                <v:textbox>
                  <w:txbxContent>
                    <w:p w14:paraId="1B8A924C" w14:textId="77777777" w:rsidR="006915B0" w:rsidRPr="000E55FE" w:rsidRDefault="006915B0" w:rsidP="006915B0">
                      <w:pPr>
                        <w:pStyle w:val="BackPageH1"/>
                        <w:rPr>
                          <w:color w:val="FFFFFF" w:themeColor="background1"/>
                        </w:rPr>
                      </w:pPr>
                      <w:r w:rsidRPr="000E55FE">
                        <w:rPr>
                          <w:color w:val="FFFFFF" w:themeColor="background1"/>
                        </w:rPr>
                        <w:t xml:space="preserve">Behavioural Economics Team </w:t>
                      </w:r>
                      <w:r w:rsidRPr="000E55FE">
                        <w:rPr>
                          <w:color w:val="FFFFFF" w:themeColor="background1"/>
                        </w:rPr>
                        <w:br/>
                        <w:t>of the Australian Government</w:t>
                      </w:r>
                    </w:p>
                    <w:p w14:paraId="2E1B377D" w14:textId="77777777" w:rsidR="006915B0" w:rsidRPr="000E55FE" w:rsidRDefault="006915B0" w:rsidP="006915B0">
                      <w:pPr>
                        <w:rPr>
                          <w:color w:val="FFFFFF" w:themeColor="background1"/>
                        </w:rPr>
                      </w:pPr>
                    </w:p>
                    <w:p w14:paraId="652C93FE" w14:textId="77777777" w:rsidR="006915B0" w:rsidRPr="000E55FE" w:rsidRDefault="006915B0" w:rsidP="006915B0">
                      <w:pPr>
                        <w:pStyle w:val="BackPageH1"/>
                        <w:rPr>
                          <w:color w:val="FFFFFF" w:themeColor="background1"/>
                          <w:sz w:val="16"/>
                        </w:rPr>
                      </w:pPr>
                    </w:p>
                  </w:txbxContent>
                </v:textbox>
                <w10:wrap type="square" anchory="page"/>
                <w10:anchorlock/>
              </v:shape>
            </w:pict>
          </mc:Fallback>
        </mc:AlternateContent>
      </w:r>
      <w:r w:rsidR="000E55FE">
        <w:rPr>
          <w:noProof/>
        </w:rPr>
        <mc:AlternateContent>
          <mc:Choice Requires="wps">
            <w:drawing>
              <wp:anchor distT="0" distB="0" distL="114300" distR="114300" simplePos="0" relativeHeight="251670528" behindDoc="0" locked="1" layoutInCell="1" allowOverlap="1" wp14:anchorId="54042289" wp14:editId="61C2CF44">
                <wp:simplePos x="0" y="0"/>
                <wp:positionH relativeFrom="column">
                  <wp:posOffset>-85725</wp:posOffset>
                </wp:positionH>
                <wp:positionV relativeFrom="page">
                  <wp:posOffset>9485825</wp:posOffset>
                </wp:positionV>
                <wp:extent cx="546120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4612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65B711" w14:textId="77777777" w:rsidR="000E55FE" w:rsidRDefault="000E55FE" w:rsidP="000E55FE">
                            <w:pPr>
                              <w:pStyle w:val="Heading1a"/>
                              <w:rPr>
                                <w:color w:val="FFFFFF" w:themeColor="background1"/>
                              </w:rPr>
                            </w:pPr>
                            <w:r w:rsidRPr="000E55FE">
                              <w:rPr>
                                <w:color w:val="FFFFFF" w:themeColor="background1"/>
                              </w:rPr>
                              <w:t xml:space="preserve">General enquiries </w:t>
                            </w:r>
                            <w:hyperlink r:id="rId23" w:history="1">
                              <w:r w:rsidRPr="000E55FE">
                                <w:rPr>
                                  <w:rStyle w:val="Hyperlink"/>
                                  <w:color w:val="FFFFFF" w:themeColor="background1"/>
                                </w:rPr>
                                <w:t>beta@pmc.gov.au</w:t>
                              </w:r>
                            </w:hyperlink>
                          </w:p>
                          <w:p w14:paraId="1B2CC345" w14:textId="77777777" w:rsidR="000E55FE" w:rsidRPr="000E55FE" w:rsidRDefault="000E55FE" w:rsidP="000E55FE">
                            <w:pPr>
                              <w:pStyle w:val="Heading1a"/>
                              <w:rPr>
                                <w:color w:val="FFFFFF" w:themeColor="background1"/>
                                <w:sz w:val="20"/>
                              </w:rPr>
                            </w:pPr>
                            <w:r w:rsidRPr="000E55FE">
                              <w:rPr>
                                <w:color w:val="FFFFFF" w:themeColor="background1"/>
                              </w:rPr>
                              <w:t xml:space="preserve">Media enquiries </w:t>
                            </w:r>
                            <w:hyperlink r:id="rId24" w:history="1">
                              <w:r w:rsidRPr="000E55FE">
                                <w:rPr>
                                  <w:rStyle w:val="Hyperlink"/>
                                  <w:color w:val="FFFFFF" w:themeColor="background1"/>
                                </w:rPr>
                                <w:t>media@pmc.gov.au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42289" id="Text Box 7" o:spid="_x0000_s1029" type="#_x0000_t202" style="position:absolute;margin-left:-6.75pt;margin-top:746.9pt;width:430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" filled="f" stroked="f">
                <v:textbox>
                  <w:txbxContent>
                    <w:p w14:paraId="2A65B711" w14:textId="77777777" w:rsidR="000E55FE" w:rsidRDefault="000E55FE" w:rsidP="000E55FE">
                      <w:pPr>
                        <w:pStyle w:val="Heading1a"/>
                        <w:rPr>
                          <w:color w:val="FFFFFF" w:themeColor="background1"/>
                        </w:rPr>
                      </w:pPr>
                      <w:r w:rsidRPr="000E55FE">
                        <w:rPr>
                          <w:color w:val="FFFFFF" w:themeColor="background1"/>
                        </w:rPr>
                        <w:t xml:space="preserve">General enquiries </w:t>
                      </w:r>
                      <w:hyperlink r:id="rId25" w:history="1">
                        <w:r w:rsidRPr="000E55FE">
                          <w:rPr>
                            <w:rStyle w:val="Hyperlink"/>
                            <w:color w:val="FFFFFF" w:themeColor="background1"/>
                          </w:rPr>
                          <w:t>beta@pmc.gov.au</w:t>
                        </w:r>
                      </w:hyperlink>
                    </w:p>
                    <w:p w14:paraId="1B2CC345" w14:textId="77777777" w:rsidR="000E55FE" w:rsidRPr="000E55FE" w:rsidRDefault="000E55FE" w:rsidP="000E55FE">
                      <w:pPr>
                        <w:pStyle w:val="Heading1a"/>
                        <w:rPr>
                          <w:color w:val="FFFFFF" w:themeColor="background1"/>
                          <w:sz w:val="20"/>
                        </w:rPr>
                      </w:pPr>
                      <w:r w:rsidRPr="000E55FE">
                        <w:rPr>
                          <w:color w:val="FFFFFF" w:themeColor="background1"/>
                        </w:rPr>
                        <w:t xml:space="preserve">Media enquiries </w:t>
                      </w:r>
                      <w:hyperlink r:id="rId26" w:history="1">
                        <w:r w:rsidRPr="000E55FE">
                          <w:rPr>
                            <w:rStyle w:val="Hyperlink"/>
                            <w:color w:val="FFFFFF" w:themeColor="background1"/>
                          </w:rPr>
                          <w:t>media@pmc.gov.au</w:t>
                        </w:r>
                      </w:hyperlink>
                    </w:p>
                  </w:txbxContent>
                </v:textbox>
                <w10:wrap type="square" anchory="page"/>
                <w10:anchorlock/>
              </v:shape>
            </w:pict>
          </mc:Fallback>
        </mc:AlternateContent>
      </w:r>
    </w:p>
    <w:sectPr w:rsidR="00A93062" w:rsidRPr="006915B0" w:rsidSect="00097150">
      <w:headerReference w:type="default" r:id="rId27"/>
      <w:pgSz w:w="11906" w:h="16838" w:code="9"/>
      <w:pgMar w:top="2041" w:right="2381" w:bottom="1701" w:left="1247" w:header="72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C880C" w14:textId="77777777" w:rsidR="00E90125" w:rsidRDefault="00E90125"/>
  </w:endnote>
  <w:endnote w:type="continuationSeparator" w:id="0">
    <w:p w14:paraId="580BEA9C" w14:textId="77777777" w:rsidR="00E90125" w:rsidRDefault="00E90125" w:rsidP="00DE2306">
      <w:r>
        <w:continuationSeparator/>
      </w:r>
    </w:p>
    <w:p w14:paraId="5C34409F" w14:textId="77777777" w:rsidR="00E90125" w:rsidRDefault="00E90125"/>
  </w:endnote>
  <w:endnote w:id="1">
    <w:p w14:paraId="5B9FFC23" w14:textId="77777777" w:rsidR="002214B3" w:rsidRDefault="002214B3" w:rsidP="00E4718A">
      <w:pPr>
        <w:pStyle w:val="FootnoteText"/>
      </w:pPr>
      <w:r w:rsidRPr="0046461B">
        <w:t xml:space="preserve">Thaler, R.H. and Sunstein, C.R., 2008. </w:t>
      </w:r>
      <w:r w:rsidRPr="00B018DB">
        <w:rPr>
          <w:i/>
        </w:rPr>
        <w:t>Nudge: Improving Decisions about Health, Wealth, and Happiness</w:t>
      </w:r>
      <w:r w:rsidRPr="0046461B">
        <w:t>.</w:t>
      </w:r>
      <w:r w:rsidR="00B018DB">
        <w:t xml:space="preserve"> </w:t>
      </w:r>
      <w:r w:rsidRPr="0046461B">
        <w:t>Yale University Press, New haven.</w:t>
      </w:r>
    </w:p>
  </w:endnote>
  <w:endnote w:id="2">
    <w:p w14:paraId="2398A588" w14:textId="77777777" w:rsidR="00BE3154" w:rsidRPr="00BE3154" w:rsidRDefault="00BE3154" w:rsidP="00E4718A">
      <w:pPr>
        <w:pStyle w:val="FootnoteText"/>
      </w:pPr>
      <w:r w:rsidRPr="004D353D">
        <w:t xml:space="preserve">Madrian, B.C. and Shea, D.F., 2001. The power of suggestion: Inertia in 401 (k) participation and savings behavior. </w:t>
      </w:r>
      <w:r w:rsidRPr="00B018DB">
        <w:rPr>
          <w:i/>
        </w:rPr>
        <w:t>The Quarterly Journal of Economics</w:t>
      </w:r>
      <w:r w:rsidRPr="004D353D">
        <w:t xml:space="preserve">, 116(4), pp.1149-1187. </w:t>
      </w:r>
    </w:p>
  </w:endnote>
  <w:endnote w:id="3">
    <w:p w14:paraId="32130B94" w14:textId="77777777" w:rsidR="007038E7" w:rsidRDefault="007038E7" w:rsidP="00E4718A">
      <w:pPr>
        <w:pStyle w:val="FootnoteText"/>
      </w:pPr>
      <w:r w:rsidRPr="004D353D">
        <w:t xml:space="preserve">Thaler, R.H. and Benartzi, S., 2004. Save more tomorrow™: Using behavioral economics to increase employee saving. </w:t>
      </w:r>
      <w:r w:rsidRPr="00B018DB">
        <w:rPr>
          <w:i/>
        </w:rPr>
        <w:t>Journal of political Economy</w:t>
      </w:r>
      <w:r w:rsidRPr="004D353D">
        <w:t xml:space="preserve">, 112(S1), pp.S164-S187. </w:t>
      </w:r>
    </w:p>
  </w:endnote>
  <w:endnote w:id="4">
    <w:p w14:paraId="1FAFF6F2" w14:textId="77777777" w:rsidR="007038E7" w:rsidRDefault="007038E7" w:rsidP="00E4718A">
      <w:pPr>
        <w:pStyle w:val="FootnoteText"/>
      </w:pPr>
      <w:r w:rsidRPr="004D353D">
        <w:t xml:space="preserve">Johnson, E.J. and Goldstein, D., 2003. Medicine. Do defaults save lives? </w:t>
      </w:r>
      <w:r w:rsidRPr="004D01CA">
        <w:rPr>
          <w:i/>
        </w:rPr>
        <w:t>Science (New York, NY), 302</w:t>
      </w:r>
      <w:r w:rsidRPr="004D353D">
        <w:t>(5649), pp.1338-1339.</w:t>
      </w:r>
    </w:p>
  </w:endnote>
  <w:endnote w:id="5">
    <w:p w14:paraId="3CA17503" w14:textId="77777777" w:rsidR="007038E7" w:rsidRDefault="007038E7" w:rsidP="00E4718A">
      <w:pPr>
        <w:pStyle w:val="FootnoteText"/>
      </w:pPr>
      <w:r w:rsidRPr="004D353D">
        <w:t xml:space="preserve">Brown, Z., Johnstone, N., </w:t>
      </w:r>
      <w:r w:rsidR="00947283" w:rsidRPr="00B018DB">
        <w:t>Haščič</w:t>
      </w:r>
      <w:r w:rsidRPr="004D353D">
        <w:t xml:space="preserve">, I., Vong, L. and Barascud, F., 2013. Testing the effect of defaults on the thermostat settings of OECD employees. </w:t>
      </w:r>
      <w:r w:rsidRPr="004D01CA">
        <w:rPr>
          <w:i/>
        </w:rPr>
        <w:t>Energy Economics</w:t>
      </w:r>
      <w:r w:rsidRPr="004D353D">
        <w:t xml:space="preserve">, 39, pp.128-134. </w:t>
      </w:r>
    </w:p>
  </w:endnote>
  <w:endnote w:id="6">
    <w:p w14:paraId="1912B86D" w14:textId="77777777" w:rsidR="007038E7" w:rsidRDefault="007038E7" w:rsidP="00E4718A">
      <w:pPr>
        <w:pStyle w:val="FootnoteText"/>
      </w:pPr>
      <w:r w:rsidRPr="004D353D">
        <w:t xml:space="preserve">Pichert, D. and Katsikopoulos, K.V., 2008. Green defaults: Information presentation and pro-environmental behaviour. </w:t>
      </w:r>
      <w:r w:rsidRPr="00E8455D">
        <w:rPr>
          <w:i/>
        </w:rPr>
        <w:t>Journal of Environmental Psychology</w:t>
      </w:r>
      <w:r w:rsidRPr="004D353D">
        <w:t xml:space="preserve">, 28(1), pp.63-73. </w:t>
      </w:r>
    </w:p>
  </w:endnote>
  <w:endnote w:id="7">
    <w:p w14:paraId="7E39FA3F" w14:textId="77777777" w:rsidR="007038E7" w:rsidRDefault="007038E7" w:rsidP="00E4718A">
      <w:pPr>
        <w:pStyle w:val="FootnoteText"/>
      </w:pPr>
      <w:r w:rsidRPr="004D353D">
        <w:t xml:space="preserve">B.I. team, 2013. Applying behavioural insights to charitable giving. </w:t>
      </w:r>
      <w:r w:rsidRPr="00264094">
        <w:rPr>
          <w:i/>
        </w:rPr>
        <w:t>Cabinet Office</w:t>
      </w:r>
      <w:r w:rsidRPr="004D353D">
        <w:t xml:space="preserve">. </w:t>
      </w:r>
    </w:p>
  </w:endnote>
  <w:endnote w:id="8">
    <w:p w14:paraId="11423C20" w14:textId="77777777" w:rsidR="007038E7" w:rsidRDefault="007038E7" w:rsidP="00E4718A">
      <w:pPr>
        <w:pStyle w:val="FootnoteText"/>
      </w:pPr>
      <w:r w:rsidRPr="004D353D">
        <w:t xml:space="preserve">Ayres, I., 2006. Menus matter. </w:t>
      </w:r>
      <w:r w:rsidRPr="00F1480E">
        <w:rPr>
          <w:i/>
        </w:rPr>
        <w:t>U. Chi. L. Rev., 73</w:t>
      </w:r>
      <w:r w:rsidRPr="004D353D">
        <w:t xml:space="preserve">, pp.3-16. </w:t>
      </w:r>
    </w:p>
  </w:endnote>
  <w:endnote w:id="9">
    <w:p w14:paraId="35094735" w14:textId="77777777" w:rsidR="007038E7" w:rsidRDefault="007038E7" w:rsidP="00E4718A">
      <w:pPr>
        <w:pStyle w:val="FootnoteText"/>
      </w:pPr>
      <w:r w:rsidRPr="004D353D">
        <w:t>National Audit Office 2015. Automatic enrolment to workplace pensions. Report by the Comptroller and Auditor General. National Audit Office, London.</w:t>
      </w:r>
    </w:p>
  </w:endnote>
  <w:endnote w:id="10">
    <w:p w14:paraId="3FFD7CD8" w14:textId="77777777" w:rsidR="00712052" w:rsidRDefault="006F73CF" w:rsidP="00E4718A">
      <w:pPr>
        <w:pStyle w:val="FootnoteText"/>
      </w:pPr>
      <w:r>
        <w:t>N</w:t>
      </w:r>
      <w:r w:rsidR="00712052" w:rsidRPr="004D353D">
        <w:t xml:space="preserve">ew Zealand Government 2017. </w:t>
      </w:r>
      <w:r w:rsidR="00712052" w:rsidRPr="00F018E2">
        <w:rPr>
          <w:i/>
        </w:rPr>
        <w:t>KiwiSaver statistics by year</w:t>
      </w:r>
      <w:r w:rsidR="00712052" w:rsidRPr="004D353D">
        <w:t xml:space="preserve">. Available from </w:t>
      </w:r>
      <w:hyperlink r:id="rId1" w:history="1">
        <w:r w:rsidR="00712052" w:rsidRPr="00757321">
          <w:rPr>
            <w:rStyle w:val="Hyperlink"/>
          </w:rPr>
          <w:t>http://www.kiwisaver.govt.nz/statistics/</w:t>
        </w:r>
      </w:hyperlink>
      <w:r w:rsidR="00712052" w:rsidRPr="004D353D">
        <w:t xml:space="preserve"> [29 September 2016].</w:t>
      </w:r>
    </w:p>
  </w:endnote>
  <w:endnote w:id="11">
    <w:p w14:paraId="7AAB33F8" w14:textId="77777777" w:rsidR="00712052" w:rsidRDefault="00712052" w:rsidP="00E4718A">
      <w:pPr>
        <w:pStyle w:val="FootnoteText"/>
      </w:pPr>
      <w:r w:rsidRPr="004D353D">
        <w:t xml:space="preserve">Willis, L.E., 2013. When nudges fail: Slippery defaults. </w:t>
      </w:r>
      <w:r w:rsidRPr="00614221">
        <w:rPr>
          <w:i/>
        </w:rPr>
        <w:t>The University of Chicago Law Review</w:t>
      </w:r>
      <w:r w:rsidRPr="004D353D">
        <w:t xml:space="preserve">, pp.1155-1229. </w:t>
      </w:r>
    </w:p>
  </w:endnote>
  <w:endnote w:id="12">
    <w:p w14:paraId="14F5B891" w14:textId="77777777" w:rsidR="00712052" w:rsidRDefault="00712052" w:rsidP="00E4718A">
      <w:pPr>
        <w:pStyle w:val="FootnoteText"/>
      </w:pPr>
      <w:r w:rsidRPr="004D353D">
        <w:t xml:space="preserve">Sunstein, C.R., 2017. Nudges that fail. </w:t>
      </w:r>
      <w:r w:rsidRPr="00445E00">
        <w:rPr>
          <w:i/>
        </w:rPr>
        <w:t>Behavioural Public Policy, 1</w:t>
      </w:r>
      <w:r w:rsidRPr="004D353D">
        <w:t>(1), pp.4-25.</w:t>
      </w:r>
    </w:p>
  </w:endnote>
  <w:endnote w:id="13">
    <w:p w14:paraId="31B655BD" w14:textId="77777777" w:rsidR="00712052" w:rsidRDefault="00712052" w:rsidP="00E4718A">
      <w:pPr>
        <w:pStyle w:val="FootnoteText"/>
      </w:pPr>
      <w:r w:rsidRPr="004D353D">
        <w:t xml:space="preserve">Bilton, N., 2010. </w:t>
      </w:r>
      <w:r w:rsidRPr="003158A9">
        <w:rPr>
          <w:i/>
        </w:rPr>
        <w:t>Price of Facebook privacy? Start clicking. New York Times</w:t>
      </w:r>
      <w:r>
        <w:t xml:space="preserve">. Available from </w:t>
      </w:r>
      <w:hyperlink r:id="rId2" w:history="1">
        <w:r w:rsidRPr="00757321">
          <w:rPr>
            <w:rStyle w:val="Hyperlink"/>
          </w:rPr>
          <w:t>https://www.nytimes.com/2010/05/13/technology/personaltech/13basics.html</w:t>
        </w:r>
      </w:hyperlink>
      <w:r w:rsidRPr="004D353D">
        <w:t>. [28 May 2018]</w:t>
      </w:r>
    </w:p>
  </w:endnote>
  <w:endnote w:id="14">
    <w:p w14:paraId="3B03FCF1" w14:textId="77777777" w:rsidR="00712052" w:rsidRPr="00A21F4C" w:rsidRDefault="00A21F4C" w:rsidP="00E4718A">
      <w:pPr>
        <w:pStyle w:val="FootnoteText"/>
        <w:rPr>
          <w:rFonts w:ascii="Arial" w:eastAsia="Arial" w:hAnsi="Arial" w:cs="Arial"/>
        </w:rPr>
      </w:pPr>
      <w:r>
        <w:t xml:space="preserve">Bronchetti, E.T., Dee, T.S., Huffman, D.B. and Magenheim, E., 2011. </w:t>
      </w:r>
      <w:r>
        <w:rPr>
          <w:i/>
          <w:iCs/>
        </w:rPr>
        <w:t>When a nudge isn't enough: defaults and saving among low-income tax filers</w:t>
      </w:r>
      <w:r>
        <w:t xml:space="preserve"> (No. w16887). National Bureau of Economic Research</w:t>
      </w:r>
      <w:r w:rsidRPr="00A21F4C">
        <w:t>.</w:t>
      </w:r>
      <w:r w:rsidRPr="00A21F4C" w:rsidDel="004E3202">
        <w:rPr>
          <w:rFonts w:eastAsia="Arial"/>
        </w:rPr>
        <w:t xml:space="preserve"> </w:t>
      </w:r>
    </w:p>
  </w:endnote>
  <w:endnote w:id="15">
    <w:p w14:paraId="230B75C1" w14:textId="77777777" w:rsidR="00712052" w:rsidRDefault="00712052" w:rsidP="00E4718A">
      <w:pPr>
        <w:pStyle w:val="FootnoteText"/>
      </w:pPr>
      <w:r w:rsidRPr="004D353D">
        <w:t xml:space="preserve">Garcia, S., 2016. ‘Most Australian women still take husband’s name after marriage, professor says’, </w:t>
      </w:r>
      <w:r w:rsidRPr="00A21F4C">
        <w:rPr>
          <w:i/>
        </w:rPr>
        <w:t>ABC News, 26 April</w:t>
      </w:r>
      <w:r w:rsidRPr="004D353D">
        <w:t xml:space="preserve">. Available at </w:t>
      </w:r>
      <w:hyperlink r:id="rId3" w:history="1">
        <w:r w:rsidRPr="00757321">
          <w:rPr>
            <w:rStyle w:val="Hyperlink"/>
          </w:rPr>
          <w:t>http://www.abc.net.au/news/2016-03-31/most-australian-women-still-take-husbands-name-after-marriage/7287022</w:t>
        </w:r>
      </w:hyperlink>
      <w:r w:rsidRPr="004D353D">
        <w:t>. [28 May 2018].</w:t>
      </w:r>
    </w:p>
  </w:endnote>
  <w:endnote w:id="16">
    <w:p w14:paraId="09B13C8A" w14:textId="77777777" w:rsidR="000F313D" w:rsidRDefault="000F313D" w:rsidP="00E4718A">
      <w:pPr>
        <w:pStyle w:val="FootnoteText"/>
      </w:pPr>
      <w:r w:rsidRPr="004D353D">
        <w:t xml:space="preserve">Goldstein, D.G., Johnson, E.J., Herrmann, A. and Heitmann, M., 2008. Nudge your customers toward better choices. </w:t>
      </w:r>
      <w:r w:rsidRPr="00D01CF9">
        <w:rPr>
          <w:i/>
        </w:rPr>
        <w:t>Harvard Business Review</w:t>
      </w:r>
      <w:r w:rsidRPr="004D353D">
        <w:t xml:space="preserve">, 86(12), pp.99-105.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125AB" w14:textId="7D4B5C7F" w:rsidR="002F416C" w:rsidRPr="007F1EC8" w:rsidRDefault="002F416C" w:rsidP="005A0B99">
    <w:pPr>
      <w:pStyle w:val="Footer"/>
    </w:pPr>
    <w:r w:rsidRPr="007F1EC8">
      <w:t xml:space="preserve">Behavioural Economics Team of the Australian </w:t>
    </w:r>
    <w:r w:rsidRPr="005A0B99">
      <w:t>Government</w:t>
    </w:r>
    <w:r w:rsidRPr="007F1EC8">
      <w:t xml:space="preserve"> </w:t>
    </w:r>
    <w:r w:rsidRPr="007F1EC8">
      <w:tab/>
    </w:r>
    <w:r w:rsidRPr="007F1EC8">
      <w:fldChar w:fldCharType="begin"/>
    </w:r>
    <w:r w:rsidRPr="007F1EC8">
      <w:instrText xml:space="preserve"> PAGE   \* MERGEFORMAT </w:instrText>
    </w:r>
    <w:r w:rsidRPr="007F1EC8">
      <w:fldChar w:fldCharType="separate"/>
    </w:r>
    <w:r w:rsidR="00495663">
      <w:rPr>
        <w:noProof/>
      </w:rPr>
      <w:t>1</w:t>
    </w:r>
    <w:r w:rsidRPr="007F1EC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E7534" w14:textId="0DAE802A" w:rsidR="009838FB" w:rsidRPr="007F38DB" w:rsidRDefault="007F38DB" w:rsidP="007F38DB">
    <w:pPr>
      <w:pStyle w:val="Footer"/>
    </w:pPr>
    <w:r w:rsidRPr="007F1EC8">
      <w:t xml:space="preserve">Behavioural Economics Team of the Australian Government </w:t>
    </w:r>
    <w:r w:rsidRPr="007F1EC8">
      <w:tab/>
    </w:r>
    <w:r w:rsidRPr="007F1EC8">
      <w:fldChar w:fldCharType="begin"/>
    </w:r>
    <w:r w:rsidRPr="007F1EC8">
      <w:instrText xml:space="preserve"> PAGE   \* MERGEFORMAT </w:instrText>
    </w:r>
    <w:r w:rsidRPr="007F1EC8">
      <w:fldChar w:fldCharType="separate"/>
    </w:r>
    <w:r w:rsidR="00495663">
      <w:rPr>
        <w:noProof/>
      </w:rPr>
      <w:t>14</w:t>
    </w:r>
    <w:r w:rsidRPr="007F1EC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C602D" w14:textId="77777777" w:rsidR="00E90125" w:rsidRDefault="00E90125" w:rsidP="00DE2306">
      <w:r>
        <w:separator/>
      </w:r>
    </w:p>
    <w:p w14:paraId="1992A17A" w14:textId="77777777" w:rsidR="00E90125" w:rsidRDefault="00E90125"/>
  </w:footnote>
  <w:footnote w:type="continuationSeparator" w:id="0">
    <w:p w14:paraId="29497401" w14:textId="77777777" w:rsidR="00E90125" w:rsidRDefault="00E90125" w:rsidP="00DE2306">
      <w:r>
        <w:continuationSeparator/>
      </w:r>
    </w:p>
    <w:p w14:paraId="01F40410" w14:textId="77777777" w:rsidR="00E90125" w:rsidRDefault="00E901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3ADF8" w14:textId="77777777" w:rsidR="002F416C" w:rsidRDefault="002F416C">
    <w:pPr>
      <w:pStyle w:val="Header"/>
    </w:pPr>
    <w:r>
      <w:rPr>
        <w:noProof/>
      </w:rPr>
      <w:drawing>
        <wp:anchor distT="0" distB="0" distL="114300" distR="114300" simplePos="0" relativeHeight="251662336" behindDoc="1" locked="0" layoutInCell="1" allowOverlap="1" wp14:anchorId="24F5AD4A" wp14:editId="5E6B8B78">
          <wp:simplePos x="0" y="0"/>
          <wp:positionH relativeFrom="page">
            <wp:align>left</wp:align>
          </wp:positionH>
          <wp:positionV relativeFrom="page">
            <wp:align>top</wp:align>
          </wp:positionV>
          <wp:extent cx="7581672" cy="10724397"/>
          <wp:effectExtent l="0" t="0" r="635" b="1270"/>
          <wp:wrapNone/>
          <wp:docPr id="18" name="Picture 18" descr="Australian Government Deparment of the Prime Minister and Cabinet" title="Australian Government Deparment of the Prime Minist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TA_Cover.jpg"/>
                  <pic:cNvPicPr/>
                </pic:nvPicPr>
                <pic:blipFill>
                  <a:blip r:embed="rId1">
                    <a:extLst>
                      <a:ext uri="{28A0092B-C50C-407E-A947-70E740481C1C}">
                        <a14:useLocalDpi xmlns:a14="http://schemas.microsoft.com/office/drawing/2010/main" val="0"/>
                      </a:ext>
                    </a:extLst>
                  </a:blip>
                  <a:stretch>
                    <a:fillRect/>
                  </a:stretch>
                </pic:blipFill>
                <pic:spPr>
                  <a:xfrm>
                    <a:off x="0" y="0"/>
                    <a:ext cx="7581672" cy="107243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AEDE7" w14:textId="77777777" w:rsidR="001A0BC6" w:rsidRPr="001318F2" w:rsidRDefault="001A0BC6" w:rsidP="005A0B99">
    <w:pPr>
      <w:pStyle w:val="Header"/>
    </w:pPr>
    <w:r w:rsidRPr="001318F2">
      <w:t xml:space="preserve">Guidance Note: </w:t>
    </w:r>
    <w:r w:rsidR="001318F2" w:rsidRPr="001318F2">
      <w:t>Harnessing the</w:t>
    </w:r>
    <w:r w:rsidR="001318F2">
      <w:t xml:space="preserve"> </w:t>
    </w:r>
    <w:r w:rsidR="001318F2" w:rsidRPr="001318F2">
      <w:t>power of</w:t>
    </w:r>
    <w:r w:rsidR="001318F2">
      <w:t xml:space="preserve"> </w:t>
    </w:r>
    <w:r w:rsidR="001318F2" w:rsidRPr="001318F2">
      <w:t>defaults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26CB2" w14:textId="77777777" w:rsidR="007F38DB" w:rsidRPr="001318F2" w:rsidRDefault="007F38DB" w:rsidP="007F38DB">
    <w:pPr>
      <w:pStyle w:val="Header"/>
    </w:pPr>
    <w:r w:rsidRPr="001318F2">
      <w:t>Guidance Note: Harnessing the</w:t>
    </w:r>
    <w:r>
      <w:t xml:space="preserve"> </w:t>
    </w:r>
    <w:r w:rsidRPr="001318F2">
      <w:t>power of</w:t>
    </w:r>
    <w:r>
      <w:t xml:space="preserve"> </w:t>
    </w:r>
    <w:r w:rsidRPr="001318F2">
      <w:t>defaults</w:t>
    </w:r>
  </w:p>
  <w:p w14:paraId="39F0D41D" w14:textId="77777777" w:rsidR="009838FB" w:rsidRPr="006915B0" w:rsidRDefault="009838FB" w:rsidP="006915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AF66C" w14:textId="77777777" w:rsidR="006915B0" w:rsidRPr="006915B0" w:rsidRDefault="006915B0" w:rsidP="006915B0">
    <w:pPr>
      <w:pStyle w:val="Header"/>
    </w:pPr>
    <w:r>
      <w:rPr>
        <w:noProof/>
      </w:rPr>
      <w:drawing>
        <wp:anchor distT="0" distB="0" distL="114300" distR="114300" simplePos="0" relativeHeight="251665408" behindDoc="0" locked="0" layoutInCell="1" allowOverlap="1" wp14:anchorId="563D9C0C" wp14:editId="2BB653FB">
          <wp:simplePos x="0" y="0"/>
          <wp:positionH relativeFrom="page">
            <wp:posOffset>0</wp:posOffset>
          </wp:positionH>
          <wp:positionV relativeFrom="page">
            <wp:posOffset>0</wp:posOffset>
          </wp:positionV>
          <wp:extent cx="7558057" cy="10690994"/>
          <wp:effectExtent l="0" t="0" r="1143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TA_GuidanceNote3_BestLaidPlans_BackCover.jpg"/>
                  <pic:cNvPicPr/>
                </pic:nvPicPr>
                <pic:blipFill>
                  <a:blip r:embed="rId1">
                    <a:extLst>
                      <a:ext uri="{28A0092B-C50C-407E-A947-70E740481C1C}">
                        <a14:useLocalDpi xmlns:a14="http://schemas.microsoft.com/office/drawing/2010/main" val="0"/>
                      </a:ext>
                    </a:extLst>
                  </a:blip>
                  <a:stretch>
                    <a:fillRect/>
                  </a:stretch>
                </pic:blipFill>
                <pic:spPr>
                  <a:xfrm>
                    <a:off x="0" y="0"/>
                    <a:ext cx="7558057" cy="106909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6E66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8F89F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FBEE9D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50C8FD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DE80F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016E0F3D"/>
    <w:multiLevelType w:val="hybridMultilevel"/>
    <w:tmpl w:val="6E647166"/>
    <w:lvl w:ilvl="0" w:tplc="D6FC33F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7D6744"/>
    <w:multiLevelType w:val="hybridMultilevel"/>
    <w:tmpl w:val="DF902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9950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AA930A9"/>
    <w:multiLevelType w:val="hybridMultilevel"/>
    <w:tmpl w:val="5DDE9922"/>
    <w:lvl w:ilvl="0" w:tplc="F202FD34">
      <w:start w:val="1"/>
      <w:numFmt w:val="decimal"/>
      <w:pStyle w:val="FootnoteText"/>
      <w:lvlText w:val="%1."/>
      <w:lvlJc w:val="left"/>
      <w:pPr>
        <w:ind w:left="357" w:hanging="357"/>
      </w:pPr>
      <w:rPr>
        <w:rFonts w:ascii="Helvetica" w:hAnsi="Helvetica" w:hint="default"/>
        <w:b/>
        <w:i w:val="0"/>
        <w:caps w:val="0"/>
        <w:strike w:val="0"/>
        <w:dstrike w:val="0"/>
        <w:vanish w:val="0"/>
        <w:color w:val="AA338A" w:themeColor="background2"/>
        <w:w w:val="100"/>
        <w:position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BC6ED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02E5912"/>
    <w:multiLevelType w:val="hybridMultilevel"/>
    <w:tmpl w:val="BF222080"/>
    <w:lvl w:ilvl="0" w:tplc="D6FC33F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BA6A4A"/>
    <w:multiLevelType w:val="hybridMultilevel"/>
    <w:tmpl w:val="185E4DBE"/>
    <w:lvl w:ilvl="0" w:tplc="D6FC33F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3FB41E9"/>
    <w:multiLevelType w:val="hybridMultilevel"/>
    <w:tmpl w:val="8F402362"/>
    <w:lvl w:ilvl="0" w:tplc="BF407304">
      <w:start w:val="1"/>
      <w:numFmt w:val="bullet"/>
      <w:lvlText w:val="•"/>
      <w:lvlJc w:val="left"/>
      <w:pPr>
        <w:ind w:left="108" w:hanging="109"/>
      </w:pPr>
      <w:rPr>
        <w:rFonts w:ascii="Arial" w:eastAsia="Arial" w:hAnsi="Arial" w:hint="default"/>
        <w:color w:val="58595B"/>
        <w:w w:val="108"/>
        <w:sz w:val="16"/>
        <w:szCs w:val="16"/>
      </w:rPr>
    </w:lvl>
    <w:lvl w:ilvl="1" w:tplc="EDC40CE4">
      <w:start w:val="1"/>
      <w:numFmt w:val="bullet"/>
      <w:lvlText w:val="•"/>
      <w:lvlJc w:val="left"/>
      <w:pPr>
        <w:ind w:left="266" w:hanging="109"/>
      </w:pPr>
      <w:rPr>
        <w:rFonts w:hint="default"/>
      </w:rPr>
    </w:lvl>
    <w:lvl w:ilvl="2" w:tplc="D5CEF6AC">
      <w:start w:val="1"/>
      <w:numFmt w:val="bullet"/>
      <w:lvlText w:val="•"/>
      <w:lvlJc w:val="left"/>
      <w:pPr>
        <w:ind w:left="423" w:hanging="109"/>
      </w:pPr>
      <w:rPr>
        <w:rFonts w:hint="default"/>
      </w:rPr>
    </w:lvl>
    <w:lvl w:ilvl="3" w:tplc="EC2AC48A">
      <w:start w:val="1"/>
      <w:numFmt w:val="bullet"/>
      <w:lvlText w:val="•"/>
      <w:lvlJc w:val="left"/>
      <w:pPr>
        <w:ind w:left="580" w:hanging="109"/>
      </w:pPr>
      <w:rPr>
        <w:rFonts w:hint="default"/>
      </w:rPr>
    </w:lvl>
    <w:lvl w:ilvl="4" w:tplc="5B649DE6">
      <w:start w:val="1"/>
      <w:numFmt w:val="bullet"/>
      <w:lvlText w:val="•"/>
      <w:lvlJc w:val="left"/>
      <w:pPr>
        <w:ind w:left="738" w:hanging="109"/>
      </w:pPr>
      <w:rPr>
        <w:rFonts w:hint="default"/>
      </w:rPr>
    </w:lvl>
    <w:lvl w:ilvl="5" w:tplc="204A11E2">
      <w:start w:val="1"/>
      <w:numFmt w:val="bullet"/>
      <w:lvlText w:val="•"/>
      <w:lvlJc w:val="left"/>
      <w:pPr>
        <w:ind w:left="895" w:hanging="109"/>
      </w:pPr>
      <w:rPr>
        <w:rFonts w:hint="default"/>
      </w:rPr>
    </w:lvl>
    <w:lvl w:ilvl="6" w:tplc="826AAA72">
      <w:start w:val="1"/>
      <w:numFmt w:val="bullet"/>
      <w:lvlText w:val="•"/>
      <w:lvlJc w:val="left"/>
      <w:pPr>
        <w:ind w:left="1053" w:hanging="109"/>
      </w:pPr>
      <w:rPr>
        <w:rFonts w:hint="default"/>
      </w:rPr>
    </w:lvl>
    <w:lvl w:ilvl="7" w:tplc="475CF658">
      <w:start w:val="1"/>
      <w:numFmt w:val="bullet"/>
      <w:lvlText w:val="•"/>
      <w:lvlJc w:val="left"/>
      <w:pPr>
        <w:ind w:left="1210" w:hanging="109"/>
      </w:pPr>
      <w:rPr>
        <w:rFonts w:hint="default"/>
      </w:rPr>
    </w:lvl>
    <w:lvl w:ilvl="8" w:tplc="190C61C2">
      <w:start w:val="1"/>
      <w:numFmt w:val="bullet"/>
      <w:lvlText w:val="•"/>
      <w:lvlJc w:val="left"/>
      <w:pPr>
        <w:ind w:left="1367" w:hanging="109"/>
      </w:pPr>
      <w:rPr>
        <w:rFonts w:hint="default"/>
      </w:rPr>
    </w:lvl>
  </w:abstractNum>
  <w:abstractNum w:abstractNumId="17" w15:restartNumberingAfterBreak="0">
    <w:nsid w:val="147165FF"/>
    <w:multiLevelType w:val="hybridMultilevel"/>
    <w:tmpl w:val="36943FC0"/>
    <w:lvl w:ilvl="0" w:tplc="D6FC33F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EB6C64"/>
    <w:multiLevelType w:val="hybridMultilevel"/>
    <w:tmpl w:val="FAD6B076"/>
    <w:lvl w:ilvl="0" w:tplc="A5D8CA8C">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F261B8"/>
    <w:multiLevelType w:val="multilevel"/>
    <w:tmpl w:val="61184492"/>
    <w:lvl w:ilvl="0">
      <w:start w:val="1"/>
      <w:numFmt w:val="decimal"/>
      <w:pStyle w:val="AppendixHeading"/>
      <w:suff w:val="nothing"/>
      <w:lvlText w:val="Appendix %1 - "/>
      <w:lvlJc w:val="left"/>
      <w:pPr>
        <w:ind w:left="0" w:firstLine="0"/>
      </w:pPr>
      <w:rPr>
        <w:rFonts w:hint="default"/>
        <w:b/>
        <w:i w:val="0"/>
        <w:color w:val="AA338A"/>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175394B"/>
    <w:multiLevelType w:val="multilevel"/>
    <w:tmpl w:val="FBFA378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63327E9"/>
    <w:multiLevelType w:val="hybridMultilevel"/>
    <w:tmpl w:val="7AD24BAC"/>
    <w:lvl w:ilvl="0" w:tplc="794E3450">
      <w:start w:val="1"/>
      <w:numFmt w:val="bullet"/>
      <w:lvlText w:val="•"/>
      <w:lvlJc w:val="left"/>
      <w:pPr>
        <w:ind w:left="108" w:hanging="109"/>
      </w:pPr>
      <w:rPr>
        <w:rFonts w:ascii="Arial" w:eastAsia="Arial" w:hAnsi="Arial" w:hint="default"/>
        <w:color w:val="58595B"/>
        <w:w w:val="108"/>
        <w:sz w:val="16"/>
        <w:szCs w:val="16"/>
      </w:rPr>
    </w:lvl>
    <w:lvl w:ilvl="1" w:tplc="63EAA4CA">
      <w:start w:val="1"/>
      <w:numFmt w:val="bullet"/>
      <w:lvlText w:val="•"/>
      <w:lvlJc w:val="left"/>
      <w:pPr>
        <w:ind w:left="257" w:hanging="109"/>
      </w:pPr>
      <w:rPr>
        <w:rFonts w:hint="default"/>
      </w:rPr>
    </w:lvl>
    <w:lvl w:ilvl="2" w:tplc="8C24D17C">
      <w:start w:val="1"/>
      <w:numFmt w:val="bullet"/>
      <w:lvlText w:val="•"/>
      <w:lvlJc w:val="left"/>
      <w:pPr>
        <w:ind w:left="406" w:hanging="109"/>
      </w:pPr>
      <w:rPr>
        <w:rFonts w:hint="default"/>
      </w:rPr>
    </w:lvl>
    <w:lvl w:ilvl="3" w:tplc="F95CD3B8">
      <w:start w:val="1"/>
      <w:numFmt w:val="bullet"/>
      <w:lvlText w:val="•"/>
      <w:lvlJc w:val="left"/>
      <w:pPr>
        <w:ind w:left="555" w:hanging="109"/>
      </w:pPr>
      <w:rPr>
        <w:rFonts w:hint="default"/>
      </w:rPr>
    </w:lvl>
    <w:lvl w:ilvl="4" w:tplc="E9CCCCAA">
      <w:start w:val="1"/>
      <w:numFmt w:val="bullet"/>
      <w:lvlText w:val="•"/>
      <w:lvlJc w:val="left"/>
      <w:pPr>
        <w:ind w:left="703" w:hanging="109"/>
      </w:pPr>
      <w:rPr>
        <w:rFonts w:hint="default"/>
      </w:rPr>
    </w:lvl>
    <w:lvl w:ilvl="5" w:tplc="47E0CB14">
      <w:start w:val="1"/>
      <w:numFmt w:val="bullet"/>
      <w:lvlText w:val="•"/>
      <w:lvlJc w:val="left"/>
      <w:pPr>
        <w:ind w:left="852" w:hanging="109"/>
      </w:pPr>
      <w:rPr>
        <w:rFonts w:hint="default"/>
      </w:rPr>
    </w:lvl>
    <w:lvl w:ilvl="6" w:tplc="38A21766">
      <w:start w:val="1"/>
      <w:numFmt w:val="bullet"/>
      <w:lvlText w:val="•"/>
      <w:lvlJc w:val="left"/>
      <w:pPr>
        <w:ind w:left="1001" w:hanging="109"/>
      </w:pPr>
      <w:rPr>
        <w:rFonts w:hint="default"/>
      </w:rPr>
    </w:lvl>
    <w:lvl w:ilvl="7" w:tplc="E370D0FC">
      <w:start w:val="1"/>
      <w:numFmt w:val="bullet"/>
      <w:lvlText w:val="•"/>
      <w:lvlJc w:val="left"/>
      <w:pPr>
        <w:ind w:left="1150" w:hanging="109"/>
      </w:pPr>
      <w:rPr>
        <w:rFonts w:hint="default"/>
      </w:rPr>
    </w:lvl>
    <w:lvl w:ilvl="8" w:tplc="02C6C01C">
      <w:start w:val="1"/>
      <w:numFmt w:val="bullet"/>
      <w:lvlText w:val="•"/>
      <w:lvlJc w:val="left"/>
      <w:pPr>
        <w:ind w:left="1299" w:hanging="109"/>
      </w:pPr>
      <w:rPr>
        <w:rFonts w:hint="default"/>
      </w:rPr>
    </w:lvl>
  </w:abstractNum>
  <w:abstractNum w:abstractNumId="22" w15:restartNumberingAfterBreak="0">
    <w:nsid w:val="27546CF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7A5196B"/>
    <w:multiLevelType w:val="hybridMultilevel"/>
    <w:tmpl w:val="85BCE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8DB1678"/>
    <w:multiLevelType w:val="multilevel"/>
    <w:tmpl w:val="19CE5240"/>
    <w:lvl w:ilvl="0">
      <w:start w:val="1"/>
      <w:numFmt w:val="decimal"/>
      <w:suff w:val="space"/>
      <w:lvlText w:val="Figure %1:"/>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B260A4D"/>
    <w:multiLevelType w:val="hybridMultilevel"/>
    <w:tmpl w:val="DFD0E0A0"/>
    <w:lvl w:ilvl="0" w:tplc="FE189CE6">
      <w:start w:val="1"/>
      <w:numFmt w:val="bullet"/>
      <w:lvlText w:val="•"/>
      <w:lvlJc w:val="left"/>
      <w:pPr>
        <w:ind w:left="108" w:hanging="109"/>
      </w:pPr>
      <w:rPr>
        <w:rFonts w:ascii="Arial" w:eastAsia="Arial" w:hAnsi="Arial" w:hint="default"/>
        <w:color w:val="58595B"/>
        <w:w w:val="108"/>
        <w:sz w:val="16"/>
        <w:szCs w:val="16"/>
      </w:rPr>
    </w:lvl>
    <w:lvl w:ilvl="1" w:tplc="C382C930">
      <w:start w:val="1"/>
      <w:numFmt w:val="bullet"/>
      <w:lvlText w:val="•"/>
      <w:lvlJc w:val="left"/>
      <w:pPr>
        <w:ind w:left="270" w:hanging="109"/>
      </w:pPr>
      <w:rPr>
        <w:rFonts w:hint="default"/>
      </w:rPr>
    </w:lvl>
    <w:lvl w:ilvl="2" w:tplc="C43CDEF4">
      <w:start w:val="1"/>
      <w:numFmt w:val="bullet"/>
      <w:lvlText w:val="•"/>
      <w:lvlJc w:val="left"/>
      <w:pPr>
        <w:ind w:left="432" w:hanging="109"/>
      </w:pPr>
      <w:rPr>
        <w:rFonts w:hint="default"/>
      </w:rPr>
    </w:lvl>
    <w:lvl w:ilvl="3" w:tplc="B0CC2C60">
      <w:start w:val="1"/>
      <w:numFmt w:val="bullet"/>
      <w:lvlText w:val="•"/>
      <w:lvlJc w:val="left"/>
      <w:pPr>
        <w:ind w:left="594" w:hanging="109"/>
      </w:pPr>
      <w:rPr>
        <w:rFonts w:hint="default"/>
      </w:rPr>
    </w:lvl>
    <w:lvl w:ilvl="4" w:tplc="D68A2D5C">
      <w:start w:val="1"/>
      <w:numFmt w:val="bullet"/>
      <w:lvlText w:val="•"/>
      <w:lvlJc w:val="left"/>
      <w:pPr>
        <w:ind w:left="756" w:hanging="109"/>
      </w:pPr>
      <w:rPr>
        <w:rFonts w:hint="default"/>
      </w:rPr>
    </w:lvl>
    <w:lvl w:ilvl="5" w:tplc="A97CA48A">
      <w:start w:val="1"/>
      <w:numFmt w:val="bullet"/>
      <w:lvlText w:val="•"/>
      <w:lvlJc w:val="left"/>
      <w:pPr>
        <w:ind w:left="918" w:hanging="109"/>
      </w:pPr>
      <w:rPr>
        <w:rFonts w:hint="default"/>
      </w:rPr>
    </w:lvl>
    <w:lvl w:ilvl="6" w:tplc="D884BE72">
      <w:start w:val="1"/>
      <w:numFmt w:val="bullet"/>
      <w:lvlText w:val="•"/>
      <w:lvlJc w:val="left"/>
      <w:pPr>
        <w:ind w:left="1080" w:hanging="109"/>
      </w:pPr>
      <w:rPr>
        <w:rFonts w:hint="default"/>
      </w:rPr>
    </w:lvl>
    <w:lvl w:ilvl="7" w:tplc="B6A0B8F4">
      <w:start w:val="1"/>
      <w:numFmt w:val="bullet"/>
      <w:lvlText w:val="•"/>
      <w:lvlJc w:val="left"/>
      <w:pPr>
        <w:ind w:left="1242" w:hanging="109"/>
      </w:pPr>
      <w:rPr>
        <w:rFonts w:hint="default"/>
      </w:rPr>
    </w:lvl>
    <w:lvl w:ilvl="8" w:tplc="08A64DAE">
      <w:start w:val="1"/>
      <w:numFmt w:val="bullet"/>
      <w:lvlText w:val="•"/>
      <w:lvlJc w:val="left"/>
      <w:pPr>
        <w:ind w:left="1404" w:hanging="109"/>
      </w:pPr>
      <w:rPr>
        <w:rFonts w:hint="default"/>
      </w:rPr>
    </w:lvl>
  </w:abstractNum>
  <w:abstractNum w:abstractNumId="26" w15:restartNumberingAfterBreak="0">
    <w:nsid w:val="2B5358F4"/>
    <w:multiLevelType w:val="hybridMultilevel"/>
    <w:tmpl w:val="BF942C48"/>
    <w:lvl w:ilvl="0" w:tplc="53FC3CF8">
      <w:start w:val="1"/>
      <w:numFmt w:val="decimal"/>
      <w:lvlText w:val="%1."/>
      <w:lvlJc w:val="left"/>
      <w:pPr>
        <w:ind w:left="509" w:hanging="360"/>
      </w:pPr>
      <w:rPr>
        <w:rFonts w:ascii="Arial" w:eastAsia="Arial" w:hAnsi="Arial" w:hint="default"/>
        <w:b/>
        <w:bCs/>
        <w:color w:val="4D868B"/>
        <w:spacing w:val="-10"/>
        <w:w w:val="108"/>
        <w:sz w:val="22"/>
        <w:szCs w:val="22"/>
      </w:rPr>
    </w:lvl>
    <w:lvl w:ilvl="1" w:tplc="6798C1F6">
      <w:start w:val="1"/>
      <w:numFmt w:val="bullet"/>
      <w:lvlText w:val="•"/>
      <w:lvlJc w:val="left"/>
      <w:pPr>
        <w:ind w:left="1481" w:hanging="360"/>
      </w:pPr>
      <w:rPr>
        <w:rFonts w:hint="default"/>
      </w:rPr>
    </w:lvl>
    <w:lvl w:ilvl="2" w:tplc="AB822888">
      <w:start w:val="1"/>
      <w:numFmt w:val="bullet"/>
      <w:lvlText w:val="•"/>
      <w:lvlJc w:val="left"/>
      <w:pPr>
        <w:ind w:left="2452" w:hanging="360"/>
      </w:pPr>
      <w:rPr>
        <w:rFonts w:hint="default"/>
      </w:rPr>
    </w:lvl>
    <w:lvl w:ilvl="3" w:tplc="40600034">
      <w:start w:val="1"/>
      <w:numFmt w:val="bullet"/>
      <w:lvlText w:val="•"/>
      <w:lvlJc w:val="left"/>
      <w:pPr>
        <w:ind w:left="3424" w:hanging="360"/>
      </w:pPr>
      <w:rPr>
        <w:rFonts w:hint="default"/>
      </w:rPr>
    </w:lvl>
    <w:lvl w:ilvl="4" w:tplc="3814DC14">
      <w:start w:val="1"/>
      <w:numFmt w:val="bullet"/>
      <w:lvlText w:val="•"/>
      <w:lvlJc w:val="left"/>
      <w:pPr>
        <w:ind w:left="4395" w:hanging="360"/>
      </w:pPr>
      <w:rPr>
        <w:rFonts w:hint="default"/>
      </w:rPr>
    </w:lvl>
    <w:lvl w:ilvl="5" w:tplc="AF3AAFDE">
      <w:start w:val="1"/>
      <w:numFmt w:val="bullet"/>
      <w:lvlText w:val="•"/>
      <w:lvlJc w:val="left"/>
      <w:pPr>
        <w:ind w:left="5367" w:hanging="360"/>
      </w:pPr>
      <w:rPr>
        <w:rFonts w:hint="default"/>
      </w:rPr>
    </w:lvl>
    <w:lvl w:ilvl="6" w:tplc="834A5372">
      <w:start w:val="1"/>
      <w:numFmt w:val="bullet"/>
      <w:lvlText w:val="•"/>
      <w:lvlJc w:val="left"/>
      <w:pPr>
        <w:ind w:left="6339" w:hanging="360"/>
      </w:pPr>
      <w:rPr>
        <w:rFonts w:hint="default"/>
      </w:rPr>
    </w:lvl>
    <w:lvl w:ilvl="7" w:tplc="8FBCAFF2">
      <w:start w:val="1"/>
      <w:numFmt w:val="bullet"/>
      <w:lvlText w:val="•"/>
      <w:lvlJc w:val="left"/>
      <w:pPr>
        <w:ind w:left="7310" w:hanging="360"/>
      </w:pPr>
      <w:rPr>
        <w:rFonts w:hint="default"/>
      </w:rPr>
    </w:lvl>
    <w:lvl w:ilvl="8" w:tplc="58144B2C">
      <w:start w:val="1"/>
      <w:numFmt w:val="bullet"/>
      <w:lvlText w:val="•"/>
      <w:lvlJc w:val="left"/>
      <w:pPr>
        <w:ind w:left="8282" w:hanging="360"/>
      </w:pPr>
      <w:rPr>
        <w:rFonts w:hint="default"/>
      </w:rPr>
    </w:lvl>
  </w:abstractNum>
  <w:abstractNum w:abstractNumId="27"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2C9806D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6FB6FCB"/>
    <w:multiLevelType w:val="hybridMultilevel"/>
    <w:tmpl w:val="13EC9842"/>
    <w:lvl w:ilvl="0" w:tplc="0A7C7D60">
      <w:start w:val="1"/>
      <w:numFmt w:val="bullet"/>
      <w:lvlText w:val=""/>
      <w:lvlJc w:val="left"/>
      <w:pPr>
        <w:ind w:left="720" w:hanging="55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56567F"/>
    <w:multiLevelType w:val="hybridMultilevel"/>
    <w:tmpl w:val="1C2ABAA4"/>
    <w:lvl w:ilvl="0" w:tplc="C150A732">
      <w:start w:val="1"/>
      <w:numFmt w:val="bullet"/>
      <w:lvlText w:val="•"/>
      <w:lvlJc w:val="left"/>
      <w:pPr>
        <w:ind w:left="108" w:hanging="109"/>
      </w:pPr>
      <w:rPr>
        <w:rFonts w:ascii="Arial" w:eastAsia="Arial" w:hAnsi="Arial" w:hint="default"/>
        <w:color w:val="58595B"/>
        <w:w w:val="108"/>
        <w:sz w:val="16"/>
        <w:szCs w:val="16"/>
      </w:rPr>
    </w:lvl>
    <w:lvl w:ilvl="1" w:tplc="9D2AF46A">
      <w:start w:val="1"/>
      <w:numFmt w:val="bullet"/>
      <w:lvlText w:val="•"/>
      <w:lvlJc w:val="left"/>
      <w:pPr>
        <w:ind w:left="288" w:hanging="109"/>
      </w:pPr>
      <w:rPr>
        <w:rFonts w:hint="default"/>
      </w:rPr>
    </w:lvl>
    <w:lvl w:ilvl="2" w:tplc="32D6C3AE">
      <w:start w:val="1"/>
      <w:numFmt w:val="bullet"/>
      <w:lvlText w:val="•"/>
      <w:lvlJc w:val="left"/>
      <w:pPr>
        <w:ind w:left="468" w:hanging="109"/>
      </w:pPr>
      <w:rPr>
        <w:rFonts w:hint="default"/>
      </w:rPr>
    </w:lvl>
    <w:lvl w:ilvl="3" w:tplc="8C80AA52">
      <w:start w:val="1"/>
      <w:numFmt w:val="bullet"/>
      <w:lvlText w:val="•"/>
      <w:lvlJc w:val="left"/>
      <w:pPr>
        <w:ind w:left="648" w:hanging="109"/>
      </w:pPr>
      <w:rPr>
        <w:rFonts w:hint="default"/>
      </w:rPr>
    </w:lvl>
    <w:lvl w:ilvl="4" w:tplc="A3D0E4B6">
      <w:start w:val="1"/>
      <w:numFmt w:val="bullet"/>
      <w:lvlText w:val="•"/>
      <w:lvlJc w:val="left"/>
      <w:pPr>
        <w:ind w:left="828" w:hanging="109"/>
      </w:pPr>
      <w:rPr>
        <w:rFonts w:hint="default"/>
      </w:rPr>
    </w:lvl>
    <w:lvl w:ilvl="5" w:tplc="CEEE23CE">
      <w:start w:val="1"/>
      <w:numFmt w:val="bullet"/>
      <w:lvlText w:val="•"/>
      <w:lvlJc w:val="left"/>
      <w:pPr>
        <w:ind w:left="1008" w:hanging="109"/>
      </w:pPr>
      <w:rPr>
        <w:rFonts w:hint="default"/>
      </w:rPr>
    </w:lvl>
    <w:lvl w:ilvl="6" w:tplc="E7C637FA">
      <w:start w:val="1"/>
      <w:numFmt w:val="bullet"/>
      <w:lvlText w:val="•"/>
      <w:lvlJc w:val="left"/>
      <w:pPr>
        <w:ind w:left="1188" w:hanging="109"/>
      </w:pPr>
      <w:rPr>
        <w:rFonts w:hint="default"/>
      </w:rPr>
    </w:lvl>
    <w:lvl w:ilvl="7" w:tplc="FD204E30">
      <w:start w:val="1"/>
      <w:numFmt w:val="bullet"/>
      <w:lvlText w:val="•"/>
      <w:lvlJc w:val="left"/>
      <w:pPr>
        <w:ind w:left="1368" w:hanging="109"/>
      </w:pPr>
      <w:rPr>
        <w:rFonts w:hint="default"/>
      </w:rPr>
    </w:lvl>
    <w:lvl w:ilvl="8" w:tplc="0428BC08">
      <w:start w:val="1"/>
      <w:numFmt w:val="bullet"/>
      <w:lvlText w:val="•"/>
      <w:lvlJc w:val="left"/>
      <w:pPr>
        <w:ind w:left="1548" w:hanging="109"/>
      </w:pPr>
      <w:rPr>
        <w:rFonts w:hint="default"/>
      </w:rPr>
    </w:lvl>
  </w:abstractNum>
  <w:abstractNum w:abstractNumId="31" w15:restartNumberingAfterBreak="0">
    <w:nsid w:val="410A6C98"/>
    <w:multiLevelType w:val="hybridMultilevel"/>
    <w:tmpl w:val="5FEAE8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35D76DD"/>
    <w:multiLevelType w:val="multilevel"/>
    <w:tmpl w:val="9DA679A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36A7891"/>
    <w:multiLevelType w:val="multilevel"/>
    <w:tmpl w:val="19CE5240"/>
    <w:lvl w:ilvl="0">
      <w:start w:val="1"/>
      <w:numFmt w:val="decimal"/>
      <w:suff w:val="space"/>
      <w:lvlText w:val="Figure %1:"/>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70416E7"/>
    <w:multiLevelType w:val="hybridMultilevel"/>
    <w:tmpl w:val="A4ACCD8A"/>
    <w:lvl w:ilvl="0" w:tplc="B6DEF91A">
      <w:start w:val="1"/>
      <w:numFmt w:val="bullet"/>
      <w:lvlText w:val="•"/>
      <w:lvlJc w:val="left"/>
      <w:pPr>
        <w:ind w:left="108" w:hanging="109"/>
      </w:pPr>
      <w:rPr>
        <w:rFonts w:ascii="Arial" w:eastAsia="Arial" w:hAnsi="Arial" w:hint="default"/>
        <w:color w:val="58595B"/>
        <w:w w:val="108"/>
        <w:sz w:val="16"/>
        <w:szCs w:val="16"/>
      </w:rPr>
    </w:lvl>
    <w:lvl w:ilvl="1" w:tplc="E5023174">
      <w:start w:val="1"/>
      <w:numFmt w:val="bullet"/>
      <w:lvlText w:val="•"/>
      <w:lvlJc w:val="left"/>
      <w:pPr>
        <w:ind w:left="263" w:hanging="109"/>
      </w:pPr>
      <w:rPr>
        <w:rFonts w:hint="default"/>
      </w:rPr>
    </w:lvl>
    <w:lvl w:ilvl="2" w:tplc="A2BEFA44">
      <w:start w:val="1"/>
      <w:numFmt w:val="bullet"/>
      <w:lvlText w:val="•"/>
      <w:lvlJc w:val="left"/>
      <w:pPr>
        <w:ind w:left="417" w:hanging="109"/>
      </w:pPr>
      <w:rPr>
        <w:rFonts w:hint="default"/>
      </w:rPr>
    </w:lvl>
    <w:lvl w:ilvl="3" w:tplc="C18C9E52">
      <w:start w:val="1"/>
      <w:numFmt w:val="bullet"/>
      <w:lvlText w:val="•"/>
      <w:lvlJc w:val="left"/>
      <w:pPr>
        <w:ind w:left="572" w:hanging="109"/>
      </w:pPr>
      <w:rPr>
        <w:rFonts w:hint="default"/>
      </w:rPr>
    </w:lvl>
    <w:lvl w:ilvl="4" w:tplc="42AAF1D0">
      <w:start w:val="1"/>
      <w:numFmt w:val="bullet"/>
      <w:lvlText w:val="•"/>
      <w:lvlJc w:val="left"/>
      <w:pPr>
        <w:ind w:left="727" w:hanging="109"/>
      </w:pPr>
      <w:rPr>
        <w:rFonts w:hint="default"/>
      </w:rPr>
    </w:lvl>
    <w:lvl w:ilvl="5" w:tplc="5BF89490">
      <w:start w:val="1"/>
      <w:numFmt w:val="bullet"/>
      <w:lvlText w:val="•"/>
      <w:lvlJc w:val="left"/>
      <w:pPr>
        <w:ind w:left="882" w:hanging="109"/>
      </w:pPr>
      <w:rPr>
        <w:rFonts w:hint="default"/>
      </w:rPr>
    </w:lvl>
    <w:lvl w:ilvl="6" w:tplc="C7B2984A">
      <w:start w:val="1"/>
      <w:numFmt w:val="bullet"/>
      <w:lvlText w:val="•"/>
      <w:lvlJc w:val="left"/>
      <w:pPr>
        <w:ind w:left="1036" w:hanging="109"/>
      </w:pPr>
      <w:rPr>
        <w:rFonts w:hint="default"/>
      </w:rPr>
    </w:lvl>
    <w:lvl w:ilvl="7" w:tplc="EC121F36">
      <w:start w:val="1"/>
      <w:numFmt w:val="bullet"/>
      <w:lvlText w:val="•"/>
      <w:lvlJc w:val="left"/>
      <w:pPr>
        <w:ind w:left="1191" w:hanging="109"/>
      </w:pPr>
      <w:rPr>
        <w:rFonts w:hint="default"/>
      </w:rPr>
    </w:lvl>
    <w:lvl w:ilvl="8" w:tplc="A1C6B290">
      <w:start w:val="1"/>
      <w:numFmt w:val="bullet"/>
      <w:lvlText w:val="•"/>
      <w:lvlJc w:val="left"/>
      <w:pPr>
        <w:ind w:left="1346" w:hanging="109"/>
      </w:pPr>
      <w:rPr>
        <w:rFonts w:hint="default"/>
      </w:rPr>
    </w:lvl>
  </w:abstractNum>
  <w:abstractNum w:abstractNumId="35" w15:restartNumberingAfterBreak="0">
    <w:nsid w:val="57B86E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7" w15:restartNumberingAfterBreak="0">
    <w:nsid w:val="5ABB01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11E7E90"/>
    <w:multiLevelType w:val="hybridMultilevel"/>
    <w:tmpl w:val="76F4E900"/>
    <w:lvl w:ilvl="0" w:tplc="52F6FBCC">
      <w:start w:val="1"/>
      <w:numFmt w:val="bullet"/>
      <w:lvlText w:val="•"/>
      <w:lvlJc w:val="left"/>
      <w:pPr>
        <w:ind w:left="108" w:hanging="109"/>
      </w:pPr>
      <w:rPr>
        <w:rFonts w:ascii="Arial" w:eastAsia="Arial" w:hAnsi="Arial" w:hint="default"/>
        <w:color w:val="58595B"/>
        <w:w w:val="108"/>
        <w:sz w:val="16"/>
        <w:szCs w:val="16"/>
      </w:rPr>
    </w:lvl>
    <w:lvl w:ilvl="1" w:tplc="840E99EC">
      <w:start w:val="1"/>
      <w:numFmt w:val="bullet"/>
      <w:lvlText w:val="•"/>
      <w:lvlJc w:val="left"/>
      <w:pPr>
        <w:ind w:left="268" w:hanging="109"/>
      </w:pPr>
      <w:rPr>
        <w:rFonts w:hint="default"/>
      </w:rPr>
    </w:lvl>
    <w:lvl w:ilvl="2" w:tplc="78E6AA48">
      <w:start w:val="1"/>
      <w:numFmt w:val="bullet"/>
      <w:lvlText w:val="•"/>
      <w:lvlJc w:val="left"/>
      <w:pPr>
        <w:ind w:left="428" w:hanging="109"/>
      </w:pPr>
      <w:rPr>
        <w:rFonts w:hint="default"/>
      </w:rPr>
    </w:lvl>
    <w:lvl w:ilvl="3" w:tplc="335A6014">
      <w:start w:val="1"/>
      <w:numFmt w:val="bullet"/>
      <w:lvlText w:val="•"/>
      <w:lvlJc w:val="left"/>
      <w:pPr>
        <w:ind w:left="588" w:hanging="109"/>
      </w:pPr>
      <w:rPr>
        <w:rFonts w:hint="default"/>
      </w:rPr>
    </w:lvl>
    <w:lvl w:ilvl="4" w:tplc="6B2AC486">
      <w:start w:val="1"/>
      <w:numFmt w:val="bullet"/>
      <w:lvlText w:val="•"/>
      <w:lvlJc w:val="left"/>
      <w:pPr>
        <w:ind w:left="748" w:hanging="109"/>
      </w:pPr>
      <w:rPr>
        <w:rFonts w:hint="default"/>
      </w:rPr>
    </w:lvl>
    <w:lvl w:ilvl="5" w:tplc="D378499A">
      <w:start w:val="1"/>
      <w:numFmt w:val="bullet"/>
      <w:lvlText w:val="•"/>
      <w:lvlJc w:val="left"/>
      <w:pPr>
        <w:ind w:left="908" w:hanging="109"/>
      </w:pPr>
      <w:rPr>
        <w:rFonts w:hint="default"/>
      </w:rPr>
    </w:lvl>
    <w:lvl w:ilvl="6" w:tplc="01940548">
      <w:start w:val="1"/>
      <w:numFmt w:val="bullet"/>
      <w:lvlText w:val="•"/>
      <w:lvlJc w:val="left"/>
      <w:pPr>
        <w:ind w:left="1068" w:hanging="109"/>
      </w:pPr>
      <w:rPr>
        <w:rFonts w:hint="default"/>
      </w:rPr>
    </w:lvl>
    <w:lvl w:ilvl="7" w:tplc="F4A04950">
      <w:start w:val="1"/>
      <w:numFmt w:val="bullet"/>
      <w:lvlText w:val="•"/>
      <w:lvlJc w:val="left"/>
      <w:pPr>
        <w:ind w:left="1228" w:hanging="109"/>
      </w:pPr>
      <w:rPr>
        <w:rFonts w:hint="default"/>
      </w:rPr>
    </w:lvl>
    <w:lvl w:ilvl="8" w:tplc="D08E9764">
      <w:start w:val="1"/>
      <w:numFmt w:val="bullet"/>
      <w:lvlText w:val="•"/>
      <w:lvlJc w:val="left"/>
      <w:pPr>
        <w:ind w:left="1388" w:hanging="109"/>
      </w:pPr>
      <w:rPr>
        <w:rFonts w:hint="default"/>
      </w:rPr>
    </w:lvl>
  </w:abstractNum>
  <w:abstractNum w:abstractNumId="39" w15:restartNumberingAfterBreak="0">
    <w:nsid w:val="66436CAE"/>
    <w:multiLevelType w:val="hybridMultilevel"/>
    <w:tmpl w:val="76AE82B8"/>
    <w:lvl w:ilvl="0" w:tplc="0E7C24F6">
      <w:start w:val="1"/>
      <w:numFmt w:val="decimal"/>
      <w:lvlText w:val="%1."/>
      <w:lvlJc w:val="left"/>
      <w:pPr>
        <w:ind w:left="0" w:firstLine="357"/>
      </w:pPr>
      <w:rPr>
        <w:rFonts w:asciiTheme="minorHAnsi" w:hAnsiTheme="minorHAnsi" w:hint="default"/>
        <w:b w:val="0"/>
        <w:i w:val="0"/>
        <w:caps w:val="0"/>
        <w:strike w:val="0"/>
        <w:dstrike w:val="0"/>
        <w:vanish w:val="0"/>
        <w:w w:val="100"/>
        <w:position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4652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DCF6972"/>
    <w:multiLevelType w:val="hybridMultilevel"/>
    <w:tmpl w:val="1DA6C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0D363D"/>
    <w:multiLevelType w:val="hybridMultilevel"/>
    <w:tmpl w:val="585E7796"/>
    <w:lvl w:ilvl="0" w:tplc="D6FC33F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5E2AB7"/>
    <w:multiLevelType w:val="hybridMultilevel"/>
    <w:tmpl w:val="E45AEE00"/>
    <w:lvl w:ilvl="0" w:tplc="1098F9C8">
      <w:start w:val="1"/>
      <w:numFmt w:val="bullet"/>
      <w:lvlText w:val="•"/>
      <w:lvlJc w:val="left"/>
      <w:pPr>
        <w:ind w:left="108" w:hanging="109"/>
      </w:pPr>
      <w:rPr>
        <w:rFonts w:ascii="Arial" w:eastAsia="Arial" w:hAnsi="Arial" w:hint="default"/>
        <w:color w:val="58595B"/>
        <w:w w:val="108"/>
        <w:sz w:val="16"/>
        <w:szCs w:val="16"/>
      </w:rPr>
    </w:lvl>
    <w:lvl w:ilvl="1" w:tplc="2134099E">
      <w:start w:val="1"/>
      <w:numFmt w:val="bullet"/>
      <w:lvlText w:val="•"/>
      <w:lvlJc w:val="left"/>
      <w:pPr>
        <w:ind w:left="254" w:hanging="109"/>
      </w:pPr>
      <w:rPr>
        <w:rFonts w:hint="default"/>
      </w:rPr>
    </w:lvl>
    <w:lvl w:ilvl="2" w:tplc="5BE83D32">
      <w:start w:val="1"/>
      <w:numFmt w:val="bullet"/>
      <w:lvlText w:val="•"/>
      <w:lvlJc w:val="left"/>
      <w:pPr>
        <w:ind w:left="401" w:hanging="109"/>
      </w:pPr>
      <w:rPr>
        <w:rFonts w:hint="default"/>
      </w:rPr>
    </w:lvl>
    <w:lvl w:ilvl="3" w:tplc="05665C5C">
      <w:start w:val="1"/>
      <w:numFmt w:val="bullet"/>
      <w:lvlText w:val="•"/>
      <w:lvlJc w:val="left"/>
      <w:pPr>
        <w:ind w:left="547" w:hanging="109"/>
      </w:pPr>
      <w:rPr>
        <w:rFonts w:hint="default"/>
      </w:rPr>
    </w:lvl>
    <w:lvl w:ilvl="4" w:tplc="A700428A">
      <w:start w:val="1"/>
      <w:numFmt w:val="bullet"/>
      <w:lvlText w:val="•"/>
      <w:lvlJc w:val="left"/>
      <w:pPr>
        <w:ind w:left="693" w:hanging="109"/>
      </w:pPr>
      <w:rPr>
        <w:rFonts w:hint="default"/>
      </w:rPr>
    </w:lvl>
    <w:lvl w:ilvl="5" w:tplc="3530C89E">
      <w:start w:val="1"/>
      <w:numFmt w:val="bullet"/>
      <w:lvlText w:val="•"/>
      <w:lvlJc w:val="left"/>
      <w:pPr>
        <w:ind w:left="839" w:hanging="109"/>
      </w:pPr>
      <w:rPr>
        <w:rFonts w:hint="default"/>
      </w:rPr>
    </w:lvl>
    <w:lvl w:ilvl="6" w:tplc="DD127BC0">
      <w:start w:val="1"/>
      <w:numFmt w:val="bullet"/>
      <w:lvlText w:val="•"/>
      <w:lvlJc w:val="left"/>
      <w:pPr>
        <w:ind w:left="985" w:hanging="109"/>
      </w:pPr>
      <w:rPr>
        <w:rFonts w:hint="default"/>
      </w:rPr>
    </w:lvl>
    <w:lvl w:ilvl="7" w:tplc="FD962660">
      <w:start w:val="1"/>
      <w:numFmt w:val="bullet"/>
      <w:lvlText w:val="•"/>
      <w:lvlJc w:val="left"/>
      <w:pPr>
        <w:ind w:left="1132" w:hanging="109"/>
      </w:pPr>
      <w:rPr>
        <w:rFonts w:hint="default"/>
      </w:rPr>
    </w:lvl>
    <w:lvl w:ilvl="8" w:tplc="72E88D62">
      <w:start w:val="1"/>
      <w:numFmt w:val="bullet"/>
      <w:lvlText w:val="•"/>
      <w:lvlJc w:val="left"/>
      <w:pPr>
        <w:ind w:left="1278" w:hanging="109"/>
      </w:pPr>
      <w:rPr>
        <w:rFonts w:hint="default"/>
      </w:rPr>
    </w:lvl>
  </w:abstractNum>
  <w:abstractNum w:abstractNumId="44" w15:restartNumberingAfterBreak="0">
    <w:nsid w:val="72127310"/>
    <w:multiLevelType w:val="hybridMultilevel"/>
    <w:tmpl w:val="F8EAB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D351CD1"/>
    <w:multiLevelType w:val="hybridMultilevel"/>
    <w:tmpl w:val="798084A2"/>
    <w:lvl w:ilvl="0" w:tplc="E2766A8A">
      <w:start w:val="1"/>
      <w:numFmt w:val="bullet"/>
      <w:lvlText w:val="•"/>
      <w:lvlJc w:val="left"/>
      <w:pPr>
        <w:ind w:left="108" w:hanging="109"/>
      </w:pPr>
      <w:rPr>
        <w:rFonts w:ascii="Arial" w:eastAsia="Arial" w:hAnsi="Arial" w:hint="default"/>
        <w:color w:val="58595B"/>
        <w:w w:val="108"/>
        <w:sz w:val="16"/>
        <w:szCs w:val="16"/>
      </w:rPr>
    </w:lvl>
    <w:lvl w:ilvl="1" w:tplc="894A82BC">
      <w:start w:val="1"/>
      <w:numFmt w:val="bullet"/>
      <w:lvlText w:val="•"/>
      <w:lvlJc w:val="left"/>
      <w:pPr>
        <w:ind w:left="266" w:hanging="109"/>
      </w:pPr>
      <w:rPr>
        <w:rFonts w:hint="default"/>
      </w:rPr>
    </w:lvl>
    <w:lvl w:ilvl="2" w:tplc="C57848E8">
      <w:start w:val="1"/>
      <w:numFmt w:val="bullet"/>
      <w:lvlText w:val="•"/>
      <w:lvlJc w:val="left"/>
      <w:pPr>
        <w:ind w:left="424" w:hanging="109"/>
      </w:pPr>
      <w:rPr>
        <w:rFonts w:hint="default"/>
      </w:rPr>
    </w:lvl>
    <w:lvl w:ilvl="3" w:tplc="5EB48F96">
      <w:start w:val="1"/>
      <w:numFmt w:val="bullet"/>
      <w:lvlText w:val="•"/>
      <w:lvlJc w:val="left"/>
      <w:pPr>
        <w:ind w:left="583" w:hanging="109"/>
      </w:pPr>
      <w:rPr>
        <w:rFonts w:hint="default"/>
      </w:rPr>
    </w:lvl>
    <w:lvl w:ilvl="4" w:tplc="0EB2383C">
      <w:start w:val="1"/>
      <w:numFmt w:val="bullet"/>
      <w:lvlText w:val="•"/>
      <w:lvlJc w:val="left"/>
      <w:pPr>
        <w:ind w:left="741" w:hanging="109"/>
      </w:pPr>
      <w:rPr>
        <w:rFonts w:hint="default"/>
      </w:rPr>
    </w:lvl>
    <w:lvl w:ilvl="5" w:tplc="C69A92AA">
      <w:start w:val="1"/>
      <w:numFmt w:val="bullet"/>
      <w:lvlText w:val="•"/>
      <w:lvlJc w:val="left"/>
      <w:pPr>
        <w:ind w:left="899" w:hanging="109"/>
      </w:pPr>
      <w:rPr>
        <w:rFonts w:hint="default"/>
      </w:rPr>
    </w:lvl>
    <w:lvl w:ilvl="6" w:tplc="28C0CAB4">
      <w:start w:val="1"/>
      <w:numFmt w:val="bullet"/>
      <w:lvlText w:val="•"/>
      <w:lvlJc w:val="left"/>
      <w:pPr>
        <w:ind w:left="1057" w:hanging="109"/>
      </w:pPr>
      <w:rPr>
        <w:rFonts w:hint="default"/>
      </w:rPr>
    </w:lvl>
    <w:lvl w:ilvl="7" w:tplc="DD8CD7F6">
      <w:start w:val="1"/>
      <w:numFmt w:val="bullet"/>
      <w:lvlText w:val="•"/>
      <w:lvlJc w:val="left"/>
      <w:pPr>
        <w:ind w:left="1215" w:hanging="109"/>
      </w:pPr>
      <w:rPr>
        <w:rFonts w:hint="default"/>
      </w:rPr>
    </w:lvl>
    <w:lvl w:ilvl="8" w:tplc="9C76E476">
      <w:start w:val="1"/>
      <w:numFmt w:val="bullet"/>
      <w:lvlText w:val="•"/>
      <w:lvlJc w:val="left"/>
      <w:pPr>
        <w:ind w:left="1373" w:hanging="109"/>
      </w:pPr>
      <w:rPr>
        <w:rFonts w:hint="default"/>
      </w:rPr>
    </w:lvl>
  </w:abstractNum>
  <w:num w:numId="1">
    <w:abstractNumId w:val="27"/>
  </w:num>
  <w:num w:numId="2">
    <w:abstractNumId w:val="36"/>
  </w:num>
  <w:num w:numId="3">
    <w:abstractNumId w:val="33"/>
  </w:num>
  <w:num w:numId="4">
    <w:abstractNumId w:val="19"/>
  </w:num>
  <w:num w:numId="5">
    <w:abstractNumId w:val="8"/>
  </w:num>
  <w:num w:numId="6">
    <w:abstractNumId w:val="7"/>
  </w:num>
  <w:num w:numId="7">
    <w:abstractNumId w:val="4"/>
  </w:num>
  <w:num w:numId="8">
    <w:abstractNumId w:val="3"/>
  </w:num>
  <w:num w:numId="9">
    <w:abstractNumId w:val="1"/>
  </w:num>
  <w:num w:numId="10">
    <w:abstractNumId w:val="2"/>
  </w:num>
  <w:num w:numId="11">
    <w:abstractNumId w:val="5"/>
  </w:num>
  <w:num w:numId="12">
    <w:abstractNumId w:val="6"/>
  </w:num>
  <w:num w:numId="13">
    <w:abstractNumId w:val="24"/>
  </w:num>
  <w:num w:numId="14">
    <w:abstractNumId w:val="0"/>
  </w:num>
  <w:num w:numId="15">
    <w:abstractNumId w:val="23"/>
  </w:num>
  <w:num w:numId="16">
    <w:abstractNumId w:val="41"/>
  </w:num>
  <w:num w:numId="17">
    <w:abstractNumId w:val="31"/>
  </w:num>
  <w:num w:numId="18">
    <w:abstractNumId w:val="10"/>
  </w:num>
  <w:num w:numId="19">
    <w:abstractNumId w:val="44"/>
  </w:num>
  <w:num w:numId="20">
    <w:abstractNumId w:val="15"/>
  </w:num>
  <w:num w:numId="21">
    <w:abstractNumId w:val="14"/>
  </w:num>
  <w:num w:numId="22">
    <w:abstractNumId w:val="9"/>
  </w:num>
  <w:num w:numId="23">
    <w:abstractNumId w:val="42"/>
  </w:num>
  <w:num w:numId="24">
    <w:abstractNumId w:val="38"/>
  </w:num>
  <w:num w:numId="25">
    <w:abstractNumId w:val="16"/>
  </w:num>
  <w:num w:numId="26">
    <w:abstractNumId w:val="45"/>
  </w:num>
  <w:num w:numId="27">
    <w:abstractNumId w:val="21"/>
  </w:num>
  <w:num w:numId="28">
    <w:abstractNumId w:val="30"/>
  </w:num>
  <w:num w:numId="29">
    <w:abstractNumId w:val="43"/>
  </w:num>
  <w:num w:numId="30">
    <w:abstractNumId w:val="34"/>
  </w:num>
  <w:num w:numId="31">
    <w:abstractNumId w:val="25"/>
  </w:num>
  <w:num w:numId="32">
    <w:abstractNumId w:val="17"/>
  </w:num>
  <w:num w:numId="33">
    <w:abstractNumId w:val="18"/>
  </w:num>
  <w:num w:numId="34">
    <w:abstractNumId w:val="29"/>
  </w:num>
  <w:num w:numId="35">
    <w:abstractNumId w:val="20"/>
  </w:num>
  <w:num w:numId="36">
    <w:abstractNumId w:val="32"/>
  </w:num>
  <w:num w:numId="37">
    <w:abstractNumId w:val="39"/>
  </w:num>
  <w:num w:numId="38">
    <w:abstractNumId w:val="28"/>
  </w:num>
  <w:num w:numId="39">
    <w:abstractNumId w:val="12"/>
  </w:num>
  <w:num w:numId="40">
    <w:abstractNumId w:val="13"/>
  </w:num>
  <w:num w:numId="41">
    <w:abstractNumId w:val="26"/>
  </w:num>
  <w:num w:numId="42">
    <w:abstractNumId w:val="37"/>
  </w:num>
  <w:num w:numId="43">
    <w:abstractNumId w:val="11"/>
  </w:num>
  <w:num w:numId="44">
    <w:abstractNumId w:val="40"/>
  </w:num>
  <w:num w:numId="45">
    <w:abstractNumId w:val="35"/>
  </w:num>
  <w:num w:numId="46">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063"/>
    <w:rsid w:val="00002987"/>
    <w:rsid w:val="00005785"/>
    <w:rsid w:val="0000600F"/>
    <w:rsid w:val="00006876"/>
    <w:rsid w:val="000079AD"/>
    <w:rsid w:val="00007D1F"/>
    <w:rsid w:val="00010D84"/>
    <w:rsid w:val="00010F15"/>
    <w:rsid w:val="00011690"/>
    <w:rsid w:val="00011CE3"/>
    <w:rsid w:val="000131D0"/>
    <w:rsid w:val="000139F4"/>
    <w:rsid w:val="00016EF9"/>
    <w:rsid w:val="000176B5"/>
    <w:rsid w:val="00021B7A"/>
    <w:rsid w:val="00022E9C"/>
    <w:rsid w:val="00024EF0"/>
    <w:rsid w:val="000250D8"/>
    <w:rsid w:val="00025631"/>
    <w:rsid w:val="00027B26"/>
    <w:rsid w:val="00030705"/>
    <w:rsid w:val="0003099E"/>
    <w:rsid w:val="00032861"/>
    <w:rsid w:val="00032B77"/>
    <w:rsid w:val="0003652D"/>
    <w:rsid w:val="00037F3D"/>
    <w:rsid w:val="000416EF"/>
    <w:rsid w:val="00042285"/>
    <w:rsid w:val="00043256"/>
    <w:rsid w:val="00045A89"/>
    <w:rsid w:val="00046F8E"/>
    <w:rsid w:val="00047524"/>
    <w:rsid w:val="0005040E"/>
    <w:rsid w:val="0005087D"/>
    <w:rsid w:val="00050F9E"/>
    <w:rsid w:val="000547EF"/>
    <w:rsid w:val="00056004"/>
    <w:rsid w:val="0006075A"/>
    <w:rsid w:val="00061C84"/>
    <w:rsid w:val="00062484"/>
    <w:rsid w:val="00063129"/>
    <w:rsid w:val="00064EE9"/>
    <w:rsid w:val="00065022"/>
    <w:rsid w:val="00065A5E"/>
    <w:rsid w:val="00070681"/>
    <w:rsid w:val="0007097B"/>
    <w:rsid w:val="00070F67"/>
    <w:rsid w:val="00072DA5"/>
    <w:rsid w:val="00080A09"/>
    <w:rsid w:val="00081366"/>
    <w:rsid w:val="00081CEB"/>
    <w:rsid w:val="00083082"/>
    <w:rsid w:val="00083F36"/>
    <w:rsid w:val="00086D9F"/>
    <w:rsid w:val="000873B7"/>
    <w:rsid w:val="00087B2C"/>
    <w:rsid w:val="00087D4E"/>
    <w:rsid w:val="00087DBD"/>
    <w:rsid w:val="00090718"/>
    <w:rsid w:val="00091B4E"/>
    <w:rsid w:val="00091CD7"/>
    <w:rsid w:val="00093DD5"/>
    <w:rsid w:val="00097150"/>
    <w:rsid w:val="000A03DD"/>
    <w:rsid w:val="000A0D35"/>
    <w:rsid w:val="000A1A09"/>
    <w:rsid w:val="000A4375"/>
    <w:rsid w:val="000A47A8"/>
    <w:rsid w:val="000A48B2"/>
    <w:rsid w:val="000A73FB"/>
    <w:rsid w:val="000B0129"/>
    <w:rsid w:val="000B153C"/>
    <w:rsid w:val="000B218A"/>
    <w:rsid w:val="000C014D"/>
    <w:rsid w:val="000C29B4"/>
    <w:rsid w:val="000C5CD8"/>
    <w:rsid w:val="000C6069"/>
    <w:rsid w:val="000C7A69"/>
    <w:rsid w:val="000D1158"/>
    <w:rsid w:val="000D3EFF"/>
    <w:rsid w:val="000D4703"/>
    <w:rsid w:val="000D5DF8"/>
    <w:rsid w:val="000E12D4"/>
    <w:rsid w:val="000E213A"/>
    <w:rsid w:val="000E39EF"/>
    <w:rsid w:val="000E51CE"/>
    <w:rsid w:val="000E55FE"/>
    <w:rsid w:val="000E620E"/>
    <w:rsid w:val="000F2063"/>
    <w:rsid w:val="000F313D"/>
    <w:rsid w:val="000F3D28"/>
    <w:rsid w:val="000F63C4"/>
    <w:rsid w:val="000F7463"/>
    <w:rsid w:val="00100200"/>
    <w:rsid w:val="0010263D"/>
    <w:rsid w:val="00102824"/>
    <w:rsid w:val="0010300A"/>
    <w:rsid w:val="001131F0"/>
    <w:rsid w:val="001139C7"/>
    <w:rsid w:val="00114EBC"/>
    <w:rsid w:val="00116351"/>
    <w:rsid w:val="0012073F"/>
    <w:rsid w:val="001239B3"/>
    <w:rsid w:val="0012427E"/>
    <w:rsid w:val="001247E0"/>
    <w:rsid w:val="001252F6"/>
    <w:rsid w:val="00126750"/>
    <w:rsid w:val="001271A1"/>
    <w:rsid w:val="00130282"/>
    <w:rsid w:val="001318F2"/>
    <w:rsid w:val="00131C0F"/>
    <w:rsid w:val="001325BF"/>
    <w:rsid w:val="00132678"/>
    <w:rsid w:val="00132F0D"/>
    <w:rsid w:val="00133713"/>
    <w:rsid w:val="00135B7E"/>
    <w:rsid w:val="00137FDB"/>
    <w:rsid w:val="00140FC9"/>
    <w:rsid w:val="001413C5"/>
    <w:rsid w:val="0014231B"/>
    <w:rsid w:val="00142956"/>
    <w:rsid w:val="00142D10"/>
    <w:rsid w:val="001432B0"/>
    <w:rsid w:val="00144868"/>
    <w:rsid w:val="001452BC"/>
    <w:rsid w:val="001455DF"/>
    <w:rsid w:val="00150D2A"/>
    <w:rsid w:val="00150E25"/>
    <w:rsid w:val="00150EA9"/>
    <w:rsid w:val="00151650"/>
    <w:rsid w:val="00155B98"/>
    <w:rsid w:val="00157001"/>
    <w:rsid w:val="00157709"/>
    <w:rsid w:val="00160B66"/>
    <w:rsid w:val="00160E91"/>
    <w:rsid w:val="00165626"/>
    <w:rsid w:val="00166272"/>
    <w:rsid w:val="001671D2"/>
    <w:rsid w:val="00167CF4"/>
    <w:rsid w:val="00170BE9"/>
    <w:rsid w:val="0017147C"/>
    <w:rsid w:val="001715C9"/>
    <w:rsid w:val="0017194E"/>
    <w:rsid w:val="00171B3E"/>
    <w:rsid w:val="0017249B"/>
    <w:rsid w:val="00172742"/>
    <w:rsid w:val="001727A4"/>
    <w:rsid w:val="00177EC4"/>
    <w:rsid w:val="00181533"/>
    <w:rsid w:val="001824C8"/>
    <w:rsid w:val="00182698"/>
    <w:rsid w:val="001864FD"/>
    <w:rsid w:val="00186A14"/>
    <w:rsid w:val="001936A7"/>
    <w:rsid w:val="001943DD"/>
    <w:rsid w:val="00196BAC"/>
    <w:rsid w:val="001A009A"/>
    <w:rsid w:val="001A0BC6"/>
    <w:rsid w:val="001A0BF0"/>
    <w:rsid w:val="001A13F6"/>
    <w:rsid w:val="001A2D78"/>
    <w:rsid w:val="001A61C4"/>
    <w:rsid w:val="001A7249"/>
    <w:rsid w:val="001A77F3"/>
    <w:rsid w:val="001B385A"/>
    <w:rsid w:val="001B3904"/>
    <w:rsid w:val="001B3AEC"/>
    <w:rsid w:val="001B3E8D"/>
    <w:rsid w:val="001B5259"/>
    <w:rsid w:val="001B53B8"/>
    <w:rsid w:val="001B5922"/>
    <w:rsid w:val="001B60D4"/>
    <w:rsid w:val="001B6F28"/>
    <w:rsid w:val="001C1FD3"/>
    <w:rsid w:val="001C4F4F"/>
    <w:rsid w:val="001C6BA1"/>
    <w:rsid w:val="001C6F22"/>
    <w:rsid w:val="001D141C"/>
    <w:rsid w:val="001D2904"/>
    <w:rsid w:val="001D652D"/>
    <w:rsid w:val="001D693F"/>
    <w:rsid w:val="001D6EDF"/>
    <w:rsid w:val="001D6F9E"/>
    <w:rsid w:val="001D7631"/>
    <w:rsid w:val="001E38FB"/>
    <w:rsid w:val="001E52C2"/>
    <w:rsid w:val="001E6A27"/>
    <w:rsid w:val="001F0BE1"/>
    <w:rsid w:val="001F101A"/>
    <w:rsid w:val="001F24EF"/>
    <w:rsid w:val="001F56C7"/>
    <w:rsid w:val="00203039"/>
    <w:rsid w:val="00203A42"/>
    <w:rsid w:val="00204B17"/>
    <w:rsid w:val="002069D2"/>
    <w:rsid w:val="002111E1"/>
    <w:rsid w:val="00211DA2"/>
    <w:rsid w:val="00213693"/>
    <w:rsid w:val="00215137"/>
    <w:rsid w:val="00215479"/>
    <w:rsid w:val="00215CCB"/>
    <w:rsid w:val="002160C2"/>
    <w:rsid w:val="00216CF5"/>
    <w:rsid w:val="0022037B"/>
    <w:rsid w:val="002214B3"/>
    <w:rsid w:val="00222C8D"/>
    <w:rsid w:val="002256A8"/>
    <w:rsid w:val="00226045"/>
    <w:rsid w:val="00226D96"/>
    <w:rsid w:val="00230E6B"/>
    <w:rsid w:val="002320BC"/>
    <w:rsid w:val="00232B97"/>
    <w:rsid w:val="00233077"/>
    <w:rsid w:val="0023523A"/>
    <w:rsid w:val="0023757C"/>
    <w:rsid w:val="00237C47"/>
    <w:rsid w:val="002402E4"/>
    <w:rsid w:val="002421A0"/>
    <w:rsid w:val="00242B98"/>
    <w:rsid w:val="002445A1"/>
    <w:rsid w:val="00246FE6"/>
    <w:rsid w:val="002470E3"/>
    <w:rsid w:val="0025207D"/>
    <w:rsid w:val="0025268F"/>
    <w:rsid w:val="00253269"/>
    <w:rsid w:val="002535AE"/>
    <w:rsid w:val="00254DE9"/>
    <w:rsid w:val="00257A66"/>
    <w:rsid w:val="002602FC"/>
    <w:rsid w:val="002615D3"/>
    <w:rsid w:val="0026268A"/>
    <w:rsid w:val="00262845"/>
    <w:rsid w:val="00264094"/>
    <w:rsid w:val="002672F1"/>
    <w:rsid w:val="00270D02"/>
    <w:rsid w:val="00271414"/>
    <w:rsid w:val="00271922"/>
    <w:rsid w:val="00273412"/>
    <w:rsid w:val="0027373F"/>
    <w:rsid w:val="0027422D"/>
    <w:rsid w:val="0027463F"/>
    <w:rsid w:val="00274ACF"/>
    <w:rsid w:val="00277388"/>
    <w:rsid w:val="00277C8F"/>
    <w:rsid w:val="0028159B"/>
    <w:rsid w:val="00282671"/>
    <w:rsid w:val="00282861"/>
    <w:rsid w:val="002843E2"/>
    <w:rsid w:val="00287BAA"/>
    <w:rsid w:val="0029180D"/>
    <w:rsid w:val="00292C2E"/>
    <w:rsid w:val="002933D1"/>
    <w:rsid w:val="00293489"/>
    <w:rsid w:val="002952C5"/>
    <w:rsid w:val="00295B30"/>
    <w:rsid w:val="00296F5E"/>
    <w:rsid w:val="002A30F0"/>
    <w:rsid w:val="002A38A4"/>
    <w:rsid w:val="002A6DF5"/>
    <w:rsid w:val="002B6406"/>
    <w:rsid w:val="002B6809"/>
    <w:rsid w:val="002C4231"/>
    <w:rsid w:val="002C55FB"/>
    <w:rsid w:val="002C7080"/>
    <w:rsid w:val="002D00B0"/>
    <w:rsid w:val="002D2364"/>
    <w:rsid w:val="002D2E16"/>
    <w:rsid w:val="002D6050"/>
    <w:rsid w:val="002D6E3E"/>
    <w:rsid w:val="002D7A13"/>
    <w:rsid w:val="002E21D6"/>
    <w:rsid w:val="002E45F0"/>
    <w:rsid w:val="002E5D92"/>
    <w:rsid w:val="002E7096"/>
    <w:rsid w:val="002E7778"/>
    <w:rsid w:val="002F416C"/>
    <w:rsid w:val="002F71BB"/>
    <w:rsid w:val="00304B3E"/>
    <w:rsid w:val="00304CA5"/>
    <w:rsid w:val="00304D97"/>
    <w:rsid w:val="00306377"/>
    <w:rsid w:val="0031180A"/>
    <w:rsid w:val="003122C7"/>
    <w:rsid w:val="00313127"/>
    <w:rsid w:val="00313304"/>
    <w:rsid w:val="003155F4"/>
    <w:rsid w:val="003158A9"/>
    <w:rsid w:val="00320309"/>
    <w:rsid w:val="00321D1E"/>
    <w:rsid w:val="0032530E"/>
    <w:rsid w:val="00325A61"/>
    <w:rsid w:val="00326976"/>
    <w:rsid w:val="00326B01"/>
    <w:rsid w:val="003279E4"/>
    <w:rsid w:val="003311D7"/>
    <w:rsid w:val="00331485"/>
    <w:rsid w:val="00332B8B"/>
    <w:rsid w:val="00332CBE"/>
    <w:rsid w:val="00333167"/>
    <w:rsid w:val="0033521E"/>
    <w:rsid w:val="003364C7"/>
    <w:rsid w:val="00337CA2"/>
    <w:rsid w:val="003402FB"/>
    <w:rsid w:val="003404A4"/>
    <w:rsid w:val="003418E4"/>
    <w:rsid w:val="00346843"/>
    <w:rsid w:val="00346D8B"/>
    <w:rsid w:val="00347104"/>
    <w:rsid w:val="00350852"/>
    <w:rsid w:val="0035096E"/>
    <w:rsid w:val="0035129C"/>
    <w:rsid w:val="0035219F"/>
    <w:rsid w:val="003525C8"/>
    <w:rsid w:val="00355D01"/>
    <w:rsid w:val="00360B81"/>
    <w:rsid w:val="00362281"/>
    <w:rsid w:val="00366283"/>
    <w:rsid w:val="0036777E"/>
    <w:rsid w:val="003701FA"/>
    <w:rsid w:val="00372A26"/>
    <w:rsid w:val="00372E31"/>
    <w:rsid w:val="00372EC7"/>
    <w:rsid w:val="0037484C"/>
    <w:rsid w:val="003749CD"/>
    <w:rsid w:val="00374A6C"/>
    <w:rsid w:val="00374C82"/>
    <w:rsid w:val="0038045A"/>
    <w:rsid w:val="00382718"/>
    <w:rsid w:val="00382B3B"/>
    <w:rsid w:val="00383112"/>
    <w:rsid w:val="00383627"/>
    <w:rsid w:val="00384AED"/>
    <w:rsid w:val="00385620"/>
    <w:rsid w:val="00385ED2"/>
    <w:rsid w:val="003866D6"/>
    <w:rsid w:val="0038714A"/>
    <w:rsid w:val="00391F86"/>
    <w:rsid w:val="003923FB"/>
    <w:rsid w:val="003931C7"/>
    <w:rsid w:val="00393F00"/>
    <w:rsid w:val="003945C0"/>
    <w:rsid w:val="003A25A7"/>
    <w:rsid w:val="003A7F2E"/>
    <w:rsid w:val="003B28CC"/>
    <w:rsid w:val="003B52CE"/>
    <w:rsid w:val="003B535C"/>
    <w:rsid w:val="003B5F0C"/>
    <w:rsid w:val="003B7A57"/>
    <w:rsid w:val="003C0AA2"/>
    <w:rsid w:val="003C2120"/>
    <w:rsid w:val="003C47C0"/>
    <w:rsid w:val="003C4BB1"/>
    <w:rsid w:val="003C63A3"/>
    <w:rsid w:val="003D030E"/>
    <w:rsid w:val="003D040D"/>
    <w:rsid w:val="003D1F49"/>
    <w:rsid w:val="003D2061"/>
    <w:rsid w:val="003D2DE8"/>
    <w:rsid w:val="003D543B"/>
    <w:rsid w:val="003D6AE7"/>
    <w:rsid w:val="003D7E3D"/>
    <w:rsid w:val="003E02C5"/>
    <w:rsid w:val="003E1FE3"/>
    <w:rsid w:val="003E32A7"/>
    <w:rsid w:val="003E74AE"/>
    <w:rsid w:val="003F1A33"/>
    <w:rsid w:val="003F2531"/>
    <w:rsid w:val="003F3072"/>
    <w:rsid w:val="003F31E6"/>
    <w:rsid w:val="00401057"/>
    <w:rsid w:val="004014AE"/>
    <w:rsid w:val="004024E4"/>
    <w:rsid w:val="004061B4"/>
    <w:rsid w:val="00406289"/>
    <w:rsid w:val="00406578"/>
    <w:rsid w:val="004074EF"/>
    <w:rsid w:val="004102C3"/>
    <w:rsid w:val="00411E22"/>
    <w:rsid w:val="0041307C"/>
    <w:rsid w:val="00413699"/>
    <w:rsid w:val="00416240"/>
    <w:rsid w:val="004167B4"/>
    <w:rsid w:val="004167BC"/>
    <w:rsid w:val="0042032D"/>
    <w:rsid w:val="004225DC"/>
    <w:rsid w:val="00423A41"/>
    <w:rsid w:val="00425FBA"/>
    <w:rsid w:val="00427C7D"/>
    <w:rsid w:val="00430D7E"/>
    <w:rsid w:val="00431765"/>
    <w:rsid w:val="00432332"/>
    <w:rsid w:val="00432368"/>
    <w:rsid w:val="00433B04"/>
    <w:rsid w:val="004348C9"/>
    <w:rsid w:val="0043784D"/>
    <w:rsid w:val="00440256"/>
    <w:rsid w:val="00440E22"/>
    <w:rsid w:val="0044547D"/>
    <w:rsid w:val="00445E00"/>
    <w:rsid w:val="00446F93"/>
    <w:rsid w:val="00447E54"/>
    <w:rsid w:val="00451A74"/>
    <w:rsid w:val="004552AB"/>
    <w:rsid w:val="004553FF"/>
    <w:rsid w:val="0045622C"/>
    <w:rsid w:val="00464B51"/>
    <w:rsid w:val="00464FB1"/>
    <w:rsid w:val="00466262"/>
    <w:rsid w:val="00466320"/>
    <w:rsid w:val="00467185"/>
    <w:rsid w:val="00467736"/>
    <w:rsid w:val="0047050C"/>
    <w:rsid w:val="00471C81"/>
    <w:rsid w:val="00472272"/>
    <w:rsid w:val="00472278"/>
    <w:rsid w:val="00472A45"/>
    <w:rsid w:val="00473930"/>
    <w:rsid w:val="00474D25"/>
    <w:rsid w:val="004750DB"/>
    <w:rsid w:val="004750FB"/>
    <w:rsid w:val="00480F21"/>
    <w:rsid w:val="0048108E"/>
    <w:rsid w:val="004816E7"/>
    <w:rsid w:val="004821BA"/>
    <w:rsid w:val="00484351"/>
    <w:rsid w:val="0048537F"/>
    <w:rsid w:val="004874E5"/>
    <w:rsid w:val="00487885"/>
    <w:rsid w:val="004909C3"/>
    <w:rsid w:val="00490A65"/>
    <w:rsid w:val="0049116C"/>
    <w:rsid w:val="00491968"/>
    <w:rsid w:val="004930C9"/>
    <w:rsid w:val="00493F62"/>
    <w:rsid w:val="00494832"/>
    <w:rsid w:val="00495663"/>
    <w:rsid w:val="004957C2"/>
    <w:rsid w:val="00495AF1"/>
    <w:rsid w:val="00497A89"/>
    <w:rsid w:val="004A4CED"/>
    <w:rsid w:val="004A4D74"/>
    <w:rsid w:val="004A6BE6"/>
    <w:rsid w:val="004A7553"/>
    <w:rsid w:val="004B047F"/>
    <w:rsid w:val="004B0828"/>
    <w:rsid w:val="004B3304"/>
    <w:rsid w:val="004B3DF1"/>
    <w:rsid w:val="004B4BC0"/>
    <w:rsid w:val="004B5555"/>
    <w:rsid w:val="004C0484"/>
    <w:rsid w:val="004C259B"/>
    <w:rsid w:val="004C751B"/>
    <w:rsid w:val="004C777E"/>
    <w:rsid w:val="004D01CA"/>
    <w:rsid w:val="004D0C54"/>
    <w:rsid w:val="004D16A4"/>
    <w:rsid w:val="004D33C1"/>
    <w:rsid w:val="004E0C28"/>
    <w:rsid w:val="004E5C51"/>
    <w:rsid w:val="004E6682"/>
    <w:rsid w:val="004E6D8A"/>
    <w:rsid w:val="004F0411"/>
    <w:rsid w:val="004F15EF"/>
    <w:rsid w:val="004F22FE"/>
    <w:rsid w:val="004F774D"/>
    <w:rsid w:val="005013B0"/>
    <w:rsid w:val="005015E4"/>
    <w:rsid w:val="005017A6"/>
    <w:rsid w:val="00501BE9"/>
    <w:rsid w:val="0050291D"/>
    <w:rsid w:val="00504554"/>
    <w:rsid w:val="005064CD"/>
    <w:rsid w:val="00506C00"/>
    <w:rsid w:val="00511016"/>
    <w:rsid w:val="005146FC"/>
    <w:rsid w:val="005159B3"/>
    <w:rsid w:val="00522C03"/>
    <w:rsid w:val="00523110"/>
    <w:rsid w:val="00525EA4"/>
    <w:rsid w:val="005276B7"/>
    <w:rsid w:val="0052791F"/>
    <w:rsid w:val="00532CFF"/>
    <w:rsid w:val="00534D3D"/>
    <w:rsid w:val="00536880"/>
    <w:rsid w:val="0053759C"/>
    <w:rsid w:val="00540AD0"/>
    <w:rsid w:val="0054357A"/>
    <w:rsid w:val="00543A76"/>
    <w:rsid w:val="00544BBC"/>
    <w:rsid w:val="00547738"/>
    <w:rsid w:val="005522F3"/>
    <w:rsid w:val="005523D1"/>
    <w:rsid w:val="00554A1D"/>
    <w:rsid w:val="0055517A"/>
    <w:rsid w:val="0055532E"/>
    <w:rsid w:val="00555BC3"/>
    <w:rsid w:val="00557C8E"/>
    <w:rsid w:val="00561B2B"/>
    <w:rsid w:val="0056357E"/>
    <w:rsid w:val="00564952"/>
    <w:rsid w:val="0056645F"/>
    <w:rsid w:val="00571AB1"/>
    <w:rsid w:val="00571DC8"/>
    <w:rsid w:val="0057334E"/>
    <w:rsid w:val="00575696"/>
    <w:rsid w:val="00577E1C"/>
    <w:rsid w:val="00580DB1"/>
    <w:rsid w:val="005814AC"/>
    <w:rsid w:val="00584676"/>
    <w:rsid w:val="00584923"/>
    <w:rsid w:val="005854B7"/>
    <w:rsid w:val="00585708"/>
    <w:rsid w:val="00587AB1"/>
    <w:rsid w:val="0059070B"/>
    <w:rsid w:val="00591A53"/>
    <w:rsid w:val="0059283C"/>
    <w:rsid w:val="00595082"/>
    <w:rsid w:val="00595A21"/>
    <w:rsid w:val="005A0B99"/>
    <w:rsid w:val="005A0D95"/>
    <w:rsid w:val="005A224B"/>
    <w:rsid w:val="005A2741"/>
    <w:rsid w:val="005A5EAE"/>
    <w:rsid w:val="005A7B5D"/>
    <w:rsid w:val="005B1225"/>
    <w:rsid w:val="005B17D8"/>
    <w:rsid w:val="005B1D82"/>
    <w:rsid w:val="005B4077"/>
    <w:rsid w:val="005B58C5"/>
    <w:rsid w:val="005B65E5"/>
    <w:rsid w:val="005C28B0"/>
    <w:rsid w:val="005C2F01"/>
    <w:rsid w:val="005C5F3C"/>
    <w:rsid w:val="005D01BE"/>
    <w:rsid w:val="005D1177"/>
    <w:rsid w:val="005D1D13"/>
    <w:rsid w:val="005D254A"/>
    <w:rsid w:val="005D5460"/>
    <w:rsid w:val="005E08CD"/>
    <w:rsid w:val="005E37E8"/>
    <w:rsid w:val="005E74C5"/>
    <w:rsid w:val="005F219D"/>
    <w:rsid w:val="005F2437"/>
    <w:rsid w:val="005F318A"/>
    <w:rsid w:val="005F49B7"/>
    <w:rsid w:val="005F7710"/>
    <w:rsid w:val="006004F7"/>
    <w:rsid w:val="00603261"/>
    <w:rsid w:val="0060417E"/>
    <w:rsid w:val="00606F4B"/>
    <w:rsid w:val="00607597"/>
    <w:rsid w:val="00610F93"/>
    <w:rsid w:val="006127CC"/>
    <w:rsid w:val="00614221"/>
    <w:rsid w:val="00614661"/>
    <w:rsid w:val="006243C6"/>
    <w:rsid w:val="006273BC"/>
    <w:rsid w:val="00632009"/>
    <w:rsid w:val="00632D70"/>
    <w:rsid w:val="00633CF1"/>
    <w:rsid w:val="00635A6C"/>
    <w:rsid w:val="00636C4F"/>
    <w:rsid w:val="00637091"/>
    <w:rsid w:val="00642839"/>
    <w:rsid w:val="006457F8"/>
    <w:rsid w:val="00645CCB"/>
    <w:rsid w:val="0064700E"/>
    <w:rsid w:val="006472A3"/>
    <w:rsid w:val="006474E0"/>
    <w:rsid w:val="006478CB"/>
    <w:rsid w:val="00650B88"/>
    <w:rsid w:val="00652C58"/>
    <w:rsid w:val="006530EF"/>
    <w:rsid w:val="0065395C"/>
    <w:rsid w:val="006554DD"/>
    <w:rsid w:val="006557EC"/>
    <w:rsid w:val="00660951"/>
    <w:rsid w:val="00660F73"/>
    <w:rsid w:val="006636E2"/>
    <w:rsid w:val="00664C4E"/>
    <w:rsid w:val="006656E1"/>
    <w:rsid w:val="00666273"/>
    <w:rsid w:val="00667AAF"/>
    <w:rsid w:val="00667FA9"/>
    <w:rsid w:val="0067233D"/>
    <w:rsid w:val="00672B2E"/>
    <w:rsid w:val="006745AE"/>
    <w:rsid w:val="00674CAA"/>
    <w:rsid w:val="00676870"/>
    <w:rsid w:val="00676AF3"/>
    <w:rsid w:val="00677895"/>
    <w:rsid w:val="00677BEF"/>
    <w:rsid w:val="006814A3"/>
    <w:rsid w:val="00682AFC"/>
    <w:rsid w:val="00683344"/>
    <w:rsid w:val="00684FC9"/>
    <w:rsid w:val="0069072B"/>
    <w:rsid w:val="006915B0"/>
    <w:rsid w:val="0069174B"/>
    <w:rsid w:val="00693340"/>
    <w:rsid w:val="006A04C7"/>
    <w:rsid w:val="006A4287"/>
    <w:rsid w:val="006B05E3"/>
    <w:rsid w:val="006B09BC"/>
    <w:rsid w:val="006B2737"/>
    <w:rsid w:val="006B2ACA"/>
    <w:rsid w:val="006B6D5D"/>
    <w:rsid w:val="006B7B5A"/>
    <w:rsid w:val="006C0801"/>
    <w:rsid w:val="006C0C2C"/>
    <w:rsid w:val="006C1EAA"/>
    <w:rsid w:val="006C216F"/>
    <w:rsid w:val="006C45D4"/>
    <w:rsid w:val="006D11BD"/>
    <w:rsid w:val="006D2042"/>
    <w:rsid w:val="006D66E3"/>
    <w:rsid w:val="006D75BA"/>
    <w:rsid w:val="006D7855"/>
    <w:rsid w:val="006E010C"/>
    <w:rsid w:val="006E1003"/>
    <w:rsid w:val="006E16BF"/>
    <w:rsid w:val="006E18F0"/>
    <w:rsid w:val="006E2C89"/>
    <w:rsid w:val="006E38AF"/>
    <w:rsid w:val="006E4F93"/>
    <w:rsid w:val="006E5016"/>
    <w:rsid w:val="006E6BB5"/>
    <w:rsid w:val="006E72BB"/>
    <w:rsid w:val="006E7F4D"/>
    <w:rsid w:val="006F10FE"/>
    <w:rsid w:val="006F1174"/>
    <w:rsid w:val="006F73CF"/>
    <w:rsid w:val="00700135"/>
    <w:rsid w:val="0070212F"/>
    <w:rsid w:val="007023AB"/>
    <w:rsid w:val="007034D5"/>
    <w:rsid w:val="007038E7"/>
    <w:rsid w:val="00704C40"/>
    <w:rsid w:val="00705180"/>
    <w:rsid w:val="00705D90"/>
    <w:rsid w:val="00706917"/>
    <w:rsid w:val="00710A39"/>
    <w:rsid w:val="00711605"/>
    <w:rsid w:val="00711DF6"/>
    <w:rsid w:val="00712052"/>
    <w:rsid w:val="00716FBC"/>
    <w:rsid w:val="00717090"/>
    <w:rsid w:val="00720739"/>
    <w:rsid w:val="0072253E"/>
    <w:rsid w:val="00723E1F"/>
    <w:rsid w:val="0072443D"/>
    <w:rsid w:val="007247E5"/>
    <w:rsid w:val="007248B7"/>
    <w:rsid w:val="007254CA"/>
    <w:rsid w:val="007267D2"/>
    <w:rsid w:val="00730CF8"/>
    <w:rsid w:val="00731A90"/>
    <w:rsid w:val="00732608"/>
    <w:rsid w:val="00733251"/>
    <w:rsid w:val="00734083"/>
    <w:rsid w:val="00736DCA"/>
    <w:rsid w:val="00740A69"/>
    <w:rsid w:val="007455A7"/>
    <w:rsid w:val="00745C47"/>
    <w:rsid w:val="00745E49"/>
    <w:rsid w:val="0075003D"/>
    <w:rsid w:val="00751D97"/>
    <w:rsid w:val="00752C55"/>
    <w:rsid w:val="007562D4"/>
    <w:rsid w:val="00757321"/>
    <w:rsid w:val="007573FA"/>
    <w:rsid w:val="00757EF9"/>
    <w:rsid w:val="007614C1"/>
    <w:rsid w:val="00761DBF"/>
    <w:rsid w:val="00761FCF"/>
    <w:rsid w:val="00763655"/>
    <w:rsid w:val="00765503"/>
    <w:rsid w:val="00766011"/>
    <w:rsid w:val="00767B7E"/>
    <w:rsid w:val="00767EEE"/>
    <w:rsid w:val="007705E9"/>
    <w:rsid w:val="00771D7D"/>
    <w:rsid w:val="007727C4"/>
    <w:rsid w:val="007745B7"/>
    <w:rsid w:val="007750C8"/>
    <w:rsid w:val="00776538"/>
    <w:rsid w:val="007802BE"/>
    <w:rsid w:val="00780EEF"/>
    <w:rsid w:val="0078134C"/>
    <w:rsid w:val="00781C47"/>
    <w:rsid w:val="00782189"/>
    <w:rsid w:val="007837C7"/>
    <w:rsid w:val="00784B44"/>
    <w:rsid w:val="00785465"/>
    <w:rsid w:val="00785D2C"/>
    <w:rsid w:val="00787656"/>
    <w:rsid w:val="00791767"/>
    <w:rsid w:val="0079268A"/>
    <w:rsid w:val="00794859"/>
    <w:rsid w:val="00794999"/>
    <w:rsid w:val="00797C88"/>
    <w:rsid w:val="007A1013"/>
    <w:rsid w:val="007A18DF"/>
    <w:rsid w:val="007A235B"/>
    <w:rsid w:val="007A4CA9"/>
    <w:rsid w:val="007A60B4"/>
    <w:rsid w:val="007A6652"/>
    <w:rsid w:val="007A7D19"/>
    <w:rsid w:val="007A7EC2"/>
    <w:rsid w:val="007B042D"/>
    <w:rsid w:val="007B05BB"/>
    <w:rsid w:val="007B6E0A"/>
    <w:rsid w:val="007B764C"/>
    <w:rsid w:val="007C118A"/>
    <w:rsid w:val="007C2007"/>
    <w:rsid w:val="007C3CFC"/>
    <w:rsid w:val="007C4162"/>
    <w:rsid w:val="007C636F"/>
    <w:rsid w:val="007D0FC7"/>
    <w:rsid w:val="007D39EB"/>
    <w:rsid w:val="007D439E"/>
    <w:rsid w:val="007D4512"/>
    <w:rsid w:val="007E0E5E"/>
    <w:rsid w:val="007E2BCD"/>
    <w:rsid w:val="007E7319"/>
    <w:rsid w:val="007E74E1"/>
    <w:rsid w:val="007E77A8"/>
    <w:rsid w:val="007F1802"/>
    <w:rsid w:val="007F1EC8"/>
    <w:rsid w:val="007F38DB"/>
    <w:rsid w:val="007F3941"/>
    <w:rsid w:val="007F491C"/>
    <w:rsid w:val="007F546B"/>
    <w:rsid w:val="00800D07"/>
    <w:rsid w:val="0080166E"/>
    <w:rsid w:val="008025F3"/>
    <w:rsid w:val="00803BF8"/>
    <w:rsid w:val="00805A67"/>
    <w:rsid w:val="008061C9"/>
    <w:rsid w:val="008066D8"/>
    <w:rsid w:val="008074BB"/>
    <w:rsid w:val="00811A18"/>
    <w:rsid w:val="008121AF"/>
    <w:rsid w:val="00812E18"/>
    <w:rsid w:val="00813711"/>
    <w:rsid w:val="008161DB"/>
    <w:rsid w:val="00816BE4"/>
    <w:rsid w:val="00817D92"/>
    <w:rsid w:val="00821E64"/>
    <w:rsid w:val="00823DE8"/>
    <w:rsid w:val="008253C4"/>
    <w:rsid w:val="008263C2"/>
    <w:rsid w:val="008307DB"/>
    <w:rsid w:val="00830E2C"/>
    <w:rsid w:val="00831A7E"/>
    <w:rsid w:val="00833398"/>
    <w:rsid w:val="00835D9D"/>
    <w:rsid w:val="00835FC9"/>
    <w:rsid w:val="008368F8"/>
    <w:rsid w:val="008370E3"/>
    <w:rsid w:val="0084005D"/>
    <w:rsid w:val="008418FA"/>
    <w:rsid w:val="00842959"/>
    <w:rsid w:val="00843390"/>
    <w:rsid w:val="0085235A"/>
    <w:rsid w:val="008533E3"/>
    <w:rsid w:val="00854138"/>
    <w:rsid w:val="00854410"/>
    <w:rsid w:val="008544DF"/>
    <w:rsid w:val="008602B6"/>
    <w:rsid w:val="00860AAD"/>
    <w:rsid w:val="00861AA6"/>
    <w:rsid w:val="00863BED"/>
    <w:rsid w:val="008708F3"/>
    <w:rsid w:val="00871354"/>
    <w:rsid w:val="00873611"/>
    <w:rsid w:val="00873C8F"/>
    <w:rsid w:val="008745FE"/>
    <w:rsid w:val="00874FB3"/>
    <w:rsid w:val="00875A46"/>
    <w:rsid w:val="00877F7C"/>
    <w:rsid w:val="00880BE3"/>
    <w:rsid w:val="00881359"/>
    <w:rsid w:val="00882093"/>
    <w:rsid w:val="00882588"/>
    <w:rsid w:val="00884ADE"/>
    <w:rsid w:val="008856CF"/>
    <w:rsid w:val="00885864"/>
    <w:rsid w:val="00890A1D"/>
    <w:rsid w:val="0089383B"/>
    <w:rsid w:val="00893E2B"/>
    <w:rsid w:val="0089534B"/>
    <w:rsid w:val="0089616F"/>
    <w:rsid w:val="008972FD"/>
    <w:rsid w:val="008A0232"/>
    <w:rsid w:val="008A2A47"/>
    <w:rsid w:val="008B0470"/>
    <w:rsid w:val="008B05E7"/>
    <w:rsid w:val="008B06C5"/>
    <w:rsid w:val="008B164E"/>
    <w:rsid w:val="008B4F06"/>
    <w:rsid w:val="008B502A"/>
    <w:rsid w:val="008B57D8"/>
    <w:rsid w:val="008B637C"/>
    <w:rsid w:val="008B65CF"/>
    <w:rsid w:val="008B7A65"/>
    <w:rsid w:val="008C1219"/>
    <w:rsid w:val="008C123E"/>
    <w:rsid w:val="008C137D"/>
    <w:rsid w:val="008C22DD"/>
    <w:rsid w:val="008C3DFD"/>
    <w:rsid w:val="008C3ED0"/>
    <w:rsid w:val="008C5DA5"/>
    <w:rsid w:val="008C5E94"/>
    <w:rsid w:val="008C7649"/>
    <w:rsid w:val="008D196A"/>
    <w:rsid w:val="008D27BC"/>
    <w:rsid w:val="008D4358"/>
    <w:rsid w:val="008D746F"/>
    <w:rsid w:val="008E3EF2"/>
    <w:rsid w:val="008E51C9"/>
    <w:rsid w:val="008E5BEB"/>
    <w:rsid w:val="008E6306"/>
    <w:rsid w:val="008F6355"/>
    <w:rsid w:val="008F68F7"/>
    <w:rsid w:val="009005A6"/>
    <w:rsid w:val="009006CF"/>
    <w:rsid w:val="00900C71"/>
    <w:rsid w:val="009026C1"/>
    <w:rsid w:val="00902A1C"/>
    <w:rsid w:val="00903063"/>
    <w:rsid w:val="009037B6"/>
    <w:rsid w:val="00906CBE"/>
    <w:rsid w:val="00910024"/>
    <w:rsid w:val="00910384"/>
    <w:rsid w:val="0091643D"/>
    <w:rsid w:val="00916E33"/>
    <w:rsid w:val="0092093B"/>
    <w:rsid w:val="00930669"/>
    <w:rsid w:val="00930CF2"/>
    <w:rsid w:val="00932C33"/>
    <w:rsid w:val="00937C63"/>
    <w:rsid w:val="009427A1"/>
    <w:rsid w:val="00942FFE"/>
    <w:rsid w:val="00943711"/>
    <w:rsid w:val="00947283"/>
    <w:rsid w:val="009551E0"/>
    <w:rsid w:val="00955EB7"/>
    <w:rsid w:val="0095654E"/>
    <w:rsid w:val="00956F3C"/>
    <w:rsid w:val="00960CFB"/>
    <w:rsid w:val="00961540"/>
    <w:rsid w:val="00970678"/>
    <w:rsid w:val="00971C34"/>
    <w:rsid w:val="00972488"/>
    <w:rsid w:val="009726D0"/>
    <w:rsid w:val="00973B23"/>
    <w:rsid w:val="0097421D"/>
    <w:rsid w:val="00976117"/>
    <w:rsid w:val="00976A23"/>
    <w:rsid w:val="009800BC"/>
    <w:rsid w:val="00980575"/>
    <w:rsid w:val="009816F6"/>
    <w:rsid w:val="009838FB"/>
    <w:rsid w:val="009843BA"/>
    <w:rsid w:val="009900F0"/>
    <w:rsid w:val="00990B9B"/>
    <w:rsid w:val="00991370"/>
    <w:rsid w:val="00991769"/>
    <w:rsid w:val="00991ACA"/>
    <w:rsid w:val="009928B5"/>
    <w:rsid w:val="00993236"/>
    <w:rsid w:val="00993D8C"/>
    <w:rsid w:val="00994E3D"/>
    <w:rsid w:val="009A297E"/>
    <w:rsid w:val="009A5B22"/>
    <w:rsid w:val="009A6127"/>
    <w:rsid w:val="009B0CC1"/>
    <w:rsid w:val="009B2C7D"/>
    <w:rsid w:val="009B61E9"/>
    <w:rsid w:val="009B69F0"/>
    <w:rsid w:val="009B713C"/>
    <w:rsid w:val="009C0F18"/>
    <w:rsid w:val="009C12C6"/>
    <w:rsid w:val="009C2555"/>
    <w:rsid w:val="009C2DA6"/>
    <w:rsid w:val="009C2DC1"/>
    <w:rsid w:val="009C3D10"/>
    <w:rsid w:val="009C705A"/>
    <w:rsid w:val="009C7778"/>
    <w:rsid w:val="009C7EE6"/>
    <w:rsid w:val="009D06AE"/>
    <w:rsid w:val="009D09E2"/>
    <w:rsid w:val="009D1E42"/>
    <w:rsid w:val="009D282B"/>
    <w:rsid w:val="009D7148"/>
    <w:rsid w:val="009E02FD"/>
    <w:rsid w:val="009E31F1"/>
    <w:rsid w:val="009E4C74"/>
    <w:rsid w:val="009E56CC"/>
    <w:rsid w:val="009E59F1"/>
    <w:rsid w:val="009E62B6"/>
    <w:rsid w:val="009E6546"/>
    <w:rsid w:val="009F0A1A"/>
    <w:rsid w:val="009F26CA"/>
    <w:rsid w:val="009F35DA"/>
    <w:rsid w:val="009F4034"/>
    <w:rsid w:val="009F43D0"/>
    <w:rsid w:val="009F6D07"/>
    <w:rsid w:val="00A000F0"/>
    <w:rsid w:val="00A00568"/>
    <w:rsid w:val="00A00884"/>
    <w:rsid w:val="00A00EEB"/>
    <w:rsid w:val="00A020CE"/>
    <w:rsid w:val="00A02F62"/>
    <w:rsid w:val="00A02FA3"/>
    <w:rsid w:val="00A030C3"/>
    <w:rsid w:val="00A04803"/>
    <w:rsid w:val="00A10147"/>
    <w:rsid w:val="00A10EDE"/>
    <w:rsid w:val="00A11331"/>
    <w:rsid w:val="00A12348"/>
    <w:rsid w:val="00A131E6"/>
    <w:rsid w:val="00A13843"/>
    <w:rsid w:val="00A146A5"/>
    <w:rsid w:val="00A1552C"/>
    <w:rsid w:val="00A15E0E"/>
    <w:rsid w:val="00A17466"/>
    <w:rsid w:val="00A204B3"/>
    <w:rsid w:val="00A20576"/>
    <w:rsid w:val="00A21593"/>
    <w:rsid w:val="00A21F4C"/>
    <w:rsid w:val="00A221F7"/>
    <w:rsid w:val="00A22C21"/>
    <w:rsid w:val="00A25CA2"/>
    <w:rsid w:val="00A2604E"/>
    <w:rsid w:val="00A31CCE"/>
    <w:rsid w:val="00A31FF1"/>
    <w:rsid w:val="00A33C95"/>
    <w:rsid w:val="00A34FF3"/>
    <w:rsid w:val="00A35351"/>
    <w:rsid w:val="00A361C7"/>
    <w:rsid w:val="00A364D2"/>
    <w:rsid w:val="00A36723"/>
    <w:rsid w:val="00A43140"/>
    <w:rsid w:val="00A43D7F"/>
    <w:rsid w:val="00A46DF5"/>
    <w:rsid w:val="00A47DAE"/>
    <w:rsid w:val="00A5149A"/>
    <w:rsid w:val="00A53650"/>
    <w:rsid w:val="00A53E51"/>
    <w:rsid w:val="00A55D8C"/>
    <w:rsid w:val="00A57183"/>
    <w:rsid w:val="00A5777A"/>
    <w:rsid w:val="00A60693"/>
    <w:rsid w:val="00A6196D"/>
    <w:rsid w:val="00A619C0"/>
    <w:rsid w:val="00A61ADF"/>
    <w:rsid w:val="00A62012"/>
    <w:rsid w:val="00A62157"/>
    <w:rsid w:val="00A624CB"/>
    <w:rsid w:val="00A62AC0"/>
    <w:rsid w:val="00A70E25"/>
    <w:rsid w:val="00A75118"/>
    <w:rsid w:val="00A76BD2"/>
    <w:rsid w:val="00A8267D"/>
    <w:rsid w:val="00A82E14"/>
    <w:rsid w:val="00A8688E"/>
    <w:rsid w:val="00A8722B"/>
    <w:rsid w:val="00A901E9"/>
    <w:rsid w:val="00A917B6"/>
    <w:rsid w:val="00A91831"/>
    <w:rsid w:val="00A91B3B"/>
    <w:rsid w:val="00A93062"/>
    <w:rsid w:val="00A93B4F"/>
    <w:rsid w:val="00A94F7A"/>
    <w:rsid w:val="00A95D3B"/>
    <w:rsid w:val="00A97341"/>
    <w:rsid w:val="00AA0081"/>
    <w:rsid w:val="00AA4E4D"/>
    <w:rsid w:val="00AA5E38"/>
    <w:rsid w:val="00AB09ED"/>
    <w:rsid w:val="00AB26AC"/>
    <w:rsid w:val="00AB3DC0"/>
    <w:rsid w:val="00AB4CBB"/>
    <w:rsid w:val="00AB7D9B"/>
    <w:rsid w:val="00AC125E"/>
    <w:rsid w:val="00AC35DB"/>
    <w:rsid w:val="00AC401E"/>
    <w:rsid w:val="00AC408B"/>
    <w:rsid w:val="00AC45DF"/>
    <w:rsid w:val="00AC474D"/>
    <w:rsid w:val="00AC4DFD"/>
    <w:rsid w:val="00AC4F47"/>
    <w:rsid w:val="00AC5663"/>
    <w:rsid w:val="00AC58FD"/>
    <w:rsid w:val="00AD0F6D"/>
    <w:rsid w:val="00AD1166"/>
    <w:rsid w:val="00AD19D2"/>
    <w:rsid w:val="00AD1A96"/>
    <w:rsid w:val="00AD1CAD"/>
    <w:rsid w:val="00AD3042"/>
    <w:rsid w:val="00AD793A"/>
    <w:rsid w:val="00AE0120"/>
    <w:rsid w:val="00AE3038"/>
    <w:rsid w:val="00AE3D4A"/>
    <w:rsid w:val="00AE4A1E"/>
    <w:rsid w:val="00AE5956"/>
    <w:rsid w:val="00AE619F"/>
    <w:rsid w:val="00AE7A88"/>
    <w:rsid w:val="00AF060F"/>
    <w:rsid w:val="00AF13D2"/>
    <w:rsid w:val="00AF2A56"/>
    <w:rsid w:val="00AF45B0"/>
    <w:rsid w:val="00AF51D1"/>
    <w:rsid w:val="00AF63AB"/>
    <w:rsid w:val="00B01784"/>
    <w:rsid w:val="00B018DB"/>
    <w:rsid w:val="00B0388B"/>
    <w:rsid w:val="00B03BEE"/>
    <w:rsid w:val="00B0517E"/>
    <w:rsid w:val="00B06718"/>
    <w:rsid w:val="00B11314"/>
    <w:rsid w:val="00B113E3"/>
    <w:rsid w:val="00B1156A"/>
    <w:rsid w:val="00B138E3"/>
    <w:rsid w:val="00B13FB5"/>
    <w:rsid w:val="00B178FA"/>
    <w:rsid w:val="00B17D8E"/>
    <w:rsid w:val="00B207C3"/>
    <w:rsid w:val="00B21443"/>
    <w:rsid w:val="00B220F8"/>
    <w:rsid w:val="00B22468"/>
    <w:rsid w:val="00B23267"/>
    <w:rsid w:val="00B23906"/>
    <w:rsid w:val="00B23F96"/>
    <w:rsid w:val="00B2538F"/>
    <w:rsid w:val="00B257BF"/>
    <w:rsid w:val="00B27149"/>
    <w:rsid w:val="00B303E3"/>
    <w:rsid w:val="00B30AB2"/>
    <w:rsid w:val="00B3279A"/>
    <w:rsid w:val="00B34BB7"/>
    <w:rsid w:val="00B35B4D"/>
    <w:rsid w:val="00B362F0"/>
    <w:rsid w:val="00B36652"/>
    <w:rsid w:val="00B3779E"/>
    <w:rsid w:val="00B425AB"/>
    <w:rsid w:val="00B43417"/>
    <w:rsid w:val="00B45279"/>
    <w:rsid w:val="00B47090"/>
    <w:rsid w:val="00B532D1"/>
    <w:rsid w:val="00B57925"/>
    <w:rsid w:val="00B601BB"/>
    <w:rsid w:val="00B602A5"/>
    <w:rsid w:val="00B61E3E"/>
    <w:rsid w:val="00B6432A"/>
    <w:rsid w:val="00B67A79"/>
    <w:rsid w:val="00B72335"/>
    <w:rsid w:val="00B72D62"/>
    <w:rsid w:val="00B767AF"/>
    <w:rsid w:val="00B77728"/>
    <w:rsid w:val="00B80511"/>
    <w:rsid w:val="00B80798"/>
    <w:rsid w:val="00B80876"/>
    <w:rsid w:val="00B82C3C"/>
    <w:rsid w:val="00B82DE6"/>
    <w:rsid w:val="00B831CD"/>
    <w:rsid w:val="00B84204"/>
    <w:rsid w:val="00B846F6"/>
    <w:rsid w:val="00B85329"/>
    <w:rsid w:val="00B85446"/>
    <w:rsid w:val="00B869AF"/>
    <w:rsid w:val="00B87BEE"/>
    <w:rsid w:val="00B91B73"/>
    <w:rsid w:val="00B91B9D"/>
    <w:rsid w:val="00BA1B71"/>
    <w:rsid w:val="00BA3176"/>
    <w:rsid w:val="00BA5E20"/>
    <w:rsid w:val="00BA607C"/>
    <w:rsid w:val="00BA656F"/>
    <w:rsid w:val="00BA6734"/>
    <w:rsid w:val="00BB3E2A"/>
    <w:rsid w:val="00BB48A7"/>
    <w:rsid w:val="00BB7121"/>
    <w:rsid w:val="00BC0479"/>
    <w:rsid w:val="00BC074F"/>
    <w:rsid w:val="00BC1651"/>
    <w:rsid w:val="00BC16F5"/>
    <w:rsid w:val="00BC18FF"/>
    <w:rsid w:val="00BC287D"/>
    <w:rsid w:val="00BC2A38"/>
    <w:rsid w:val="00BC35F6"/>
    <w:rsid w:val="00BC46EB"/>
    <w:rsid w:val="00BC5161"/>
    <w:rsid w:val="00BC57FE"/>
    <w:rsid w:val="00BC62B1"/>
    <w:rsid w:val="00BC643B"/>
    <w:rsid w:val="00BD2A41"/>
    <w:rsid w:val="00BD32E5"/>
    <w:rsid w:val="00BD36C4"/>
    <w:rsid w:val="00BD4BC6"/>
    <w:rsid w:val="00BD6652"/>
    <w:rsid w:val="00BD6E1A"/>
    <w:rsid w:val="00BD79DE"/>
    <w:rsid w:val="00BE1095"/>
    <w:rsid w:val="00BE150A"/>
    <w:rsid w:val="00BE3154"/>
    <w:rsid w:val="00BE6767"/>
    <w:rsid w:val="00BE686C"/>
    <w:rsid w:val="00BE78EC"/>
    <w:rsid w:val="00BF04E3"/>
    <w:rsid w:val="00BF3D0E"/>
    <w:rsid w:val="00BF46EE"/>
    <w:rsid w:val="00BF646E"/>
    <w:rsid w:val="00BF7CAF"/>
    <w:rsid w:val="00C01360"/>
    <w:rsid w:val="00C05333"/>
    <w:rsid w:val="00C0613C"/>
    <w:rsid w:val="00C07355"/>
    <w:rsid w:val="00C10D05"/>
    <w:rsid w:val="00C13970"/>
    <w:rsid w:val="00C13DF9"/>
    <w:rsid w:val="00C14EA0"/>
    <w:rsid w:val="00C14FBA"/>
    <w:rsid w:val="00C15484"/>
    <w:rsid w:val="00C15EA1"/>
    <w:rsid w:val="00C174DB"/>
    <w:rsid w:val="00C17A8E"/>
    <w:rsid w:val="00C2378F"/>
    <w:rsid w:val="00C24E28"/>
    <w:rsid w:val="00C24F70"/>
    <w:rsid w:val="00C25615"/>
    <w:rsid w:val="00C2561B"/>
    <w:rsid w:val="00C25DC2"/>
    <w:rsid w:val="00C26A06"/>
    <w:rsid w:val="00C31D33"/>
    <w:rsid w:val="00C33479"/>
    <w:rsid w:val="00C35A16"/>
    <w:rsid w:val="00C40805"/>
    <w:rsid w:val="00C40ED2"/>
    <w:rsid w:val="00C41F10"/>
    <w:rsid w:val="00C432DD"/>
    <w:rsid w:val="00C4423A"/>
    <w:rsid w:val="00C4600C"/>
    <w:rsid w:val="00C501FE"/>
    <w:rsid w:val="00C540B7"/>
    <w:rsid w:val="00C56957"/>
    <w:rsid w:val="00C5784B"/>
    <w:rsid w:val="00C639FF"/>
    <w:rsid w:val="00C63CB4"/>
    <w:rsid w:val="00C6442A"/>
    <w:rsid w:val="00C64D15"/>
    <w:rsid w:val="00C66088"/>
    <w:rsid w:val="00C66E22"/>
    <w:rsid w:val="00C67C4C"/>
    <w:rsid w:val="00C67D3C"/>
    <w:rsid w:val="00C67F21"/>
    <w:rsid w:val="00C711A6"/>
    <w:rsid w:val="00C744A1"/>
    <w:rsid w:val="00C74AE5"/>
    <w:rsid w:val="00C74B5D"/>
    <w:rsid w:val="00C74F74"/>
    <w:rsid w:val="00C7554B"/>
    <w:rsid w:val="00C80529"/>
    <w:rsid w:val="00C80951"/>
    <w:rsid w:val="00C8205E"/>
    <w:rsid w:val="00C8223A"/>
    <w:rsid w:val="00C82EB5"/>
    <w:rsid w:val="00C85D24"/>
    <w:rsid w:val="00C85DE1"/>
    <w:rsid w:val="00C86D1E"/>
    <w:rsid w:val="00C87966"/>
    <w:rsid w:val="00C902DE"/>
    <w:rsid w:val="00C916AE"/>
    <w:rsid w:val="00C91C74"/>
    <w:rsid w:val="00C93AAA"/>
    <w:rsid w:val="00C95FCD"/>
    <w:rsid w:val="00C97188"/>
    <w:rsid w:val="00CA059D"/>
    <w:rsid w:val="00CA0639"/>
    <w:rsid w:val="00CA11D0"/>
    <w:rsid w:val="00CA2DE5"/>
    <w:rsid w:val="00CA2E02"/>
    <w:rsid w:val="00CA583A"/>
    <w:rsid w:val="00CA5EC6"/>
    <w:rsid w:val="00CA787C"/>
    <w:rsid w:val="00CB019C"/>
    <w:rsid w:val="00CB1E33"/>
    <w:rsid w:val="00CB1ED4"/>
    <w:rsid w:val="00CB5744"/>
    <w:rsid w:val="00CB5B93"/>
    <w:rsid w:val="00CB7022"/>
    <w:rsid w:val="00CB7BC5"/>
    <w:rsid w:val="00CC07C5"/>
    <w:rsid w:val="00CC141E"/>
    <w:rsid w:val="00CC37AA"/>
    <w:rsid w:val="00CC586D"/>
    <w:rsid w:val="00CC7DBC"/>
    <w:rsid w:val="00CC7FDC"/>
    <w:rsid w:val="00CD1BA3"/>
    <w:rsid w:val="00CD1D23"/>
    <w:rsid w:val="00CD3612"/>
    <w:rsid w:val="00CD3E69"/>
    <w:rsid w:val="00CD4224"/>
    <w:rsid w:val="00CD6B7D"/>
    <w:rsid w:val="00CD7D29"/>
    <w:rsid w:val="00CE0847"/>
    <w:rsid w:val="00CE0B6C"/>
    <w:rsid w:val="00CE11D0"/>
    <w:rsid w:val="00CE4708"/>
    <w:rsid w:val="00CE4C50"/>
    <w:rsid w:val="00CE6858"/>
    <w:rsid w:val="00CE7450"/>
    <w:rsid w:val="00CE770C"/>
    <w:rsid w:val="00CF50BE"/>
    <w:rsid w:val="00CF538C"/>
    <w:rsid w:val="00CF6E4A"/>
    <w:rsid w:val="00CF7625"/>
    <w:rsid w:val="00D01CF9"/>
    <w:rsid w:val="00D0506A"/>
    <w:rsid w:val="00D10FA1"/>
    <w:rsid w:val="00D1289C"/>
    <w:rsid w:val="00D12E8B"/>
    <w:rsid w:val="00D1666F"/>
    <w:rsid w:val="00D2071A"/>
    <w:rsid w:val="00D22F44"/>
    <w:rsid w:val="00D25177"/>
    <w:rsid w:val="00D30F73"/>
    <w:rsid w:val="00D30F97"/>
    <w:rsid w:val="00D313A0"/>
    <w:rsid w:val="00D36FE0"/>
    <w:rsid w:val="00D40799"/>
    <w:rsid w:val="00D41A06"/>
    <w:rsid w:val="00D42ABF"/>
    <w:rsid w:val="00D42DB5"/>
    <w:rsid w:val="00D42F40"/>
    <w:rsid w:val="00D45B67"/>
    <w:rsid w:val="00D5034A"/>
    <w:rsid w:val="00D51F49"/>
    <w:rsid w:val="00D55EE8"/>
    <w:rsid w:val="00D562CB"/>
    <w:rsid w:val="00D569D1"/>
    <w:rsid w:val="00D56AD8"/>
    <w:rsid w:val="00D56C05"/>
    <w:rsid w:val="00D5785A"/>
    <w:rsid w:val="00D62769"/>
    <w:rsid w:val="00D63293"/>
    <w:rsid w:val="00D6375F"/>
    <w:rsid w:val="00D64C48"/>
    <w:rsid w:val="00D65210"/>
    <w:rsid w:val="00D6680B"/>
    <w:rsid w:val="00D72F4F"/>
    <w:rsid w:val="00D731C4"/>
    <w:rsid w:val="00D74EB4"/>
    <w:rsid w:val="00D801FC"/>
    <w:rsid w:val="00D81E02"/>
    <w:rsid w:val="00D8569E"/>
    <w:rsid w:val="00D85BE0"/>
    <w:rsid w:val="00D87FD7"/>
    <w:rsid w:val="00D91466"/>
    <w:rsid w:val="00D915ED"/>
    <w:rsid w:val="00D91DE4"/>
    <w:rsid w:val="00D92300"/>
    <w:rsid w:val="00D94AFC"/>
    <w:rsid w:val="00D950E6"/>
    <w:rsid w:val="00D97047"/>
    <w:rsid w:val="00DA21BF"/>
    <w:rsid w:val="00DA30F2"/>
    <w:rsid w:val="00DA3619"/>
    <w:rsid w:val="00DA619E"/>
    <w:rsid w:val="00DA7AE4"/>
    <w:rsid w:val="00DB0B88"/>
    <w:rsid w:val="00DB1652"/>
    <w:rsid w:val="00DB195F"/>
    <w:rsid w:val="00DB5773"/>
    <w:rsid w:val="00DB58A6"/>
    <w:rsid w:val="00DB6B99"/>
    <w:rsid w:val="00DB6BB6"/>
    <w:rsid w:val="00DC001A"/>
    <w:rsid w:val="00DC0394"/>
    <w:rsid w:val="00DD22BB"/>
    <w:rsid w:val="00DD4F44"/>
    <w:rsid w:val="00DD5274"/>
    <w:rsid w:val="00DD686C"/>
    <w:rsid w:val="00DD7E0C"/>
    <w:rsid w:val="00DE2306"/>
    <w:rsid w:val="00DE2AC3"/>
    <w:rsid w:val="00DE2E40"/>
    <w:rsid w:val="00DE3598"/>
    <w:rsid w:val="00DE3FBD"/>
    <w:rsid w:val="00DE43F5"/>
    <w:rsid w:val="00DE65FB"/>
    <w:rsid w:val="00DF21ED"/>
    <w:rsid w:val="00DF234F"/>
    <w:rsid w:val="00DF420A"/>
    <w:rsid w:val="00DF52A2"/>
    <w:rsid w:val="00E02472"/>
    <w:rsid w:val="00E041F0"/>
    <w:rsid w:val="00E04FEB"/>
    <w:rsid w:val="00E06D8A"/>
    <w:rsid w:val="00E128D8"/>
    <w:rsid w:val="00E130C3"/>
    <w:rsid w:val="00E16715"/>
    <w:rsid w:val="00E17EDF"/>
    <w:rsid w:val="00E2082D"/>
    <w:rsid w:val="00E221E2"/>
    <w:rsid w:val="00E2235D"/>
    <w:rsid w:val="00E2330D"/>
    <w:rsid w:val="00E24303"/>
    <w:rsid w:val="00E27A16"/>
    <w:rsid w:val="00E30A05"/>
    <w:rsid w:val="00E320C4"/>
    <w:rsid w:val="00E35FD7"/>
    <w:rsid w:val="00E40F7B"/>
    <w:rsid w:val="00E43E48"/>
    <w:rsid w:val="00E46D60"/>
    <w:rsid w:val="00E4718A"/>
    <w:rsid w:val="00E47C33"/>
    <w:rsid w:val="00E47F58"/>
    <w:rsid w:val="00E536F2"/>
    <w:rsid w:val="00E54BFC"/>
    <w:rsid w:val="00E55248"/>
    <w:rsid w:val="00E56D9D"/>
    <w:rsid w:val="00E60E2E"/>
    <w:rsid w:val="00E71A2D"/>
    <w:rsid w:val="00E72FB3"/>
    <w:rsid w:val="00E73623"/>
    <w:rsid w:val="00E74A73"/>
    <w:rsid w:val="00E76E12"/>
    <w:rsid w:val="00E823C1"/>
    <w:rsid w:val="00E82DB7"/>
    <w:rsid w:val="00E83797"/>
    <w:rsid w:val="00E83C85"/>
    <w:rsid w:val="00E8455D"/>
    <w:rsid w:val="00E8579C"/>
    <w:rsid w:val="00E865FE"/>
    <w:rsid w:val="00E90125"/>
    <w:rsid w:val="00E91408"/>
    <w:rsid w:val="00E91759"/>
    <w:rsid w:val="00E9654B"/>
    <w:rsid w:val="00EA13E4"/>
    <w:rsid w:val="00EA18DB"/>
    <w:rsid w:val="00EA2FBA"/>
    <w:rsid w:val="00EA4DC5"/>
    <w:rsid w:val="00EA5664"/>
    <w:rsid w:val="00EA66DF"/>
    <w:rsid w:val="00EA6ADC"/>
    <w:rsid w:val="00EB13A7"/>
    <w:rsid w:val="00EB14DF"/>
    <w:rsid w:val="00EB1A4D"/>
    <w:rsid w:val="00EB34EC"/>
    <w:rsid w:val="00EB3A07"/>
    <w:rsid w:val="00EB5539"/>
    <w:rsid w:val="00EB7D85"/>
    <w:rsid w:val="00EC2B7B"/>
    <w:rsid w:val="00EC3F31"/>
    <w:rsid w:val="00EC52E7"/>
    <w:rsid w:val="00EC7E0E"/>
    <w:rsid w:val="00ED3698"/>
    <w:rsid w:val="00ED4794"/>
    <w:rsid w:val="00ED600F"/>
    <w:rsid w:val="00ED7B59"/>
    <w:rsid w:val="00EE0980"/>
    <w:rsid w:val="00EE265C"/>
    <w:rsid w:val="00EE294D"/>
    <w:rsid w:val="00EE5C63"/>
    <w:rsid w:val="00EF359C"/>
    <w:rsid w:val="00EF416F"/>
    <w:rsid w:val="00F00449"/>
    <w:rsid w:val="00F0095C"/>
    <w:rsid w:val="00F00EFF"/>
    <w:rsid w:val="00F01129"/>
    <w:rsid w:val="00F018E2"/>
    <w:rsid w:val="00F01CCA"/>
    <w:rsid w:val="00F01F2C"/>
    <w:rsid w:val="00F02104"/>
    <w:rsid w:val="00F024D8"/>
    <w:rsid w:val="00F04EF6"/>
    <w:rsid w:val="00F06C17"/>
    <w:rsid w:val="00F121B2"/>
    <w:rsid w:val="00F138B4"/>
    <w:rsid w:val="00F13C4C"/>
    <w:rsid w:val="00F13C82"/>
    <w:rsid w:val="00F1480E"/>
    <w:rsid w:val="00F1632B"/>
    <w:rsid w:val="00F17057"/>
    <w:rsid w:val="00F202CA"/>
    <w:rsid w:val="00F223A7"/>
    <w:rsid w:val="00F23A04"/>
    <w:rsid w:val="00F23CFE"/>
    <w:rsid w:val="00F2648C"/>
    <w:rsid w:val="00F26A64"/>
    <w:rsid w:val="00F334CB"/>
    <w:rsid w:val="00F3495A"/>
    <w:rsid w:val="00F34E2C"/>
    <w:rsid w:val="00F370BC"/>
    <w:rsid w:val="00F37143"/>
    <w:rsid w:val="00F42533"/>
    <w:rsid w:val="00F430C2"/>
    <w:rsid w:val="00F50562"/>
    <w:rsid w:val="00F50A92"/>
    <w:rsid w:val="00F50B0B"/>
    <w:rsid w:val="00F50D01"/>
    <w:rsid w:val="00F53657"/>
    <w:rsid w:val="00F53B7D"/>
    <w:rsid w:val="00F56BC1"/>
    <w:rsid w:val="00F618C4"/>
    <w:rsid w:val="00F6544B"/>
    <w:rsid w:val="00F65774"/>
    <w:rsid w:val="00F65A34"/>
    <w:rsid w:val="00F65F4C"/>
    <w:rsid w:val="00F715E9"/>
    <w:rsid w:val="00F71A60"/>
    <w:rsid w:val="00F725DA"/>
    <w:rsid w:val="00F7536E"/>
    <w:rsid w:val="00F75652"/>
    <w:rsid w:val="00F76137"/>
    <w:rsid w:val="00F7782D"/>
    <w:rsid w:val="00F8168B"/>
    <w:rsid w:val="00F81CF2"/>
    <w:rsid w:val="00F81F93"/>
    <w:rsid w:val="00F857D1"/>
    <w:rsid w:val="00F86296"/>
    <w:rsid w:val="00F86FD9"/>
    <w:rsid w:val="00F90255"/>
    <w:rsid w:val="00F91DCC"/>
    <w:rsid w:val="00F9323F"/>
    <w:rsid w:val="00F943FE"/>
    <w:rsid w:val="00F9446E"/>
    <w:rsid w:val="00F95814"/>
    <w:rsid w:val="00F95CE9"/>
    <w:rsid w:val="00F97100"/>
    <w:rsid w:val="00FA01D9"/>
    <w:rsid w:val="00FB0401"/>
    <w:rsid w:val="00FB0A00"/>
    <w:rsid w:val="00FC1DFB"/>
    <w:rsid w:val="00FC1EF2"/>
    <w:rsid w:val="00FC3343"/>
    <w:rsid w:val="00FC33BA"/>
    <w:rsid w:val="00FC35AB"/>
    <w:rsid w:val="00FC6134"/>
    <w:rsid w:val="00FC654D"/>
    <w:rsid w:val="00FC77CF"/>
    <w:rsid w:val="00FD0555"/>
    <w:rsid w:val="00FD06F5"/>
    <w:rsid w:val="00FD2C4A"/>
    <w:rsid w:val="00FD5961"/>
    <w:rsid w:val="00FE3EFA"/>
    <w:rsid w:val="00FE5C56"/>
    <w:rsid w:val="00FE5E20"/>
    <w:rsid w:val="00FE7AAC"/>
    <w:rsid w:val="00FE7B06"/>
    <w:rsid w:val="00FE7E98"/>
    <w:rsid w:val="00FF06BC"/>
    <w:rsid w:val="00FF06E2"/>
    <w:rsid w:val="00FF20AC"/>
    <w:rsid w:val="00FF3801"/>
    <w:rsid w:val="00FF3A27"/>
    <w:rsid w:val="00FF3B27"/>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766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uiPriority="2" w:qFormat="1"/>
    <w:lsdException w:name="heading 3" w:qFormat="1"/>
    <w:lsdException w:name="heading 4" w:qFormat="1"/>
    <w:lsdException w:name="heading 6" w:semiHidden="1"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3" w:unhideWhenUsed="1" w:qFormat="1"/>
    <w:lsdException w:name="List Number" w:uiPriority="3"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306"/>
    <w:pPr>
      <w:keepLines/>
      <w:spacing w:before="120" w:after="120" w:line="280" w:lineRule="atLeast"/>
    </w:pPr>
    <w:rPr>
      <w:rFonts w:asciiTheme="minorHAnsi" w:hAnsiTheme="minorHAnsi"/>
      <w:color w:val="000000" w:themeColor="text1"/>
      <w:szCs w:val="24"/>
    </w:rPr>
  </w:style>
  <w:style w:type="paragraph" w:styleId="Heading1">
    <w:name w:val="heading 1"/>
    <w:basedOn w:val="Normal"/>
    <w:next w:val="Normal"/>
    <w:link w:val="Heading1Char"/>
    <w:uiPriority w:val="4"/>
    <w:qFormat/>
    <w:rsid w:val="007F38DB"/>
    <w:pPr>
      <w:keepNext/>
      <w:pBdr>
        <w:bottom w:val="single" w:sz="24" w:space="31" w:color="AA338A"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5A0B99"/>
    <w:pPr>
      <w:keepNext/>
      <w:spacing w:before="240"/>
      <w:outlineLvl w:val="1"/>
    </w:pPr>
    <w:rPr>
      <w:rFonts w:asciiTheme="majorHAnsi" w:hAnsiTheme="majorHAnsi"/>
      <w:b/>
      <w:color w:val="AA338A" w:themeColor="background2"/>
      <w:sz w:val="22"/>
      <w:szCs w:val="44"/>
    </w:rPr>
  </w:style>
  <w:style w:type="paragraph" w:styleId="Heading3">
    <w:name w:val="heading 3"/>
    <w:basedOn w:val="Normal"/>
    <w:next w:val="Normal"/>
    <w:uiPriority w:val="4"/>
    <w:qFormat/>
    <w:rsid w:val="00CA787C"/>
    <w:pPr>
      <w:keepNext/>
      <w:spacing w:before="240"/>
      <w:contextualSpacing/>
      <w:outlineLvl w:val="2"/>
    </w:pPr>
    <w:rPr>
      <w:rFonts w:asciiTheme="majorHAnsi" w:hAnsiTheme="majorHAnsi"/>
      <w:b/>
      <w:color w:val="auto"/>
      <w:sz w:val="22"/>
      <w:szCs w:val="28"/>
    </w:rPr>
  </w:style>
  <w:style w:type="paragraph" w:styleId="Heading4">
    <w:name w:val="heading 4"/>
    <w:basedOn w:val="Normal"/>
    <w:next w:val="Normal"/>
    <w:uiPriority w:val="4"/>
    <w:qFormat/>
    <w:rsid w:val="00BD79DE"/>
    <w:pPr>
      <w:keepNext/>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uiPriority w:val="99"/>
    <w:rsid w:val="00A00EEB"/>
    <w:pPr>
      <w:pBdr>
        <w:bottom w:val="single" w:sz="24" w:space="12" w:color="AA338A" w:themeColor="background2"/>
      </w:pBdr>
      <w:tabs>
        <w:tab w:val="clear" w:pos="10319"/>
        <w:tab w:val="right" w:pos="9940"/>
      </w:tabs>
      <w:ind w:right="-1661"/>
    </w:pPr>
  </w:style>
  <w:style w:type="character" w:styleId="Hyperlink">
    <w:name w:val="Hyperlink"/>
    <w:basedOn w:val="DefaultParagraphFont"/>
    <w:uiPriority w:val="99"/>
    <w:rsid w:val="005A0B99"/>
    <w:rPr>
      <w:color w:val="AA338A" w:themeColor="background2"/>
      <w:u w:val="single"/>
    </w:rPr>
  </w:style>
  <w:style w:type="character" w:customStyle="1" w:styleId="Heading5Char">
    <w:name w:val="Heading 5 Char"/>
    <w:basedOn w:val="DefaultParagraphFont"/>
    <w:link w:val="Heading5"/>
    <w:uiPriority w:val="99"/>
    <w:semiHidden/>
    <w:rsid w:val="00160B66"/>
    <w:rPr>
      <w:rFonts w:ascii="Arial" w:hAnsi="Arial"/>
      <w:b/>
      <w:color w:val="000000" w:themeColor="text1"/>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A0B99"/>
    <w:pPr>
      <w:numPr>
        <w:numId w:val="39"/>
      </w:numPr>
      <w:spacing w:line="240" w:lineRule="auto"/>
    </w:pPr>
    <w:rPr>
      <w:sz w:val="18"/>
      <w:szCs w:val="20"/>
    </w:rPr>
  </w:style>
  <w:style w:type="character" w:customStyle="1" w:styleId="FootnoteTextChar">
    <w:name w:val="Footnote Text Char"/>
    <w:basedOn w:val="DefaultParagraphFont"/>
    <w:link w:val="FootnoteText"/>
    <w:uiPriority w:val="99"/>
    <w:rsid w:val="006F73CF"/>
    <w:rPr>
      <w:rFonts w:asciiTheme="minorHAnsi" w:hAnsiTheme="minorHAnsi"/>
      <w:color w:val="000000" w:themeColor="text1"/>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4"/>
    <w:rsid w:val="005A0B99"/>
    <w:rPr>
      <w:rFonts w:asciiTheme="majorHAnsi" w:hAnsiTheme="majorHAnsi"/>
      <w:b/>
      <w:color w:val="AA338A" w:themeColor="background2"/>
      <w:sz w:val="22"/>
      <w:szCs w:val="44"/>
    </w:rPr>
  </w:style>
  <w:style w:type="paragraph" w:styleId="TOC1">
    <w:name w:val="toc 1"/>
    <w:basedOn w:val="Normal"/>
    <w:next w:val="Normal"/>
    <w:autoRedefine/>
    <w:uiPriority w:val="39"/>
    <w:rsid w:val="00763655"/>
    <w:pPr>
      <w:pBdr>
        <w:top w:val="single" w:sz="24" w:space="6" w:color="AA338A" w:themeColor="background2"/>
        <w:between w:val="single" w:sz="24" w:space="6" w:color="AA338A" w:themeColor="background2"/>
      </w:pBdr>
      <w:tabs>
        <w:tab w:val="right" w:pos="6577"/>
      </w:tabs>
      <w:spacing w:before="240" w:line="240" w:lineRule="auto"/>
      <w:ind w:right="1758"/>
    </w:pPr>
    <w:rPr>
      <w:b/>
      <w:noProof/>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6D6D70" w:themeColor="accent6"/>
          <w:bottom w:val="single" w:sz="4" w:space="0" w:color="6D6D70" w:themeColor="accent6"/>
        </w:tcBorders>
        <w:shd w:val="clear" w:color="auto" w:fill="6D6D70"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763655"/>
    <w:pPr>
      <w:pBdr>
        <w:bottom w:val="none" w:sz="0" w:space="0" w:color="auto"/>
      </w:pBdr>
      <w:spacing w:after="720"/>
      <w:outlineLvl w:val="9"/>
    </w:pPr>
    <w:rPr>
      <w:rFonts w:eastAsiaTheme="majorEastAsia" w:cstheme="majorBidi"/>
      <w:bCs/>
      <w:color w:val="000000" w:themeColor="text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0416EF"/>
    <w:pPr>
      <w:spacing w:before="240" w:after="240" w:line="360" w:lineRule="atLeast"/>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uiPriority w:val="1"/>
    <w:rsid w:val="00406578"/>
    <w:rPr>
      <w:rFonts w:ascii="Arial" w:hAnsi="Arial"/>
      <w:sz w:val="22"/>
      <w:szCs w:val="24"/>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6D6E71"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7F3941"/>
    <w:pPr>
      <w:keepNext/>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AA338A"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5A0B99"/>
    <w:pPr>
      <w:spacing w:before="240"/>
      <w:contextualSpacing/>
    </w:pPr>
    <w:rPr>
      <w:b/>
      <w:color w:val="AA338A" w:themeColor="background2"/>
      <w:sz w:val="22"/>
    </w:rPr>
  </w:style>
  <w:style w:type="paragraph" w:customStyle="1" w:styleId="BackPageH1">
    <w:name w:val="Back Page H1"/>
    <w:basedOn w:val="Normal"/>
    <w:next w:val="Normal"/>
    <w:uiPriority w:val="99"/>
    <w:rsid w:val="006915B0"/>
    <w:pPr>
      <w:spacing w:before="720" w:after="6000" w:line="240" w:lineRule="auto"/>
      <w:contextualSpacing/>
    </w:pPr>
    <w:rPr>
      <w:sz w:val="44"/>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057A7"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2C276C"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2C276C" w:themeColor="text2"/>
      <w:sz w:val="22"/>
      <w:szCs w:val="24"/>
    </w:rPr>
  </w:style>
  <w:style w:type="paragraph" w:styleId="CommentText">
    <w:name w:val="annotation text"/>
    <w:basedOn w:val="Normal"/>
    <w:link w:val="CommentTextChar"/>
    <w:uiPriority w:val="99"/>
    <w:semiHidden/>
    <w:unhideWhenUsed/>
    <w:rsid w:val="009C705A"/>
    <w:pPr>
      <w:spacing w:line="240" w:lineRule="auto"/>
    </w:pPr>
    <w:rPr>
      <w:szCs w:val="20"/>
    </w:rPr>
  </w:style>
  <w:style w:type="character" w:customStyle="1" w:styleId="CommentTextChar">
    <w:name w:val="Comment Text Char"/>
    <w:basedOn w:val="DefaultParagraphFont"/>
    <w:link w:val="CommentText"/>
    <w:uiPriority w:val="99"/>
    <w:semiHidden/>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9B61E9"/>
    <w:rPr>
      <w:color w:val="FFFFFF" w:themeColor="background1"/>
    </w:rPr>
  </w:style>
  <w:style w:type="paragraph" w:customStyle="1" w:styleId="WhiteHeading2">
    <w:name w:val="White Heading 2"/>
    <w:basedOn w:val="Heading2"/>
    <w:link w:val="WhiteHeading2Char"/>
    <w:rsid w:val="002602FC"/>
    <w:pPr>
      <w:spacing w:before="360"/>
    </w:pPr>
    <w:rPr>
      <w:color w:val="FFFFFF" w:themeColor="background1"/>
      <w:sz w:val="24"/>
    </w:rPr>
  </w:style>
  <w:style w:type="paragraph" w:customStyle="1" w:styleId="Normal11pt">
    <w:name w:val="Normal 11pt"/>
    <w:basedOn w:val="Normal"/>
    <w:rsid w:val="00472278"/>
    <w:rPr>
      <w:sz w:val="22"/>
    </w:rPr>
  </w:style>
  <w:style w:type="paragraph" w:customStyle="1" w:styleId="AppendixHeading">
    <w:name w:val="Appendix Heading"/>
    <w:basedOn w:val="ListParagraph"/>
    <w:next w:val="Normal"/>
    <w:uiPriority w:val="5"/>
    <w:qFormat/>
    <w:rsid w:val="005A0B99"/>
    <w:pPr>
      <w:numPr>
        <w:numId w:val="4"/>
      </w:numPr>
      <w:spacing w:before="240"/>
      <w:contextualSpacing/>
    </w:pPr>
    <w:rPr>
      <w:b/>
      <w:color w:val="AA338A" w:themeColor="background2"/>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customStyle="1" w:styleId="TitleL2">
    <w:name w:val="Title L2"/>
    <w:basedOn w:val="Title"/>
    <w:qFormat/>
    <w:rsid w:val="00575696"/>
    <w:pPr>
      <w:spacing w:after="480"/>
      <w:outlineLvl w:val="9"/>
    </w:pPr>
    <w:rPr>
      <w:b w:val="0"/>
      <w:bCs w:val="0"/>
      <w:sz w:val="40"/>
      <w:szCs w:val="40"/>
    </w:rPr>
  </w:style>
  <w:style w:type="table" w:customStyle="1" w:styleId="ListTable3-Accent12">
    <w:name w:val="List Table 3 - Accent 12"/>
    <w:basedOn w:val="TableNormal"/>
    <w:uiPriority w:val="48"/>
    <w:rsid w:val="00097150"/>
    <w:rPr>
      <w:rFonts w:asciiTheme="minorHAnsi" w:eastAsiaTheme="minorHAnsi" w:hAnsiTheme="minorHAnsi" w:cstheme="minorBidi"/>
      <w:sz w:val="22"/>
      <w:szCs w:val="22"/>
      <w:lang w:eastAsia="en-US"/>
    </w:rPr>
    <w:tblPr>
      <w:tblStyleRowBandSize w:val="1"/>
      <w:tblStyleColBandSize w:val="1"/>
      <w:tblBorders>
        <w:top w:val="single" w:sz="4" w:space="0" w:color="004052"/>
        <w:left w:val="single" w:sz="4" w:space="0" w:color="004052"/>
        <w:bottom w:val="single" w:sz="4" w:space="0" w:color="004052"/>
        <w:right w:val="single" w:sz="4" w:space="0" w:color="004052"/>
      </w:tblBorders>
    </w:tblPr>
    <w:tblStylePr w:type="firstRow">
      <w:rPr>
        <w:b/>
        <w:bCs/>
        <w:color w:val="FFFFFF" w:themeColor="background1"/>
      </w:rPr>
      <w:tblPr/>
      <w:tcPr>
        <w:shd w:val="clear" w:color="auto" w:fill="2C276C" w:themeFill="accent1"/>
      </w:tcPr>
    </w:tblStylePr>
    <w:tblStylePr w:type="lastRow">
      <w:rPr>
        <w:b/>
        <w:bCs/>
      </w:rPr>
      <w:tblPr/>
      <w:tcPr>
        <w:tcBorders>
          <w:top w:val="double" w:sz="4" w:space="0" w:color="2C27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76C" w:themeColor="accent1"/>
          <w:right w:val="single" w:sz="4" w:space="0" w:color="2C276C" w:themeColor="accent1"/>
        </w:tcBorders>
      </w:tcPr>
    </w:tblStylePr>
    <w:tblStylePr w:type="band1Horz">
      <w:tblPr/>
      <w:tcPr>
        <w:tcBorders>
          <w:top w:val="single" w:sz="4" w:space="0" w:color="2C276C" w:themeColor="accent1"/>
          <w:bottom w:val="single" w:sz="4" w:space="0" w:color="2C27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76C" w:themeColor="accent1"/>
          <w:left w:val="nil"/>
        </w:tcBorders>
      </w:tcPr>
    </w:tblStylePr>
    <w:tblStylePr w:type="swCell">
      <w:tblPr/>
      <w:tcPr>
        <w:tcBorders>
          <w:top w:val="double" w:sz="4" w:space="0" w:color="2C276C" w:themeColor="accent1"/>
          <w:right w:val="nil"/>
        </w:tcBorders>
      </w:tcPr>
    </w:tblStylePr>
  </w:style>
  <w:style w:type="character" w:customStyle="1" w:styleId="meta-citation-journal-name2">
    <w:name w:val="meta-citation-journal-name2"/>
    <w:basedOn w:val="DefaultParagraphFont"/>
    <w:rsid w:val="00362281"/>
    <w:rPr>
      <w:i/>
      <w:iCs/>
    </w:rPr>
  </w:style>
  <w:style w:type="character" w:customStyle="1" w:styleId="meta-citation">
    <w:name w:val="meta-citation"/>
    <w:basedOn w:val="DefaultParagraphFont"/>
    <w:rsid w:val="00362281"/>
  </w:style>
  <w:style w:type="paragraph" w:customStyle="1" w:styleId="WhiteCoverHeading">
    <w:name w:val="White Cover Heading"/>
    <w:basedOn w:val="WhiteLargeH1"/>
    <w:qFormat/>
    <w:rsid w:val="00FD2C4A"/>
    <w:pPr>
      <w:pBdr>
        <w:bottom w:val="none" w:sz="0" w:space="0" w:color="auto"/>
      </w:pBdr>
      <w:spacing w:after="240"/>
    </w:pPr>
    <w:rPr>
      <w:sz w:val="100"/>
    </w:rPr>
  </w:style>
  <w:style w:type="paragraph" w:customStyle="1" w:styleId="WhiteCoverSub">
    <w:name w:val="White Cover Sub"/>
    <w:basedOn w:val="WhiteHeading2"/>
    <w:qFormat/>
    <w:rsid w:val="00C2561B"/>
    <w:rPr>
      <w:b w:val="0"/>
      <w:sz w:val="32"/>
      <w:szCs w:val="32"/>
    </w:rPr>
  </w:style>
  <w:style w:type="paragraph" w:styleId="DocumentMap">
    <w:name w:val="Document Map"/>
    <w:basedOn w:val="Normal"/>
    <w:link w:val="DocumentMapChar"/>
    <w:uiPriority w:val="99"/>
    <w:semiHidden/>
    <w:unhideWhenUsed/>
    <w:rsid w:val="00B869AF"/>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B869AF"/>
    <w:rPr>
      <w:color w:val="000000" w:themeColor="text1"/>
      <w:sz w:val="24"/>
      <w:szCs w:val="24"/>
    </w:rPr>
  </w:style>
  <w:style w:type="paragraph" w:customStyle="1" w:styleId="TableType">
    <w:name w:val="Table Type"/>
    <w:basedOn w:val="Normal"/>
    <w:qFormat/>
    <w:rsid w:val="00A31FF1"/>
    <w:pPr>
      <w:spacing w:line="240" w:lineRule="atLeast"/>
    </w:pPr>
    <w:rPr>
      <w:sz w:val="18"/>
    </w:rPr>
  </w:style>
  <w:style w:type="paragraph" w:customStyle="1" w:styleId="Spacer">
    <w:name w:val="Spacer"/>
    <w:basedOn w:val="Normal"/>
    <w:qFormat/>
    <w:rsid w:val="00BF3D0E"/>
    <w:pPr>
      <w:tabs>
        <w:tab w:val="left" w:pos="1260"/>
      </w:tabs>
      <w:spacing w:before="0" w:after="0" w:line="240" w:lineRule="auto"/>
    </w:pPr>
    <w:rPr>
      <w:sz w:val="10"/>
    </w:rPr>
  </w:style>
  <w:style w:type="paragraph" w:customStyle="1" w:styleId="GreenH2">
    <w:name w:val="Green H2"/>
    <w:basedOn w:val="Heading2"/>
    <w:qFormat/>
    <w:rsid w:val="005A0B99"/>
    <w:rPr>
      <w:sz w:val="26"/>
      <w:szCs w:val="28"/>
    </w:rPr>
  </w:style>
  <w:style w:type="paragraph" w:customStyle="1" w:styleId="Heading1a">
    <w:name w:val="Heading 1a"/>
    <w:basedOn w:val="GreenH2"/>
    <w:qFormat/>
    <w:rsid w:val="009E31F1"/>
    <w:rPr>
      <w:color w:val="auto"/>
    </w:rPr>
  </w:style>
  <w:style w:type="paragraph" w:customStyle="1" w:styleId="FooterWhite">
    <w:name w:val="Footer White"/>
    <w:basedOn w:val="Footer"/>
    <w:qFormat/>
    <w:rsid w:val="009B61E9"/>
    <w:rPr>
      <w:noProof/>
      <w:color w:val="FFFFFF" w:themeColor="background1"/>
      <w:lang w:val="en-US" w:eastAsia="en-US"/>
    </w:rPr>
  </w:style>
  <w:style w:type="paragraph" w:customStyle="1" w:styleId="Hyperlinkwhite">
    <w:name w:val="Hyperlink white"/>
    <w:basedOn w:val="Heading3"/>
    <w:qFormat/>
    <w:rsid w:val="006915B0"/>
    <w:rPr>
      <w:color w:val="FFFFFF" w:themeColor="background1"/>
    </w:rPr>
  </w:style>
  <w:style w:type="paragraph" w:styleId="PlainText">
    <w:name w:val="Plain Text"/>
    <w:basedOn w:val="Normal"/>
    <w:link w:val="PlainTextChar"/>
    <w:uiPriority w:val="99"/>
    <w:unhideWhenUsed/>
    <w:rsid w:val="001318F2"/>
    <w:pPr>
      <w:keepLines w:val="0"/>
      <w:spacing w:before="0" w:after="0" w:line="240" w:lineRule="auto"/>
    </w:pPr>
    <w:rPr>
      <w:rFonts w:ascii="Courier" w:eastAsiaTheme="minorHAnsi" w:hAnsi="Courier" w:cstheme="minorBidi"/>
      <w:color w:val="auto"/>
      <w:sz w:val="21"/>
      <w:szCs w:val="21"/>
      <w:lang w:val="en-US" w:eastAsia="en-US"/>
    </w:rPr>
  </w:style>
  <w:style w:type="character" w:customStyle="1" w:styleId="PlainTextChar">
    <w:name w:val="Plain Text Char"/>
    <w:basedOn w:val="DefaultParagraphFont"/>
    <w:link w:val="PlainText"/>
    <w:uiPriority w:val="99"/>
    <w:rsid w:val="001318F2"/>
    <w:rPr>
      <w:rFonts w:ascii="Courier" w:eastAsiaTheme="minorHAnsi" w:hAnsi="Courier" w:cstheme="minorBidi"/>
      <w:sz w:val="21"/>
      <w:szCs w:val="21"/>
      <w:lang w:val="en-US" w:eastAsia="en-US"/>
    </w:rPr>
  </w:style>
  <w:style w:type="character" w:customStyle="1" w:styleId="BoldColour">
    <w:name w:val="Bold Colour"/>
    <w:basedOn w:val="DefaultParagraphFont"/>
    <w:uiPriority w:val="1"/>
    <w:qFormat/>
    <w:rsid w:val="005A0B99"/>
    <w:rPr>
      <w:b/>
      <w:color w:val="AA338A" w:themeColor="background2"/>
    </w:rPr>
  </w:style>
  <w:style w:type="paragraph" w:customStyle="1" w:styleId="TableHeader">
    <w:name w:val="Table Header"/>
    <w:basedOn w:val="Heading2"/>
    <w:qFormat/>
    <w:rsid w:val="003C0AA2"/>
    <w:pPr>
      <w:spacing w:before="120"/>
      <w:jc w:val="center"/>
    </w:pPr>
  </w:style>
  <w:style w:type="paragraph" w:customStyle="1" w:styleId="BlackHeading2">
    <w:name w:val="Black Heading 2"/>
    <w:basedOn w:val="WhiteHeading2"/>
    <w:link w:val="BlackHeading2Char"/>
    <w:qFormat/>
    <w:rsid w:val="004014AE"/>
    <w:rPr>
      <w:color w:val="000000" w:themeColor="text1"/>
      <w:sz w:val="26"/>
    </w:rPr>
  </w:style>
  <w:style w:type="paragraph" w:customStyle="1" w:styleId="h3">
    <w:name w:val="h3"/>
    <w:basedOn w:val="BlackHeading2"/>
    <w:link w:val="h3Char"/>
    <w:qFormat/>
    <w:rsid w:val="0057334E"/>
    <w:pPr>
      <w:outlineLvl w:val="2"/>
    </w:pPr>
  </w:style>
  <w:style w:type="paragraph" w:customStyle="1" w:styleId="h2">
    <w:name w:val="h2"/>
    <w:basedOn w:val="Heading1"/>
    <w:link w:val="h2Char"/>
    <w:qFormat/>
    <w:rsid w:val="0057334E"/>
    <w:pPr>
      <w:outlineLvl w:val="1"/>
    </w:pPr>
  </w:style>
  <w:style w:type="character" w:customStyle="1" w:styleId="WhiteHeading2Char">
    <w:name w:val="White Heading 2 Char"/>
    <w:basedOn w:val="Heading2Char"/>
    <w:link w:val="WhiteHeading2"/>
    <w:rsid w:val="0057334E"/>
    <w:rPr>
      <w:rFonts w:asciiTheme="majorHAnsi" w:hAnsiTheme="majorHAnsi"/>
      <w:b/>
      <w:color w:val="FFFFFF" w:themeColor="background1"/>
      <w:sz w:val="24"/>
      <w:szCs w:val="44"/>
    </w:rPr>
  </w:style>
  <w:style w:type="character" w:customStyle="1" w:styleId="BlackHeading2Char">
    <w:name w:val="Black Heading 2 Char"/>
    <w:basedOn w:val="WhiteHeading2Char"/>
    <w:link w:val="BlackHeading2"/>
    <w:rsid w:val="0057334E"/>
    <w:rPr>
      <w:rFonts w:asciiTheme="majorHAnsi" w:hAnsiTheme="majorHAnsi"/>
      <w:b/>
      <w:color w:val="000000" w:themeColor="text1"/>
      <w:sz w:val="26"/>
      <w:szCs w:val="44"/>
    </w:rPr>
  </w:style>
  <w:style w:type="character" w:customStyle="1" w:styleId="h3Char">
    <w:name w:val="h3 Char"/>
    <w:basedOn w:val="BlackHeading2Char"/>
    <w:link w:val="h3"/>
    <w:rsid w:val="0057334E"/>
    <w:rPr>
      <w:rFonts w:asciiTheme="majorHAnsi" w:hAnsiTheme="majorHAnsi"/>
      <w:b/>
      <w:color w:val="000000" w:themeColor="text1"/>
      <w:sz w:val="26"/>
      <w:szCs w:val="44"/>
    </w:rPr>
  </w:style>
  <w:style w:type="paragraph" w:customStyle="1" w:styleId="h4">
    <w:name w:val="h4"/>
    <w:basedOn w:val="Heading2"/>
    <w:link w:val="h4Char"/>
    <w:qFormat/>
    <w:rsid w:val="0057334E"/>
    <w:pPr>
      <w:outlineLvl w:val="3"/>
    </w:pPr>
  </w:style>
  <w:style w:type="character" w:customStyle="1" w:styleId="Heading1Char">
    <w:name w:val="Heading 1 Char"/>
    <w:basedOn w:val="DefaultParagraphFont"/>
    <w:link w:val="Heading1"/>
    <w:uiPriority w:val="4"/>
    <w:rsid w:val="0057334E"/>
    <w:rPr>
      <w:rFonts w:asciiTheme="majorHAnsi" w:hAnsiTheme="majorHAnsi"/>
      <w:b/>
      <w:sz w:val="80"/>
      <w:szCs w:val="44"/>
    </w:rPr>
  </w:style>
  <w:style w:type="character" w:customStyle="1" w:styleId="h2Char">
    <w:name w:val="h2 Char"/>
    <w:basedOn w:val="Heading1Char"/>
    <w:link w:val="h2"/>
    <w:rsid w:val="0057334E"/>
    <w:rPr>
      <w:rFonts w:asciiTheme="majorHAnsi" w:hAnsiTheme="majorHAnsi"/>
      <w:b/>
      <w:sz w:val="80"/>
      <w:szCs w:val="44"/>
    </w:rPr>
  </w:style>
  <w:style w:type="character" w:customStyle="1" w:styleId="h4Char">
    <w:name w:val="h4 Char"/>
    <w:basedOn w:val="Heading2Char"/>
    <w:link w:val="h4"/>
    <w:rsid w:val="0057334E"/>
    <w:rPr>
      <w:rFonts w:asciiTheme="majorHAnsi" w:hAnsiTheme="majorHAnsi"/>
      <w:b/>
      <w:color w:val="AA338A" w:themeColor="background2"/>
      <w:sz w:val="22"/>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mailto:media@pmc.gov.au" TargetMode="External"/><Relationship Id="rId3" Type="http://schemas.openxmlformats.org/officeDocument/2006/relationships/customXml" Target="../customXml/item3.xml"/><Relationship Id="rId21" Type="http://schemas.openxmlformats.org/officeDocument/2006/relationships/hyperlink" Target="http://www.pmc.gov.au/beta"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hyperlink" Target="mailto:beta@pmc.gov.au"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media@pmc.gov.au"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mailto:beta@pmc.gov.a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www.pmc.gov.au/beta" TargetMode="External"/><Relationship Id="rId27" Type="http://schemas.openxmlformats.org/officeDocument/2006/relationships/header" Target="header4.xml"/></Relationships>
</file>

<file path=word/_rels/endnotes.xml.rels><?xml version="1.0" encoding="UTF-8" standalone="yes"?>
<Relationships xmlns="http://schemas.openxmlformats.org/package/2006/relationships"><Relationship Id="rId3" Type="http://schemas.openxmlformats.org/officeDocument/2006/relationships/hyperlink" Target="http://www.abc.net.au/news/2016-03-31/most-australian-women-still-take-husbands-name-after-marriage/7287022" TargetMode="External"/><Relationship Id="rId2" Type="http://schemas.openxmlformats.org/officeDocument/2006/relationships/hyperlink" Target="https://www.nytimes.com/2010/05/13/technology/personaltech/13basics.html" TargetMode="External"/><Relationship Id="rId1" Type="http://schemas.openxmlformats.org/officeDocument/2006/relationships/hyperlink" Target="http://www.kiwisaver.govt.nz/statist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PMC BETA Guidance Note Research Purples">
      <a:dk1>
        <a:srgbClr val="000000"/>
      </a:dk1>
      <a:lt1>
        <a:srgbClr val="FFFFFF"/>
      </a:lt1>
      <a:dk2>
        <a:srgbClr val="2C276C"/>
      </a:dk2>
      <a:lt2>
        <a:srgbClr val="AA338A"/>
      </a:lt2>
      <a:accent1>
        <a:srgbClr val="2C276C"/>
      </a:accent1>
      <a:accent2>
        <a:srgbClr val="2057A7"/>
      </a:accent2>
      <a:accent3>
        <a:srgbClr val="117478"/>
      </a:accent3>
      <a:accent4>
        <a:srgbClr val="8D7349"/>
      </a:accent4>
      <a:accent5>
        <a:srgbClr val="9D2033"/>
      </a:accent5>
      <a:accent6>
        <a:srgbClr val="6D6D70"/>
      </a:accent6>
      <a:hlink>
        <a:srgbClr val="AA338A"/>
      </a:hlink>
      <a:folHlink>
        <a:srgbClr val="6D6E71"/>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DOC19-94121</ShareHubID>
    <TaxCatchAll xmlns="166541c0-0594-4e6a-9105-c24d4b6de6f7">
      <Value>1</Value>
    </TaxCatchAll>
    <PMCNotes xmlns="166541c0-0594-4e6a-9105-c24d4b6de6f7" xsi:nil="true"/>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documentManagement>
</p:properties>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9B58D7D72C3ED54C851955501673F8AC" ma:contentTypeVersion="11" ma:contentTypeDescription="PMC Document" ma:contentTypeScope="" ma:versionID="dce88d5783c8e6ea69d4384014b5f83d">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35b41bab6e866c3568f1ad78d1998483"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FDF41-764A-4BA3-961F-140E01AD6B2F}"/>
</file>

<file path=customXml/itemProps2.xml><?xml version="1.0" encoding="utf-8"?>
<ds:datastoreItem xmlns:ds="http://schemas.openxmlformats.org/officeDocument/2006/customXml" ds:itemID="{CA866C1B-372C-4424-B117-C46BF8CFD7AB}"/>
</file>

<file path=customXml/itemProps3.xml><?xml version="1.0" encoding="utf-8"?>
<ds:datastoreItem xmlns:ds="http://schemas.openxmlformats.org/officeDocument/2006/customXml" ds:itemID="{05AC9762-F2B3-4DD1-A61C-818A0DF976D4}"/>
</file>

<file path=customXml/itemProps4.xml><?xml version="1.0" encoding="utf-8"?>
<ds:datastoreItem xmlns:ds="http://schemas.openxmlformats.org/officeDocument/2006/customXml" ds:itemID="{CB514FE7-EA81-4D71-8FE6-A67D24A78642}"/>
</file>

<file path=docProps/app.xml><?xml version="1.0" encoding="utf-8"?>
<Properties xmlns="http://schemas.openxmlformats.org/officeDocument/2006/extended-properties" xmlns:vt="http://schemas.openxmlformats.org/officeDocument/2006/docPropsVTypes">
  <Template>BB3BB12D.dotm</Template>
  <TotalTime>0</TotalTime>
  <Pages>15</Pages>
  <Words>2453</Words>
  <Characters>13988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Guidance Note: Harnessing the power of defaults </vt:lpstr>
    </vt:vector>
  </TitlesOfParts>
  <Manager/>
  <Company/>
  <LinksUpToDate>false</LinksUpToDate>
  <CharactersWithSpaces>16409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Note: Harnessing the power of defaults </dc:title>
  <dc:creator/>
  <cp:lastModifiedBy/>
  <cp:revision>1</cp:revision>
  <dcterms:created xsi:type="dcterms:W3CDTF">2019-03-15T05:43:00Z</dcterms:created>
  <dcterms:modified xsi:type="dcterms:W3CDTF">2019-03-15T06:03:00Z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2019-03-12T13:15:01</vt:lpwstr>
  </property>
</Properties>
</file>