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ECE881" w14:textId="28035565" w:rsidR="003D3014" w:rsidRDefault="007D33D4" w:rsidP="001B6DA2">
      <w:r>
        <w:softHyphen/>
      </w:r>
      <w:r>
        <w:softHyphen/>
      </w:r>
    </w:p>
    <w:p w14:paraId="22EFD00C" w14:textId="77777777" w:rsidR="001B6DA2" w:rsidRDefault="001B6DA2" w:rsidP="001B6DA2"/>
    <w:p w14:paraId="1B536459" w14:textId="2818BDEC" w:rsidR="0049195A" w:rsidRPr="0049195A" w:rsidRDefault="008B459E" w:rsidP="00ED4441">
      <w:pPr>
        <w:pStyle w:val="Heading1NOTOC"/>
        <w:ind w:right="-142"/>
        <w:outlineLvl w:val="0"/>
        <w:rPr>
          <w:color w:val="2158A8" w:themeColor="accent1"/>
          <w:sz w:val="120"/>
        </w:rPr>
      </w:pPr>
      <w:r w:rsidRPr="00FD0F35">
        <w:t>Behavioural insights for pu</w:t>
      </w:r>
      <w:bookmarkStart w:id="0" w:name="_GoBack"/>
      <w:bookmarkEnd w:id="0"/>
      <w:r w:rsidRPr="00FD0F35">
        <w:t xml:space="preserve">blic policy </w:t>
      </w:r>
      <w:r w:rsidR="00ED4441">
        <w:br/>
      </w:r>
      <w:r>
        <w:rPr>
          <w:b/>
          <w:bCs/>
          <w:color w:val="auto"/>
          <w:sz w:val="32"/>
          <w:szCs w:val="32"/>
        </w:rPr>
        <w:t>C</w:t>
      </w:r>
      <w:r w:rsidRPr="008B459E">
        <w:rPr>
          <w:b/>
          <w:bCs/>
          <w:color w:val="auto"/>
          <w:sz w:val="32"/>
          <w:szCs w:val="32"/>
        </w:rPr>
        <w:t>ase studies from around Australia</w:t>
      </w:r>
    </w:p>
    <w:p w14:paraId="77AAA185" w14:textId="77777777" w:rsidR="00FB0A87" w:rsidRDefault="00FB0A87" w:rsidP="004E3FC0">
      <w:pPr>
        <w:spacing w:before="0" w:after="0" w:line="240" w:lineRule="auto"/>
        <w:jc w:val="both"/>
        <w:rPr>
          <w:rFonts w:ascii="Arial" w:hAnsi="Arial" w:cs="Arial"/>
          <w:b/>
          <w:bCs/>
          <w:color w:val="auto"/>
          <w:sz w:val="32"/>
          <w:szCs w:val="32"/>
          <w:lang w:val="en-US" w:eastAsia="en-US"/>
        </w:rPr>
      </w:pPr>
    </w:p>
    <w:p w14:paraId="6803636D" w14:textId="2EC38CEC" w:rsidR="00D03BC7" w:rsidRDefault="00FB0A87" w:rsidP="004E3FC0">
      <w:pPr>
        <w:spacing w:before="0" w:after="0" w:line="240" w:lineRule="auto"/>
        <w:jc w:val="both"/>
        <w:rPr>
          <w:rFonts w:ascii="Arial" w:hAnsi="Arial" w:cs="Arial"/>
          <w:b/>
          <w:bCs/>
          <w:color w:val="auto"/>
          <w:sz w:val="32"/>
          <w:szCs w:val="32"/>
          <w:lang w:val="en-US" w:eastAsia="en-US"/>
        </w:rPr>
      </w:pPr>
      <w:r>
        <w:rPr>
          <w:rFonts w:ascii="Arial" w:hAnsi="Arial" w:cs="Arial"/>
          <w:b/>
          <w:bCs/>
          <w:color w:val="auto"/>
          <w:sz w:val="32"/>
          <w:szCs w:val="32"/>
          <w:lang w:val="en-US" w:eastAsia="en-US"/>
        </w:rPr>
        <w:t>June 2018</w:t>
      </w:r>
    </w:p>
    <w:p w14:paraId="1074B3C1" w14:textId="49092E31" w:rsidR="006D08CF" w:rsidRDefault="006D08CF" w:rsidP="004E3FC0">
      <w:pPr>
        <w:keepLines w:val="0"/>
        <w:spacing w:before="0" w:after="0" w:line="240" w:lineRule="auto"/>
        <w:jc w:val="both"/>
        <w:rPr>
          <w:rFonts w:ascii="Arial" w:hAnsi="Arial" w:cs="Arial"/>
          <w:b/>
          <w:bCs/>
          <w:color w:val="auto"/>
          <w:sz w:val="32"/>
          <w:szCs w:val="32"/>
          <w:lang w:val="en-US" w:eastAsia="en-US"/>
        </w:rPr>
        <w:sectPr w:rsidR="006D08CF" w:rsidSect="00873964">
          <w:headerReference w:type="even" r:id="rId11"/>
          <w:headerReference w:type="default" r:id="rId12"/>
          <w:footerReference w:type="even" r:id="rId13"/>
          <w:headerReference w:type="first" r:id="rId14"/>
          <w:pgSz w:w="11906" w:h="16838" w:code="9"/>
          <w:pgMar w:top="1588" w:right="1985" w:bottom="1247" w:left="1418" w:header="680" w:footer="680" w:gutter="0"/>
          <w:cols w:space="708"/>
          <w:titlePg/>
          <w:docGrid w:linePitch="360"/>
        </w:sectPr>
      </w:pPr>
    </w:p>
    <w:p w14:paraId="40CC4226" w14:textId="20F2A2B5" w:rsidR="005D0856" w:rsidRDefault="0078666C" w:rsidP="00ED4441">
      <w:pPr>
        <w:pStyle w:val="Heading1NOTOC"/>
        <w:ind w:right="-142"/>
        <w:outlineLvl w:val="1"/>
      </w:pPr>
      <w:bookmarkStart w:id="1" w:name="_Toc511295860"/>
      <w:bookmarkStart w:id="2" w:name="_Toc511296008"/>
      <w:r>
        <w:rPr>
          <w:noProof/>
          <w:lang w:val="en-AU" w:eastAsia="en-AU"/>
        </w:rPr>
        <w:lastRenderedPageBreak/>
        <w:drawing>
          <wp:anchor distT="0" distB="0" distL="114300" distR="114300" simplePos="0" relativeHeight="251630080" behindDoc="1" locked="0" layoutInCell="1" allowOverlap="1" wp14:anchorId="6DD61076" wp14:editId="69A2368F">
            <wp:simplePos x="0" y="0"/>
            <wp:positionH relativeFrom="margin">
              <wp:posOffset>3810</wp:posOffset>
            </wp:positionH>
            <wp:positionV relativeFrom="paragraph">
              <wp:posOffset>161290</wp:posOffset>
            </wp:positionV>
            <wp:extent cx="807720" cy="962025"/>
            <wp:effectExtent l="0" t="0" r="5080" b="3175"/>
            <wp:wrapTight wrapText="bothSides">
              <wp:wrapPolygon edited="0">
                <wp:start x="0" y="0"/>
                <wp:lineTo x="0" y="21386"/>
                <wp:lineTo x="21396" y="21386"/>
                <wp:lineTo x="21396" y="0"/>
                <wp:lineTo x="0" y="0"/>
              </wp:wrapPolygon>
            </wp:wrapTight>
            <wp:docPr id="4" name="Picture 4" descr="Hon Malcom Turnbull MP, Prime Ministe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lcolm_Turnbull_Portrait.jpg"/>
                    <pic:cNvPicPr/>
                  </pic:nvPicPr>
                  <pic:blipFill rotWithShape="1">
                    <a:blip r:embed="rId15" cstate="print">
                      <a:extLst>
                        <a:ext uri="{28A0092B-C50C-407E-A947-70E740481C1C}">
                          <a14:useLocalDpi xmlns:a14="http://schemas.microsoft.com/office/drawing/2010/main" val="0"/>
                        </a:ext>
                      </a:extLst>
                    </a:blip>
                    <a:srcRect l="18518" t="1354" r="18518" b="34684"/>
                    <a:stretch/>
                  </pic:blipFill>
                  <pic:spPr bwMode="auto">
                    <a:xfrm>
                      <a:off x="0" y="0"/>
                      <a:ext cx="807720"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C45" w:rsidRPr="004331E0">
        <w:t>Foreword</w:t>
      </w:r>
      <w:bookmarkEnd w:id="1"/>
      <w:bookmarkEnd w:id="2"/>
      <w:r>
        <w:t xml:space="preserve"> </w:t>
      </w:r>
    </w:p>
    <w:p w14:paraId="09A4A14D" w14:textId="77777777" w:rsidR="0078666C" w:rsidRPr="0078666C" w:rsidRDefault="0078666C" w:rsidP="00ED4441">
      <w:pPr>
        <w:pStyle w:val="IntroText"/>
        <w:outlineLvl w:val="2"/>
        <w:rPr>
          <w:color w:val="20B9A3" w:themeColor="background2"/>
          <w:sz w:val="28"/>
          <w:shd w:val="clear" w:color="auto" w:fill="FFFFFF"/>
        </w:rPr>
      </w:pPr>
      <w:r w:rsidRPr="0078666C">
        <w:rPr>
          <w:b/>
          <w:color w:val="20B9A3" w:themeColor="background2"/>
          <w:sz w:val="26"/>
          <w:shd w:val="clear" w:color="auto" w:fill="FFFFFF"/>
        </w:rPr>
        <w:t xml:space="preserve">Hon Malcom Turnbull MP </w:t>
      </w:r>
      <w:r w:rsidRPr="0078666C">
        <w:rPr>
          <w:color w:val="20B9A3" w:themeColor="background2"/>
          <w:sz w:val="26"/>
          <w:shd w:val="clear" w:color="auto" w:fill="FFFFFF"/>
        </w:rPr>
        <w:br/>
        <w:t>Prime Minister</w:t>
      </w:r>
    </w:p>
    <w:p w14:paraId="33FD551B" w14:textId="1FDF10FE"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 xml:space="preserve">As we all observe in our daily lives, individuals are more rational in economic theory than they are in the real world. </w:t>
      </w:r>
    </w:p>
    <w:p w14:paraId="18B6C3A7" w14:textId="77777777"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 xml:space="preserve">Research on these kinds of behavioural anomalies has a rich history, dating back at least to Adam Smith’s </w:t>
      </w:r>
      <w:r>
        <w:rPr>
          <w:rFonts w:ascii="Helvetica" w:eastAsia="Helvetica" w:hAnsi="Helvetica" w:cs="Helvetica"/>
          <w:i/>
          <w:color w:val="3F3F3F"/>
          <w:sz w:val="22"/>
          <w:szCs w:val="22"/>
        </w:rPr>
        <w:t>Theory of Moral Sentiments</w:t>
      </w:r>
      <w:r>
        <w:rPr>
          <w:rFonts w:ascii="Helvetica" w:eastAsia="Helvetica" w:hAnsi="Helvetica" w:cs="Helvetica"/>
          <w:color w:val="3F3F3F"/>
          <w:sz w:val="22"/>
          <w:szCs w:val="22"/>
        </w:rPr>
        <w:t xml:space="preserve"> in 1759.  </w:t>
      </w:r>
    </w:p>
    <w:p w14:paraId="367CA527" w14:textId="77777777"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The emerging field of behavioural economics looks at these issues through a modern analytical lens. The ramifications extend to the very heart of public policy – because even the most impeccably researched policy risks failing if it does not take into account the way people actually behave and react to policy changes.</w:t>
      </w:r>
    </w:p>
    <w:p w14:paraId="66D88795" w14:textId="79AC0288"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This is why the Australian Government established the team known as the Behavioural Economics Team of the Australian Government (BETA) in 2016. BETA is one of about 60 government behavioural insights teams around the world. These teams work at the forefront of a number of fields – such as economics, psychology, neuroscience and sociology – and they do this to consider real-world problems through a prism of working out how people actually behave. The goal is to help governments design smarter policy responses.</w:t>
      </w:r>
    </w:p>
    <w:p w14:paraId="2DC562FF" w14:textId="77777777" w:rsidR="00C52A19"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 xml:space="preserve">This report is a collation of recent trials aimed at enriching the lives of Australians. Behavioural insights can help us better understand a range of policy issues, including workforce participation, retirement savings, rural and regional employment incentives, and household cost of living pressures. </w:t>
      </w:r>
    </w:p>
    <w:p w14:paraId="06179F77" w14:textId="7AFF434A"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There are potentially large dividends from small policy changes, across a wide variety of policy settings.</w:t>
      </w:r>
    </w:p>
    <w:p w14:paraId="534D506D" w14:textId="5A8EC475" w:rsidR="00790F7F"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 xml:space="preserve">I am proud Australia is hosting Behavioural Exchange (BX) 2018, bringing together passionate researchers and policy makers from around the world. This global behavioural insights community demonstrates the shared passion and commitment to understanding the ways in which policy changes can improve people’s lives. </w:t>
      </w:r>
    </w:p>
    <w:p w14:paraId="77FAA52D" w14:textId="77777777" w:rsidR="000816E3" w:rsidRDefault="00790F7F" w:rsidP="00573712">
      <w:pPr>
        <w:spacing w:after="240" w:line="319" w:lineRule="auto"/>
        <w:rPr>
          <w:rFonts w:ascii="Helvetica" w:eastAsia="Helvetica" w:hAnsi="Helvetica" w:cs="Helvetica"/>
          <w:color w:val="3F3F3F"/>
          <w:sz w:val="22"/>
          <w:szCs w:val="22"/>
        </w:rPr>
      </w:pPr>
      <w:r>
        <w:rPr>
          <w:rFonts w:ascii="Helvetica" w:eastAsia="Helvetica" w:hAnsi="Helvetica" w:cs="Helvetica"/>
          <w:color w:val="3F3F3F"/>
          <w:sz w:val="22"/>
          <w:szCs w:val="22"/>
        </w:rPr>
        <w:t>I encourage you to read this report, to make contact with the Australian teams, and continue to work together to improve citizens’ experience of government and public policies.</w:t>
      </w:r>
    </w:p>
    <w:p w14:paraId="7969F285" w14:textId="4EF3DD27" w:rsidR="002858ED" w:rsidRDefault="00DE703C" w:rsidP="00ED4441">
      <w:pPr>
        <w:pStyle w:val="IntroText"/>
        <w:outlineLvl w:val="2"/>
        <w:rPr>
          <w:color w:val="20B9A3" w:themeColor="background2"/>
          <w:sz w:val="26"/>
          <w:shd w:val="clear" w:color="auto" w:fill="FFFFFF"/>
        </w:rPr>
      </w:pPr>
      <w:r>
        <w:rPr>
          <w:b/>
          <w:noProof/>
          <w:color w:val="20B9A3" w:themeColor="background2"/>
          <w:sz w:val="26"/>
          <w:shd w:val="clear" w:color="auto" w:fill="FFFFFF"/>
        </w:rPr>
        <w:lastRenderedPageBreak/>
        <w:drawing>
          <wp:anchor distT="0" distB="0" distL="114300" distR="114300" simplePos="0" relativeHeight="251678208" behindDoc="0" locked="0" layoutInCell="1" allowOverlap="1" wp14:anchorId="3514040B" wp14:editId="019FC702">
            <wp:simplePos x="0" y="0"/>
            <wp:positionH relativeFrom="column">
              <wp:posOffset>3175</wp:posOffset>
            </wp:positionH>
            <wp:positionV relativeFrom="paragraph">
              <wp:posOffset>0</wp:posOffset>
            </wp:positionV>
            <wp:extent cx="1031240" cy="1223645"/>
            <wp:effectExtent l="0" t="0" r="0" b="0"/>
            <wp:wrapSquare wrapText="bothSides"/>
            <wp:docPr id="722" name="Picture 722" descr="Dr Martin Parkinson AC PSM, Secretary, Department of the Prime Minister and Cabinet&#10;"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Martin Parkinson_small.png"/>
                    <pic:cNvPicPr/>
                  </pic:nvPicPr>
                  <pic:blipFill>
                    <a:blip r:embed="rId16">
                      <a:extLst>
                        <a:ext uri="{28A0092B-C50C-407E-A947-70E740481C1C}">
                          <a14:useLocalDpi xmlns:a14="http://schemas.microsoft.com/office/drawing/2010/main" val="0"/>
                        </a:ext>
                      </a:extLst>
                    </a:blip>
                    <a:stretch>
                      <a:fillRect/>
                    </a:stretch>
                  </pic:blipFill>
                  <pic:spPr>
                    <a:xfrm>
                      <a:off x="0" y="0"/>
                      <a:ext cx="1031240" cy="1223645"/>
                    </a:xfrm>
                    <a:prstGeom prst="rect">
                      <a:avLst/>
                    </a:prstGeom>
                  </pic:spPr>
                </pic:pic>
              </a:graphicData>
            </a:graphic>
            <wp14:sizeRelH relativeFrom="page">
              <wp14:pctWidth>0</wp14:pctWidth>
            </wp14:sizeRelH>
            <wp14:sizeRelV relativeFrom="page">
              <wp14:pctHeight>0</wp14:pctHeight>
            </wp14:sizeRelV>
          </wp:anchor>
        </w:drawing>
      </w:r>
      <w:r w:rsidR="002858ED" w:rsidRPr="002858ED">
        <w:rPr>
          <w:b/>
          <w:color w:val="20B9A3" w:themeColor="background2"/>
          <w:sz w:val="26"/>
          <w:shd w:val="clear" w:color="auto" w:fill="FFFFFF"/>
        </w:rPr>
        <w:t>Dr Martin Parkinson AC PSM</w:t>
      </w:r>
      <w:r w:rsidR="002858ED" w:rsidRPr="0078666C">
        <w:rPr>
          <w:b/>
          <w:color w:val="20B9A3" w:themeColor="background2"/>
          <w:sz w:val="26"/>
          <w:shd w:val="clear" w:color="auto" w:fill="FFFFFF"/>
        </w:rPr>
        <w:t xml:space="preserve"> </w:t>
      </w:r>
      <w:r w:rsidR="002858ED" w:rsidRPr="0078666C">
        <w:rPr>
          <w:color w:val="20B9A3" w:themeColor="background2"/>
          <w:sz w:val="26"/>
          <w:shd w:val="clear" w:color="auto" w:fill="FFFFFF"/>
        </w:rPr>
        <w:br/>
      </w:r>
      <w:r w:rsidR="002858ED">
        <w:rPr>
          <w:color w:val="20B9A3" w:themeColor="background2"/>
          <w:sz w:val="26"/>
          <w:shd w:val="clear" w:color="auto" w:fill="FFFFFF"/>
        </w:rPr>
        <w:t>Secretary, Department of the Prime Minister and Cabinet</w:t>
      </w:r>
    </w:p>
    <w:p w14:paraId="2CE9511D" w14:textId="250477E3" w:rsidR="00B27623" w:rsidRPr="00B27623" w:rsidRDefault="00B27623" w:rsidP="00B27623">
      <w:pPr>
        <w:pStyle w:val="IntroText"/>
        <w:rPr>
          <w:rFonts w:eastAsia="Helvetica"/>
          <w:sz w:val="22"/>
          <w:szCs w:val="22"/>
        </w:rPr>
      </w:pPr>
      <w:r w:rsidRPr="00B27623">
        <w:rPr>
          <w:rFonts w:eastAsia="Helvetica"/>
          <w:sz w:val="22"/>
          <w:szCs w:val="22"/>
        </w:rPr>
        <w:t xml:space="preserve">As policy makers we’re often asked to </w:t>
      </w:r>
      <w:r w:rsidR="00E32588">
        <w:rPr>
          <w:rFonts w:eastAsia="Helvetica"/>
          <w:sz w:val="22"/>
          <w:szCs w:val="22"/>
        </w:rPr>
        <w:t>’</w:t>
      </w:r>
      <w:r w:rsidRPr="00B27623">
        <w:rPr>
          <w:rFonts w:eastAsia="Helvetica"/>
          <w:sz w:val="22"/>
          <w:szCs w:val="22"/>
        </w:rPr>
        <w:t>think big</w:t>
      </w:r>
      <w:r w:rsidR="00E32588">
        <w:rPr>
          <w:rFonts w:eastAsia="Helvetica"/>
          <w:sz w:val="22"/>
          <w:szCs w:val="22"/>
        </w:rPr>
        <w:t>’</w:t>
      </w:r>
      <w:r w:rsidRPr="00B27623">
        <w:rPr>
          <w:rFonts w:eastAsia="Helvetica"/>
          <w:sz w:val="22"/>
          <w:szCs w:val="22"/>
        </w:rPr>
        <w:t xml:space="preserve">. We face sizeable and complex challenges against a backdrop of global, technological and social developments which are transforming economies and societies. </w:t>
      </w:r>
    </w:p>
    <w:p w14:paraId="3D885401" w14:textId="77777777" w:rsidR="00B27623" w:rsidRPr="00B27623" w:rsidRDefault="00B27623" w:rsidP="00573712">
      <w:pPr>
        <w:pStyle w:val="IntroText"/>
        <w:rPr>
          <w:rFonts w:eastAsia="Helvetica"/>
          <w:sz w:val="22"/>
          <w:szCs w:val="22"/>
        </w:rPr>
      </w:pPr>
      <w:r w:rsidRPr="00B27623">
        <w:rPr>
          <w:rFonts w:eastAsia="Helvetica"/>
          <w:sz w:val="22"/>
          <w:szCs w:val="22"/>
        </w:rPr>
        <w:t xml:space="preserve">But I urge you to not forget about the small things. Solutions to some of our really big problems can lie in the smallest, simplest solutions. </w:t>
      </w:r>
    </w:p>
    <w:p w14:paraId="320B72BF" w14:textId="77777777" w:rsidR="00B27623" w:rsidRPr="00B27623" w:rsidRDefault="00B27623" w:rsidP="00573712">
      <w:pPr>
        <w:pStyle w:val="IntroText"/>
        <w:rPr>
          <w:rFonts w:eastAsia="Helvetica"/>
          <w:sz w:val="22"/>
          <w:szCs w:val="22"/>
        </w:rPr>
      </w:pPr>
      <w:r w:rsidRPr="00B27623">
        <w:rPr>
          <w:rFonts w:eastAsia="Helvetica"/>
          <w:sz w:val="22"/>
          <w:szCs w:val="22"/>
        </w:rPr>
        <w:t>Behavioural insights offer ways to devise elegant and simple solutions to problems which can’t be solved with traditional assumptions, wisdom or tools. The solutions are often modest and cost-effective, often yielding an impact far greater than more expensive policy options.</w:t>
      </w:r>
    </w:p>
    <w:p w14:paraId="6A2F5D2D" w14:textId="77777777" w:rsidR="00B27623" w:rsidRPr="00B27623" w:rsidRDefault="00B27623" w:rsidP="00573712">
      <w:pPr>
        <w:pStyle w:val="IntroText"/>
        <w:rPr>
          <w:rFonts w:eastAsia="Helvetica"/>
          <w:sz w:val="22"/>
          <w:szCs w:val="22"/>
        </w:rPr>
      </w:pPr>
      <w:r w:rsidRPr="00B27623">
        <w:rPr>
          <w:rFonts w:eastAsia="Helvetica"/>
          <w:sz w:val="22"/>
          <w:szCs w:val="22"/>
        </w:rPr>
        <w:t>Behavioural insights encourage people-centred design, which means simpler, clearer and faster public services. Evaluation is a crucial part of this. We need to quickly understand whether we are succeeding or not, and why, so we can advise government on whether to persevere or pivot.</w:t>
      </w:r>
    </w:p>
    <w:p w14:paraId="3F347923" w14:textId="5BB56E81" w:rsidR="002858ED" w:rsidRDefault="00B27623" w:rsidP="00573712">
      <w:pPr>
        <w:pStyle w:val="IntroText"/>
        <w:rPr>
          <w:rFonts w:eastAsia="Helvetica"/>
          <w:sz w:val="22"/>
          <w:szCs w:val="22"/>
        </w:rPr>
      </w:pPr>
      <w:r w:rsidRPr="00B27623">
        <w:rPr>
          <w:rFonts w:eastAsia="Helvetica"/>
          <w:sz w:val="22"/>
          <w:szCs w:val="22"/>
        </w:rPr>
        <w:t>Let’s look for these opportunities to make big and meaningful impacts to advance the wellbeing of Australians.</w:t>
      </w:r>
    </w:p>
    <w:p w14:paraId="453F2AFC" w14:textId="77777777" w:rsidR="00573712" w:rsidRDefault="00573712" w:rsidP="00573712">
      <w:pPr>
        <w:pStyle w:val="IntroText"/>
        <w:rPr>
          <w:shd w:val="clear" w:color="auto" w:fill="FFFFFF"/>
        </w:rPr>
      </w:pPr>
    </w:p>
    <w:p w14:paraId="068BC390" w14:textId="6DD4F39F" w:rsidR="002858ED" w:rsidRDefault="008860EA" w:rsidP="00ED4441">
      <w:pPr>
        <w:pStyle w:val="IntroText"/>
        <w:outlineLvl w:val="2"/>
        <w:rPr>
          <w:color w:val="20B9A3" w:themeColor="background2"/>
          <w:sz w:val="26"/>
          <w:shd w:val="clear" w:color="auto" w:fill="FFFFFF"/>
        </w:rPr>
      </w:pPr>
      <w:r>
        <w:rPr>
          <w:b/>
          <w:noProof/>
          <w:color w:val="20B9A3" w:themeColor="background2"/>
          <w:sz w:val="26"/>
          <w:shd w:val="clear" w:color="auto" w:fill="FFFFFF"/>
        </w:rPr>
        <w:drawing>
          <wp:anchor distT="0" distB="0" distL="114300" distR="114300" simplePos="0" relativeHeight="251652608" behindDoc="0" locked="0" layoutInCell="1" allowOverlap="1" wp14:anchorId="47C57550" wp14:editId="529EBA68">
            <wp:simplePos x="0" y="0"/>
            <wp:positionH relativeFrom="column">
              <wp:posOffset>3175</wp:posOffset>
            </wp:positionH>
            <wp:positionV relativeFrom="paragraph">
              <wp:posOffset>635</wp:posOffset>
            </wp:positionV>
            <wp:extent cx="1143000" cy="1190625"/>
            <wp:effectExtent l="0" t="0" r="0" b="9525"/>
            <wp:wrapSquare wrapText="bothSides"/>
            <wp:docPr id="724" name="Picture 724" descr="Tim Reardon, Secretary, New South Wales Department of Premier and Cabinet "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Tim Reardon_small.png"/>
                    <pic:cNvPicPr/>
                  </pic:nvPicPr>
                  <pic:blipFill>
                    <a:blip r:embed="rId17">
                      <a:extLst>
                        <a:ext uri="{28A0092B-C50C-407E-A947-70E740481C1C}">
                          <a14:useLocalDpi xmlns:a14="http://schemas.microsoft.com/office/drawing/2010/main" val="0"/>
                        </a:ext>
                      </a:extLst>
                    </a:blip>
                    <a:stretch>
                      <a:fillRect/>
                    </a:stretch>
                  </pic:blipFill>
                  <pic:spPr>
                    <a:xfrm>
                      <a:off x="0" y="0"/>
                      <a:ext cx="1143000" cy="1190625"/>
                    </a:xfrm>
                    <a:prstGeom prst="rect">
                      <a:avLst/>
                    </a:prstGeom>
                  </pic:spPr>
                </pic:pic>
              </a:graphicData>
            </a:graphic>
            <wp14:sizeRelH relativeFrom="page">
              <wp14:pctWidth>0</wp14:pctWidth>
            </wp14:sizeRelH>
            <wp14:sizeRelV relativeFrom="page">
              <wp14:pctHeight>0</wp14:pctHeight>
            </wp14:sizeRelV>
          </wp:anchor>
        </w:drawing>
      </w:r>
      <w:r w:rsidR="002858ED">
        <w:rPr>
          <w:b/>
          <w:color w:val="20B9A3" w:themeColor="background2"/>
          <w:sz w:val="26"/>
          <w:shd w:val="clear" w:color="auto" w:fill="FFFFFF"/>
        </w:rPr>
        <w:t>Tim Reardon</w:t>
      </w:r>
      <w:r w:rsidR="002858ED" w:rsidRPr="0078666C">
        <w:rPr>
          <w:b/>
          <w:color w:val="20B9A3" w:themeColor="background2"/>
          <w:sz w:val="26"/>
          <w:shd w:val="clear" w:color="auto" w:fill="FFFFFF"/>
        </w:rPr>
        <w:t xml:space="preserve"> </w:t>
      </w:r>
      <w:r w:rsidR="002858ED" w:rsidRPr="0078666C">
        <w:rPr>
          <w:color w:val="20B9A3" w:themeColor="background2"/>
          <w:sz w:val="26"/>
          <w:shd w:val="clear" w:color="auto" w:fill="FFFFFF"/>
        </w:rPr>
        <w:br/>
      </w:r>
      <w:r w:rsidR="002858ED">
        <w:rPr>
          <w:color w:val="20B9A3" w:themeColor="background2"/>
          <w:sz w:val="26"/>
          <w:shd w:val="clear" w:color="auto" w:fill="FFFFFF"/>
        </w:rPr>
        <w:t xml:space="preserve">Secretary, </w:t>
      </w:r>
      <w:r w:rsidR="00544D75">
        <w:rPr>
          <w:color w:val="20B9A3" w:themeColor="background2"/>
          <w:sz w:val="26"/>
          <w:shd w:val="clear" w:color="auto" w:fill="FFFFFF"/>
        </w:rPr>
        <w:t>New South Wales</w:t>
      </w:r>
      <w:r w:rsidR="002858ED">
        <w:rPr>
          <w:color w:val="20B9A3" w:themeColor="background2"/>
          <w:sz w:val="26"/>
          <w:shd w:val="clear" w:color="auto" w:fill="FFFFFF"/>
        </w:rPr>
        <w:t xml:space="preserve"> Department of </w:t>
      </w:r>
      <w:r w:rsidR="000C26EF">
        <w:rPr>
          <w:color w:val="20B9A3" w:themeColor="background2"/>
          <w:sz w:val="26"/>
          <w:shd w:val="clear" w:color="auto" w:fill="FFFFFF"/>
        </w:rPr>
        <w:t>Premier</w:t>
      </w:r>
      <w:r w:rsidR="002858ED">
        <w:rPr>
          <w:color w:val="20B9A3" w:themeColor="background2"/>
          <w:sz w:val="26"/>
          <w:shd w:val="clear" w:color="auto" w:fill="FFFFFF"/>
        </w:rPr>
        <w:t xml:space="preserve"> and Cabinet </w:t>
      </w:r>
    </w:p>
    <w:p w14:paraId="619DD960" w14:textId="2A93CDC0" w:rsidR="008860EA" w:rsidRPr="008860EA" w:rsidRDefault="008860EA" w:rsidP="00573712">
      <w:pPr>
        <w:pStyle w:val="IntroText"/>
        <w:rPr>
          <w:rFonts w:eastAsia="Helvetica"/>
          <w:sz w:val="22"/>
          <w:szCs w:val="22"/>
        </w:rPr>
      </w:pPr>
      <w:r w:rsidRPr="008860EA">
        <w:rPr>
          <w:rFonts w:eastAsia="Helvetica"/>
          <w:sz w:val="22"/>
          <w:szCs w:val="22"/>
        </w:rPr>
        <w:t xml:space="preserve">The NSW Premier has set out her top priorities to improve services and deliver for the people of NSW. Recognising the important role that behavioural insights will play in driving new and better approaches in government, the NSW Government set up the first central behavioural insights team in Australia in 2012. </w:t>
      </w:r>
    </w:p>
    <w:p w14:paraId="7FA9318E" w14:textId="4ED7CE49" w:rsidR="008860EA" w:rsidRPr="008860EA" w:rsidRDefault="008860EA" w:rsidP="00573712">
      <w:pPr>
        <w:pStyle w:val="IntroText"/>
        <w:rPr>
          <w:rFonts w:eastAsia="Helvetica"/>
          <w:sz w:val="22"/>
          <w:szCs w:val="22"/>
        </w:rPr>
      </w:pPr>
      <w:r w:rsidRPr="008860EA">
        <w:rPr>
          <w:rFonts w:eastAsia="Helvetica"/>
          <w:sz w:val="22"/>
          <w:szCs w:val="22"/>
        </w:rPr>
        <w:t xml:space="preserve">I am proud to present NSW’s significant results from applying behavioural insights. In the last few years, we have helped injured workers return to work safely and more quickly. </w:t>
      </w:r>
      <w:r w:rsidR="00957643">
        <w:rPr>
          <w:rFonts w:eastAsia="Helvetica"/>
          <w:sz w:val="22"/>
          <w:szCs w:val="22"/>
        </w:rPr>
        <w:br/>
      </w:r>
      <w:r w:rsidRPr="008860EA">
        <w:rPr>
          <w:rFonts w:eastAsia="Helvetica"/>
          <w:sz w:val="22"/>
          <w:szCs w:val="22"/>
        </w:rPr>
        <w:t xml:space="preserve">We have encouraged greater use of flexible work. We have increased the number of people showing up to hospital appointments and court. These and other initiatives encourage people to take actions that will improve their life outcomes. But they also expand the evidence base by rigorously testing what works. </w:t>
      </w:r>
    </w:p>
    <w:p w14:paraId="495E3382" w14:textId="18DF1431" w:rsidR="009047BD" w:rsidRPr="008860EA" w:rsidRDefault="008860EA" w:rsidP="00573712">
      <w:pPr>
        <w:pStyle w:val="IntroText"/>
        <w:rPr>
          <w:rFonts w:eastAsia="Helvetica"/>
          <w:sz w:val="22"/>
          <w:szCs w:val="22"/>
        </w:rPr>
      </w:pPr>
      <w:r w:rsidRPr="008860EA">
        <w:rPr>
          <w:rFonts w:eastAsia="Helvetica"/>
          <w:sz w:val="22"/>
          <w:szCs w:val="22"/>
        </w:rPr>
        <w:t>I look forward to further exploring new avenues for applying behavioural insights to drive better outcomes across the NSW public service.</w:t>
      </w:r>
    </w:p>
    <w:p w14:paraId="6FC015FE" w14:textId="03C0DFA5" w:rsidR="002858ED" w:rsidRPr="0078666C" w:rsidRDefault="004B1837" w:rsidP="00ED4441">
      <w:pPr>
        <w:pStyle w:val="IntroText"/>
        <w:outlineLvl w:val="2"/>
        <w:rPr>
          <w:color w:val="20B9A3" w:themeColor="background2"/>
          <w:sz w:val="28"/>
          <w:shd w:val="clear" w:color="auto" w:fill="FFFFFF"/>
        </w:rPr>
      </w:pPr>
      <w:r>
        <w:rPr>
          <w:b/>
          <w:noProof/>
          <w:color w:val="20B9A3" w:themeColor="background2"/>
          <w:sz w:val="26"/>
          <w:shd w:val="clear" w:color="auto" w:fill="FFFFFF"/>
        </w:rPr>
        <w:lastRenderedPageBreak/>
        <w:drawing>
          <wp:anchor distT="0" distB="0" distL="114300" distR="114300" simplePos="0" relativeHeight="251653632" behindDoc="0" locked="0" layoutInCell="1" allowOverlap="1" wp14:anchorId="6AE0D479" wp14:editId="76B733C7">
            <wp:simplePos x="0" y="0"/>
            <wp:positionH relativeFrom="column">
              <wp:posOffset>3175</wp:posOffset>
            </wp:positionH>
            <wp:positionV relativeFrom="paragraph">
              <wp:posOffset>3810</wp:posOffset>
            </wp:positionV>
            <wp:extent cx="1143000" cy="1333500"/>
            <wp:effectExtent l="0" t="0" r="0" b="0"/>
            <wp:wrapSquare wrapText="bothSides"/>
            <wp:docPr id="726" name="Picture 726" descr="Chris Eccles, Secretary, Victorian Department of Premier and Cabin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Chris Eccles_small.png"/>
                    <pic:cNvPicPr/>
                  </pic:nvPicPr>
                  <pic:blipFill>
                    <a:blip r:embed="rId18">
                      <a:extLst>
                        <a:ext uri="{28A0092B-C50C-407E-A947-70E740481C1C}">
                          <a14:useLocalDpi xmlns:a14="http://schemas.microsoft.com/office/drawing/2010/main" val="0"/>
                        </a:ext>
                      </a:extLst>
                    </a:blip>
                    <a:stretch>
                      <a:fillRect/>
                    </a:stretch>
                  </pic:blipFill>
                  <pic:spPr>
                    <a:xfrm>
                      <a:off x="0" y="0"/>
                      <a:ext cx="1143000" cy="1333500"/>
                    </a:xfrm>
                    <a:prstGeom prst="rect">
                      <a:avLst/>
                    </a:prstGeom>
                  </pic:spPr>
                </pic:pic>
              </a:graphicData>
            </a:graphic>
            <wp14:sizeRelH relativeFrom="page">
              <wp14:pctWidth>0</wp14:pctWidth>
            </wp14:sizeRelH>
            <wp14:sizeRelV relativeFrom="page">
              <wp14:pctHeight>0</wp14:pctHeight>
            </wp14:sizeRelV>
          </wp:anchor>
        </w:drawing>
      </w:r>
      <w:r w:rsidR="002858ED">
        <w:rPr>
          <w:b/>
          <w:color w:val="20B9A3" w:themeColor="background2"/>
          <w:sz w:val="26"/>
          <w:shd w:val="clear" w:color="auto" w:fill="FFFFFF"/>
        </w:rPr>
        <w:t>Chris Eccles</w:t>
      </w:r>
      <w:r w:rsidR="002858ED" w:rsidRPr="0078666C">
        <w:rPr>
          <w:b/>
          <w:color w:val="20B9A3" w:themeColor="background2"/>
          <w:sz w:val="26"/>
          <w:shd w:val="clear" w:color="auto" w:fill="FFFFFF"/>
        </w:rPr>
        <w:t xml:space="preserve"> </w:t>
      </w:r>
      <w:r w:rsidR="002858ED" w:rsidRPr="0078666C">
        <w:rPr>
          <w:color w:val="20B9A3" w:themeColor="background2"/>
          <w:sz w:val="26"/>
          <w:shd w:val="clear" w:color="auto" w:fill="FFFFFF"/>
        </w:rPr>
        <w:br/>
      </w:r>
      <w:r w:rsidR="002858ED">
        <w:rPr>
          <w:color w:val="20B9A3" w:themeColor="background2"/>
          <w:sz w:val="26"/>
          <w:shd w:val="clear" w:color="auto" w:fill="FFFFFF"/>
        </w:rPr>
        <w:t xml:space="preserve">Secretary, Victorian Department of </w:t>
      </w:r>
      <w:r w:rsidR="000C26EF">
        <w:rPr>
          <w:color w:val="20B9A3" w:themeColor="background2"/>
          <w:sz w:val="26"/>
          <w:shd w:val="clear" w:color="auto" w:fill="FFFFFF"/>
        </w:rPr>
        <w:t>Premier</w:t>
      </w:r>
      <w:r w:rsidR="002858ED">
        <w:rPr>
          <w:color w:val="20B9A3" w:themeColor="background2"/>
          <w:sz w:val="26"/>
          <w:shd w:val="clear" w:color="auto" w:fill="FFFFFF"/>
        </w:rPr>
        <w:t xml:space="preserve"> and Cabinet</w:t>
      </w:r>
    </w:p>
    <w:p w14:paraId="28119EED" w14:textId="1534B953" w:rsidR="008860EA" w:rsidRPr="008860EA" w:rsidRDefault="008860EA" w:rsidP="00573712">
      <w:pPr>
        <w:pStyle w:val="IntroText"/>
        <w:rPr>
          <w:rFonts w:eastAsia="Helvetica"/>
          <w:sz w:val="22"/>
          <w:szCs w:val="22"/>
        </w:rPr>
      </w:pPr>
      <w:r w:rsidRPr="008860EA">
        <w:rPr>
          <w:rFonts w:eastAsia="Helvetica"/>
          <w:sz w:val="22"/>
          <w:szCs w:val="22"/>
        </w:rPr>
        <w:t>Victoria’s Behavioural Insight</w:t>
      </w:r>
      <w:r w:rsidR="009C62CC">
        <w:rPr>
          <w:rFonts w:eastAsia="Helvetica"/>
          <w:sz w:val="22"/>
          <w:szCs w:val="22"/>
        </w:rPr>
        <w:t>s</w:t>
      </w:r>
      <w:r w:rsidRPr="008860EA">
        <w:rPr>
          <w:rFonts w:eastAsia="Helvetica"/>
          <w:sz w:val="22"/>
          <w:szCs w:val="22"/>
        </w:rPr>
        <w:t xml:space="preserve"> Unit works across government to bring what we know about human behaviour to the core of policy design and implementation. Since the Behavioural Insights Unit commenced in 2016, we’ve applied behavioural insights to optimise our programs and services for citizens.  </w:t>
      </w:r>
    </w:p>
    <w:p w14:paraId="7F6569E3" w14:textId="7BDE4098" w:rsidR="008860EA" w:rsidRPr="008860EA" w:rsidRDefault="008860EA" w:rsidP="00573712">
      <w:pPr>
        <w:pStyle w:val="IntroText"/>
        <w:rPr>
          <w:rFonts w:eastAsia="Helvetica"/>
          <w:sz w:val="22"/>
          <w:szCs w:val="22"/>
        </w:rPr>
      </w:pPr>
      <w:r w:rsidRPr="008860EA">
        <w:rPr>
          <w:rFonts w:eastAsia="Helvetica"/>
          <w:sz w:val="22"/>
          <w:szCs w:val="22"/>
        </w:rPr>
        <w:t>With a focus on outcomes, Victoria is increasingly applying behavioural insights to complex, multi-sector issues. Driven by the Victorian Government’s strong focus on preventing family violence, behavioural insights techniques are being applied to better protect and support victim survivors. Behavioural insights have been used to deepen our understanding of how information sharing works in practice in the family violence service system. Our increased understanding has influenced the physical design of Victoria’s new family violence support and safety hubs, and supported the roll out of guidance and training for practitioners.</w:t>
      </w:r>
    </w:p>
    <w:p w14:paraId="709C25D8" w14:textId="77777777" w:rsidR="008860EA" w:rsidRPr="008860EA" w:rsidRDefault="008860EA" w:rsidP="00573712">
      <w:pPr>
        <w:pStyle w:val="IntroText"/>
        <w:rPr>
          <w:rFonts w:eastAsia="Helvetica"/>
          <w:sz w:val="22"/>
          <w:szCs w:val="22"/>
        </w:rPr>
      </w:pPr>
      <w:r w:rsidRPr="008860EA">
        <w:rPr>
          <w:rFonts w:eastAsia="Helvetica"/>
          <w:sz w:val="22"/>
          <w:szCs w:val="22"/>
        </w:rPr>
        <w:t xml:space="preserve">Our use of behavioural insights is driving a focus on people, evidence and good decision making. We’re working with child protection to get children at risk access to the services they need more effectively, partnering across government to help Victorian consumers to get a better energy deal and supporting the learning outcomes of students in high-demand community sector employment areas. We’re also running trials to improve immunisation rates, increase registrations for organ donation and encourage Victorian taxpayers to pay land tax through efficient channels. </w:t>
      </w:r>
    </w:p>
    <w:p w14:paraId="28828F33" w14:textId="2DE9BC36" w:rsidR="002858ED" w:rsidRPr="009047BD" w:rsidRDefault="008860EA" w:rsidP="00573712">
      <w:pPr>
        <w:pStyle w:val="IntroText"/>
      </w:pPr>
      <w:r w:rsidRPr="008860EA">
        <w:rPr>
          <w:rFonts w:eastAsia="Helvetica"/>
          <w:sz w:val="22"/>
          <w:szCs w:val="22"/>
        </w:rPr>
        <w:t>Finally, we’re turning the lens on ourselves. The public service should strive to be more effective around how we use our time, how we allocate our resources, how we share information and how we manage risks. This is not a task contained within jurisdictions.</w:t>
      </w:r>
      <w:r w:rsidR="0083281B">
        <w:rPr>
          <w:rFonts w:eastAsia="Helvetica"/>
          <w:sz w:val="22"/>
          <w:szCs w:val="22"/>
        </w:rPr>
        <w:t> </w:t>
      </w:r>
      <w:r w:rsidR="0083281B">
        <w:rPr>
          <w:rFonts w:eastAsia="Helvetica"/>
          <w:sz w:val="22"/>
          <w:szCs w:val="22"/>
        </w:rPr>
        <w:br/>
      </w:r>
      <w:r w:rsidRPr="008860EA">
        <w:rPr>
          <w:rFonts w:eastAsia="Helvetica"/>
          <w:sz w:val="22"/>
          <w:szCs w:val="22"/>
        </w:rPr>
        <w:t>It relies on all of us to collaborate, share what works and what we’ve learnt along the way. Taking a behavioural insights approach to the way we work can help us to think about policy opportunities in new and different ways, as we seek to deliver public value and transform the public service for the future.</w:t>
      </w:r>
    </w:p>
    <w:p w14:paraId="5AA18B02" w14:textId="77777777" w:rsidR="009047BD" w:rsidRDefault="009047BD" w:rsidP="00573712"/>
    <w:p w14:paraId="2A576D2F" w14:textId="33BC51F9" w:rsidR="009047BD" w:rsidRPr="00FA2304" w:rsidRDefault="009047BD" w:rsidP="00573712">
      <w:pPr>
        <w:sectPr w:rsidR="009047BD" w:rsidRPr="00FA2304" w:rsidSect="00272E56">
          <w:headerReference w:type="default" r:id="rId19"/>
          <w:footerReference w:type="default" r:id="rId20"/>
          <w:headerReference w:type="first" r:id="rId21"/>
          <w:footerReference w:type="first" r:id="rId22"/>
          <w:pgSz w:w="11906" w:h="16838" w:code="9"/>
          <w:pgMar w:top="1474" w:right="1985" w:bottom="1247" w:left="1418" w:header="680" w:footer="680" w:gutter="0"/>
          <w:pgNumType w:fmt="lowerRoman" w:start="1"/>
          <w:cols w:space="708"/>
          <w:titlePg/>
          <w:docGrid w:linePitch="360"/>
        </w:sectPr>
      </w:pPr>
    </w:p>
    <w:p w14:paraId="6C266903" w14:textId="45137546" w:rsidR="00496C3E" w:rsidRPr="00496C3E" w:rsidRDefault="00496C3E" w:rsidP="00496C3E">
      <w:pPr>
        <w:pStyle w:val="IntroText"/>
        <w:spacing w:before="240"/>
        <w:jc w:val="both"/>
        <w:outlineLvl w:val="2"/>
        <w:rPr>
          <w:b/>
          <w:color w:val="auto"/>
          <w:sz w:val="28"/>
          <w:szCs w:val="30"/>
        </w:rPr>
      </w:pPr>
      <w:r w:rsidRPr="00496C3E">
        <w:rPr>
          <w:b/>
          <w:color w:val="auto"/>
          <w:sz w:val="28"/>
          <w:szCs w:val="30"/>
        </w:rPr>
        <w:lastRenderedPageBreak/>
        <w:t>What is a randomised controlled trial?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Caption w:val="What is a Randomised controlled trial?"/>
        <w:tblDescription w:val="Text box describing the methodology behind a Randomised controlled trial, or an RCT. "/>
      </w:tblPr>
      <w:tblGrid>
        <w:gridCol w:w="8493"/>
      </w:tblGrid>
      <w:tr w:rsidR="00496C3E" w:rsidRPr="005072EF" w14:paraId="4FD886D0" w14:textId="77777777" w:rsidTr="005A2A67">
        <w:trPr>
          <w:trHeight w:val="4870"/>
          <w:tblHeader/>
        </w:trPr>
        <w:tc>
          <w:tcPr>
            <w:tcW w:w="8493" w:type="dxa"/>
            <w:shd w:val="clear" w:color="auto" w:fill="D9D9D9" w:themeFill="background1" w:themeFillShade="D9"/>
            <w:vAlign w:val="center"/>
          </w:tcPr>
          <w:p w14:paraId="615F1740" w14:textId="77777777" w:rsidR="00496C3E" w:rsidRPr="005072EF" w:rsidRDefault="00496C3E" w:rsidP="005A2A67">
            <w:pPr>
              <w:spacing w:before="0" w:after="180" w:line="240" w:lineRule="auto"/>
              <w:rPr>
                <w:rFonts w:eastAsia="Helvetica"/>
                <w:sz w:val="22"/>
                <w:szCs w:val="22"/>
              </w:rPr>
            </w:pPr>
            <w:r w:rsidRPr="005072EF">
              <w:rPr>
                <w:rFonts w:eastAsia="Helvetica"/>
                <w:sz w:val="22"/>
                <w:szCs w:val="22"/>
              </w:rPr>
              <w:t xml:space="preserve">Most of the interventions in this report were evaluated using a </w:t>
            </w:r>
            <w:hyperlink r:id="rId23" w:history="1">
              <w:r w:rsidRPr="00ED4441">
                <w:rPr>
                  <w:rStyle w:val="Hyperlink"/>
                  <w:rFonts w:eastAsia="Helvetica"/>
                  <w:sz w:val="22"/>
                  <w:szCs w:val="22"/>
                </w:rPr>
                <w:t>randomised controlled trial</w:t>
              </w:r>
            </w:hyperlink>
            <w:r w:rsidRPr="005072EF">
              <w:rPr>
                <w:rFonts w:eastAsia="Helvetica"/>
                <w:sz w:val="22"/>
                <w:szCs w:val="22"/>
              </w:rPr>
              <w:t xml:space="preserve"> (RCT) design.</w:t>
            </w:r>
          </w:p>
          <w:p w14:paraId="180BE63E" w14:textId="77777777" w:rsidR="00496C3E" w:rsidRPr="005072EF" w:rsidRDefault="00496C3E" w:rsidP="005A2A67">
            <w:pPr>
              <w:spacing w:before="180" w:after="180" w:line="280" w:lineRule="exact"/>
              <w:rPr>
                <w:rFonts w:eastAsia="Helvetica"/>
                <w:sz w:val="22"/>
                <w:szCs w:val="22"/>
              </w:rPr>
            </w:pPr>
            <w:r w:rsidRPr="005072EF">
              <w:rPr>
                <w:rFonts w:eastAsia="Helvetica"/>
                <w:sz w:val="22"/>
                <w:szCs w:val="22"/>
              </w:rPr>
              <w:t xml:space="preserve">A randomised controlled trial is the best way of telling if an intervention is working. They work by randomly assigning people into different groups – usually one or more ‘treatment’ groups which participate in the new intervention, and a ‘control’ group which does not. The differences in outcomes across the groups are then compared. </w:t>
            </w:r>
          </w:p>
          <w:p w14:paraId="1B8C92E5" w14:textId="77777777" w:rsidR="00496C3E" w:rsidRPr="005072EF" w:rsidRDefault="00496C3E" w:rsidP="005A2A67">
            <w:pPr>
              <w:spacing w:before="180" w:after="180" w:line="280" w:lineRule="exact"/>
              <w:rPr>
                <w:rFonts w:eastAsia="Helvetica"/>
                <w:sz w:val="22"/>
                <w:szCs w:val="22"/>
              </w:rPr>
            </w:pPr>
            <w:r w:rsidRPr="005072EF">
              <w:rPr>
                <w:rFonts w:eastAsia="Helvetica"/>
                <w:sz w:val="22"/>
                <w:szCs w:val="22"/>
              </w:rPr>
              <w:t>Well-designed and well-implemented RCTs are considered the ‘gold standard’ for assessing causal impacts because they determine the impact of an intervention or treatment compared to if nothing was changed. There are other evaluation designs in addition to the RCT, such as a pre- and post- evaluation.</w:t>
            </w:r>
          </w:p>
          <w:p w14:paraId="7AEC21C5" w14:textId="4ED61745" w:rsidR="00496C3E" w:rsidRPr="005072EF" w:rsidRDefault="00496C3E" w:rsidP="005A2A67">
            <w:pPr>
              <w:pStyle w:val="Intro"/>
              <w:outlineLvl w:val="2"/>
            </w:pPr>
            <w:r w:rsidRPr="005072EF">
              <w:rPr>
                <w:rFonts w:eastAsia="Helvetica"/>
                <w:sz w:val="22"/>
                <w:szCs w:val="22"/>
              </w:rPr>
              <w:t>More information about RCTs is availabl</w:t>
            </w:r>
            <w:r>
              <w:rPr>
                <w:rFonts w:eastAsia="Helvetica"/>
                <w:sz w:val="22"/>
                <w:szCs w:val="22"/>
              </w:rPr>
              <w:t>e on the</w:t>
            </w:r>
            <w:r w:rsidRPr="005072EF">
              <w:rPr>
                <w:rFonts w:eastAsia="Helvetica"/>
                <w:sz w:val="22"/>
                <w:szCs w:val="22"/>
              </w:rPr>
              <w:t xml:space="preserve"> </w:t>
            </w:r>
            <w:hyperlink r:id="rId24" w:history="1">
              <w:r w:rsidR="008E37A7">
                <w:rPr>
                  <w:rFonts w:eastAsia="Helvetica"/>
                  <w:color w:val="2158A8" w:themeColor="accent1"/>
                  <w:sz w:val="22"/>
                  <w:szCs w:val="22"/>
                </w:rPr>
                <w:t>BETA website</w:t>
              </w:r>
            </w:hyperlink>
            <w:r w:rsidRPr="005072EF">
              <w:rPr>
                <w:rFonts w:eastAsia="Helvetica"/>
                <w:sz w:val="22"/>
                <w:szCs w:val="22"/>
              </w:rPr>
              <w:t>.</w:t>
            </w:r>
          </w:p>
        </w:tc>
      </w:tr>
    </w:tbl>
    <w:p w14:paraId="6560F8DC" w14:textId="77777777" w:rsidR="00496C3E" w:rsidRPr="001E6973" w:rsidRDefault="00496C3E" w:rsidP="004E3FC0">
      <w:pPr>
        <w:pStyle w:val="IntroText"/>
        <w:jc w:val="both"/>
        <w:rPr>
          <w:shd w:val="clear" w:color="auto" w:fill="FFFFFF"/>
        </w:rPr>
        <w:sectPr w:rsidR="00496C3E" w:rsidRPr="001E6973" w:rsidSect="00A00268">
          <w:pgSz w:w="11906" w:h="16838" w:code="9"/>
          <w:pgMar w:top="0" w:right="1985" w:bottom="0" w:left="1418" w:header="680" w:footer="680" w:gutter="0"/>
          <w:pgNumType w:fmt="lowerRoman" w:start="1"/>
          <w:cols w:space="708"/>
          <w:titlePg/>
          <w:docGrid w:linePitch="360"/>
        </w:sectPr>
      </w:pPr>
    </w:p>
    <w:p w14:paraId="3BBD00BB" w14:textId="69F15E95" w:rsidR="009957AE" w:rsidRPr="00FA2C3C" w:rsidRDefault="00FA2C3C" w:rsidP="00ED4441">
      <w:pPr>
        <w:pStyle w:val="Heading1NOTOC"/>
        <w:ind w:right="-142"/>
        <w:outlineLvl w:val="1"/>
      </w:pPr>
      <w:bookmarkStart w:id="3" w:name="_Toc511295861"/>
      <w:bookmarkStart w:id="4" w:name="_Toc511296009"/>
      <w:r w:rsidRPr="00FA2C3C">
        <w:lastRenderedPageBreak/>
        <w:t>Contents</w:t>
      </w:r>
      <w:bookmarkEnd w:id="3"/>
      <w:bookmarkEnd w:id="4"/>
    </w:p>
    <w:p w14:paraId="1DC5E877" w14:textId="01DCB00C" w:rsidR="00D5669A" w:rsidRDefault="004476F5">
      <w:pPr>
        <w:pStyle w:val="TOC1"/>
        <w:rPr>
          <w:rFonts w:eastAsiaTheme="minorEastAsia" w:cstheme="minorBidi"/>
          <w:b w:val="0"/>
          <w:color w:val="auto"/>
          <w:sz w:val="22"/>
          <w:szCs w:val="22"/>
        </w:rPr>
      </w:pPr>
      <w:r>
        <w:fldChar w:fldCharType="begin"/>
      </w:r>
      <w:r>
        <w:instrText xml:space="preserve"> TOC \h \z \t "Heading 1,2,Large H1,1,Large H1 Green,1" </w:instrText>
      </w:r>
      <w:r>
        <w:fldChar w:fldCharType="separate"/>
      </w:r>
      <w:hyperlink w:anchor="_Toc516827438" w:history="1">
        <w:r w:rsidR="00D5669A" w:rsidRPr="00053736">
          <w:rPr>
            <w:rStyle w:val="Hyperlink"/>
          </w:rPr>
          <w:t>Improving the health of Australians</w:t>
        </w:r>
        <w:r w:rsidR="00D5669A">
          <w:rPr>
            <w:webHidden/>
          </w:rPr>
          <w:tab/>
        </w:r>
        <w:r w:rsidR="00D5669A">
          <w:rPr>
            <w:webHidden/>
          </w:rPr>
          <w:fldChar w:fldCharType="begin"/>
        </w:r>
        <w:r w:rsidR="00D5669A">
          <w:rPr>
            <w:webHidden/>
          </w:rPr>
          <w:instrText xml:space="preserve"> PAGEREF _Toc516827438 \h </w:instrText>
        </w:r>
        <w:r w:rsidR="00D5669A">
          <w:rPr>
            <w:webHidden/>
          </w:rPr>
        </w:r>
        <w:r w:rsidR="00D5669A">
          <w:rPr>
            <w:webHidden/>
          </w:rPr>
          <w:fldChar w:fldCharType="separate"/>
        </w:r>
        <w:r w:rsidR="00873964">
          <w:rPr>
            <w:webHidden/>
          </w:rPr>
          <w:t>1</w:t>
        </w:r>
        <w:r w:rsidR="00D5669A">
          <w:rPr>
            <w:webHidden/>
          </w:rPr>
          <w:fldChar w:fldCharType="end"/>
        </w:r>
      </w:hyperlink>
    </w:p>
    <w:p w14:paraId="4C73D5CD" w14:textId="36FB9BFE" w:rsidR="00D5669A" w:rsidRDefault="001D2BC0">
      <w:pPr>
        <w:pStyle w:val="TOC2"/>
        <w:rPr>
          <w:rFonts w:eastAsiaTheme="minorEastAsia" w:cstheme="minorBidi"/>
          <w:color w:val="auto"/>
          <w:sz w:val="22"/>
          <w:szCs w:val="22"/>
        </w:rPr>
      </w:pPr>
      <w:hyperlink w:anchor="_Toc516827439" w:history="1">
        <w:r w:rsidR="00D5669A" w:rsidRPr="00053736">
          <w:rPr>
            <w:rStyle w:val="Hyperlink"/>
          </w:rPr>
          <w:t>Nudge v. superbugs: Reducing overprescribing of antibiotics</w:t>
        </w:r>
        <w:r w:rsidR="00D5669A">
          <w:rPr>
            <w:webHidden/>
          </w:rPr>
          <w:tab/>
        </w:r>
        <w:r w:rsidR="00D5669A">
          <w:rPr>
            <w:webHidden/>
          </w:rPr>
          <w:fldChar w:fldCharType="begin"/>
        </w:r>
        <w:r w:rsidR="00D5669A">
          <w:rPr>
            <w:webHidden/>
          </w:rPr>
          <w:instrText xml:space="preserve"> PAGEREF _Toc516827439 \h </w:instrText>
        </w:r>
        <w:r w:rsidR="00D5669A">
          <w:rPr>
            <w:webHidden/>
          </w:rPr>
        </w:r>
        <w:r w:rsidR="00D5669A">
          <w:rPr>
            <w:webHidden/>
          </w:rPr>
          <w:fldChar w:fldCharType="separate"/>
        </w:r>
        <w:r w:rsidR="00873964">
          <w:rPr>
            <w:webHidden/>
          </w:rPr>
          <w:t>2</w:t>
        </w:r>
        <w:r w:rsidR="00D5669A">
          <w:rPr>
            <w:webHidden/>
          </w:rPr>
          <w:fldChar w:fldCharType="end"/>
        </w:r>
      </w:hyperlink>
    </w:p>
    <w:p w14:paraId="12DDF8A2" w14:textId="1C5271C5" w:rsidR="00D5669A" w:rsidRDefault="001D2BC0">
      <w:pPr>
        <w:pStyle w:val="TOC2"/>
        <w:rPr>
          <w:rFonts w:eastAsiaTheme="minorEastAsia" w:cstheme="minorBidi"/>
          <w:color w:val="auto"/>
          <w:sz w:val="22"/>
          <w:szCs w:val="22"/>
        </w:rPr>
      </w:pPr>
      <w:hyperlink w:anchor="_Toc516827440" w:history="1">
        <w:r w:rsidR="00D5669A" w:rsidRPr="00053736">
          <w:rPr>
            <w:rStyle w:val="Hyperlink"/>
          </w:rPr>
          <w:t>Increasing the human papilloma virus  vaccination rate</w:t>
        </w:r>
        <w:r w:rsidR="00D5669A">
          <w:rPr>
            <w:webHidden/>
          </w:rPr>
          <w:tab/>
        </w:r>
        <w:r w:rsidR="00D5669A">
          <w:rPr>
            <w:webHidden/>
          </w:rPr>
          <w:fldChar w:fldCharType="begin"/>
        </w:r>
        <w:r w:rsidR="00D5669A">
          <w:rPr>
            <w:webHidden/>
          </w:rPr>
          <w:instrText xml:space="preserve"> PAGEREF _Toc516827440 \h </w:instrText>
        </w:r>
        <w:r w:rsidR="00D5669A">
          <w:rPr>
            <w:webHidden/>
          </w:rPr>
        </w:r>
        <w:r w:rsidR="00D5669A">
          <w:rPr>
            <w:webHidden/>
          </w:rPr>
          <w:fldChar w:fldCharType="separate"/>
        </w:r>
        <w:r w:rsidR="00873964">
          <w:rPr>
            <w:webHidden/>
          </w:rPr>
          <w:t>5</w:t>
        </w:r>
        <w:r w:rsidR="00D5669A">
          <w:rPr>
            <w:webHidden/>
          </w:rPr>
          <w:fldChar w:fldCharType="end"/>
        </w:r>
      </w:hyperlink>
    </w:p>
    <w:p w14:paraId="68982C8D" w14:textId="7F4A398A" w:rsidR="00D5669A" w:rsidRDefault="001D2BC0">
      <w:pPr>
        <w:pStyle w:val="TOC2"/>
        <w:rPr>
          <w:rFonts w:eastAsiaTheme="minorEastAsia" w:cstheme="minorBidi"/>
          <w:color w:val="auto"/>
          <w:sz w:val="22"/>
          <w:szCs w:val="22"/>
        </w:rPr>
      </w:pPr>
      <w:hyperlink w:anchor="_Toc516827441" w:history="1">
        <w:r w:rsidR="00D5669A" w:rsidRPr="00053736">
          <w:rPr>
            <w:rStyle w:val="Hyperlink"/>
          </w:rPr>
          <w:t>Improving immunisation data quality and data sharing by schools</w:t>
        </w:r>
        <w:r w:rsidR="00D5669A">
          <w:rPr>
            <w:webHidden/>
          </w:rPr>
          <w:tab/>
        </w:r>
        <w:r w:rsidR="00D5669A">
          <w:rPr>
            <w:webHidden/>
          </w:rPr>
          <w:fldChar w:fldCharType="begin"/>
        </w:r>
        <w:r w:rsidR="00D5669A">
          <w:rPr>
            <w:webHidden/>
          </w:rPr>
          <w:instrText xml:space="preserve"> PAGEREF _Toc516827441 \h </w:instrText>
        </w:r>
        <w:r w:rsidR="00D5669A">
          <w:rPr>
            <w:webHidden/>
          </w:rPr>
        </w:r>
        <w:r w:rsidR="00D5669A">
          <w:rPr>
            <w:webHidden/>
          </w:rPr>
          <w:fldChar w:fldCharType="separate"/>
        </w:r>
        <w:r w:rsidR="00873964">
          <w:rPr>
            <w:webHidden/>
          </w:rPr>
          <w:t>8</w:t>
        </w:r>
        <w:r w:rsidR="00D5669A">
          <w:rPr>
            <w:webHidden/>
          </w:rPr>
          <w:fldChar w:fldCharType="end"/>
        </w:r>
      </w:hyperlink>
    </w:p>
    <w:p w14:paraId="30F204ED" w14:textId="2FAD774B" w:rsidR="00D5669A" w:rsidRDefault="001D2BC0">
      <w:pPr>
        <w:pStyle w:val="TOC2"/>
        <w:rPr>
          <w:rFonts w:eastAsiaTheme="minorEastAsia" w:cstheme="minorBidi"/>
          <w:color w:val="auto"/>
          <w:sz w:val="22"/>
          <w:szCs w:val="22"/>
        </w:rPr>
      </w:pPr>
      <w:hyperlink w:anchor="_Toc516827442" w:history="1">
        <w:r w:rsidR="00D5669A" w:rsidRPr="00053736">
          <w:rPr>
            <w:rStyle w:val="Hyperlink"/>
          </w:rPr>
          <w:t>Returning injured teachers to work safely</w:t>
        </w:r>
        <w:r w:rsidR="00D5669A">
          <w:rPr>
            <w:webHidden/>
          </w:rPr>
          <w:tab/>
        </w:r>
        <w:r w:rsidR="00D5669A">
          <w:rPr>
            <w:webHidden/>
          </w:rPr>
          <w:fldChar w:fldCharType="begin"/>
        </w:r>
        <w:r w:rsidR="00D5669A">
          <w:rPr>
            <w:webHidden/>
          </w:rPr>
          <w:instrText xml:space="preserve"> PAGEREF _Toc516827442 \h </w:instrText>
        </w:r>
        <w:r w:rsidR="00D5669A">
          <w:rPr>
            <w:webHidden/>
          </w:rPr>
        </w:r>
        <w:r w:rsidR="00D5669A">
          <w:rPr>
            <w:webHidden/>
          </w:rPr>
          <w:fldChar w:fldCharType="separate"/>
        </w:r>
        <w:r w:rsidR="00873964">
          <w:rPr>
            <w:webHidden/>
          </w:rPr>
          <w:t>11</w:t>
        </w:r>
        <w:r w:rsidR="00D5669A">
          <w:rPr>
            <w:webHidden/>
          </w:rPr>
          <w:fldChar w:fldCharType="end"/>
        </w:r>
      </w:hyperlink>
    </w:p>
    <w:p w14:paraId="4FB3BA8F" w14:textId="1D23B743" w:rsidR="00D5669A" w:rsidRDefault="001D2BC0">
      <w:pPr>
        <w:pStyle w:val="TOC2"/>
        <w:rPr>
          <w:rFonts w:eastAsiaTheme="minorEastAsia" w:cstheme="minorBidi"/>
          <w:color w:val="auto"/>
          <w:sz w:val="22"/>
          <w:szCs w:val="22"/>
        </w:rPr>
      </w:pPr>
      <w:hyperlink w:anchor="_Toc516827443" w:history="1">
        <w:r w:rsidR="00D5669A" w:rsidRPr="00053736">
          <w:rPr>
            <w:rStyle w:val="Hyperlink"/>
          </w:rPr>
          <w:t>Let’s get physical personal: Encouraging physical activity in a large organisation</w:t>
        </w:r>
        <w:r w:rsidR="00D5669A">
          <w:rPr>
            <w:webHidden/>
          </w:rPr>
          <w:tab/>
        </w:r>
        <w:r w:rsidR="00D5669A">
          <w:rPr>
            <w:webHidden/>
          </w:rPr>
          <w:fldChar w:fldCharType="begin"/>
        </w:r>
        <w:r w:rsidR="00D5669A">
          <w:rPr>
            <w:webHidden/>
          </w:rPr>
          <w:instrText xml:space="preserve"> PAGEREF _Toc516827443 \h </w:instrText>
        </w:r>
        <w:r w:rsidR="00D5669A">
          <w:rPr>
            <w:webHidden/>
          </w:rPr>
        </w:r>
        <w:r w:rsidR="00D5669A">
          <w:rPr>
            <w:webHidden/>
          </w:rPr>
          <w:fldChar w:fldCharType="separate"/>
        </w:r>
        <w:r w:rsidR="00873964">
          <w:rPr>
            <w:webHidden/>
          </w:rPr>
          <w:t>14</w:t>
        </w:r>
        <w:r w:rsidR="00D5669A">
          <w:rPr>
            <w:webHidden/>
          </w:rPr>
          <w:fldChar w:fldCharType="end"/>
        </w:r>
      </w:hyperlink>
    </w:p>
    <w:p w14:paraId="3D08DE36" w14:textId="7FFFD69F" w:rsidR="00D5669A" w:rsidRDefault="001D2BC0">
      <w:pPr>
        <w:pStyle w:val="TOC2"/>
        <w:rPr>
          <w:rFonts w:eastAsiaTheme="minorEastAsia" w:cstheme="minorBidi"/>
          <w:color w:val="auto"/>
          <w:sz w:val="22"/>
          <w:szCs w:val="22"/>
        </w:rPr>
      </w:pPr>
      <w:hyperlink w:anchor="_Toc516827444" w:history="1">
        <w:r w:rsidR="00D5669A" w:rsidRPr="00053736">
          <w:rPr>
            <w:rStyle w:val="Hyperlink"/>
          </w:rPr>
          <w:t>Supporting doctors to claim correctly using peer comparison and loss aversion</w:t>
        </w:r>
        <w:r w:rsidR="00D5669A">
          <w:rPr>
            <w:webHidden/>
          </w:rPr>
          <w:tab/>
        </w:r>
        <w:r w:rsidR="00D5669A">
          <w:rPr>
            <w:webHidden/>
          </w:rPr>
          <w:fldChar w:fldCharType="begin"/>
        </w:r>
        <w:r w:rsidR="00D5669A">
          <w:rPr>
            <w:webHidden/>
          </w:rPr>
          <w:instrText xml:space="preserve"> PAGEREF _Toc516827444 \h </w:instrText>
        </w:r>
        <w:r w:rsidR="00D5669A">
          <w:rPr>
            <w:webHidden/>
          </w:rPr>
        </w:r>
        <w:r w:rsidR="00D5669A">
          <w:rPr>
            <w:webHidden/>
          </w:rPr>
          <w:fldChar w:fldCharType="separate"/>
        </w:r>
        <w:r w:rsidR="00873964">
          <w:rPr>
            <w:webHidden/>
          </w:rPr>
          <w:t>17</w:t>
        </w:r>
        <w:r w:rsidR="00D5669A">
          <w:rPr>
            <w:webHidden/>
          </w:rPr>
          <w:fldChar w:fldCharType="end"/>
        </w:r>
      </w:hyperlink>
    </w:p>
    <w:p w14:paraId="1841846D" w14:textId="5A8D8038" w:rsidR="00D5669A" w:rsidRDefault="001D2BC0">
      <w:pPr>
        <w:pStyle w:val="TOC1"/>
        <w:rPr>
          <w:rFonts w:eastAsiaTheme="minorEastAsia" w:cstheme="minorBidi"/>
          <w:b w:val="0"/>
          <w:color w:val="auto"/>
          <w:sz w:val="22"/>
          <w:szCs w:val="22"/>
        </w:rPr>
      </w:pPr>
      <w:hyperlink w:anchor="_Toc516827445" w:history="1">
        <w:r w:rsidR="00D5669A" w:rsidRPr="00053736">
          <w:rPr>
            <w:rStyle w:val="Hyperlink"/>
          </w:rPr>
          <w:t>Protecting Australians from domestic violence</w:t>
        </w:r>
        <w:r w:rsidR="00D5669A">
          <w:rPr>
            <w:webHidden/>
          </w:rPr>
          <w:tab/>
        </w:r>
        <w:r w:rsidR="00D5669A">
          <w:rPr>
            <w:webHidden/>
          </w:rPr>
          <w:fldChar w:fldCharType="begin"/>
        </w:r>
        <w:r w:rsidR="00D5669A">
          <w:rPr>
            <w:webHidden/>
          </w:rPr>
          <w:instrText xml:space="preserve"> PAGEREF _Toc516827445 \h </w:instrText>
        </w:r>
        <w:r w:rsidR="00D5669A">
          <w:rPr>
            <w:webHidden/>
          </w:rPr>
        </w:r>
        <w:r w:rsidR="00D5669A">
          <w:rPr>
            <w:webHidden/>
          </w:rPr>
          <w:fldChar w:fldCharType="separate"/>
        </w:r>
        <w:r w:rsidR="00873964">
          <w:rPr>
            <w:webHidden/>
          </w:rPr>
          <w:t>20</w:t>
        </w:r>
        <w:r w:rsidR="00D5669A">
          <w:rPr>
            <w:webHidden/>
          </w:rPr>
          <w:fldChar w:fldCharType="end"/>
        </w:r>
      </w:hyperlink>
    </w:p>
    <w:p w14:paraId="24821607" w14:textId="21DCC5EA" w:rsidR="00D5669A" w:rsidRDefault="001D2BC0">
      <w:pPr>
        <w:pStyle w:val="TOC2"/>
        <w:rPr>
          <w:rFonts w:eastAsiaTheme="minorEastAsia" w:cstheme="minorBidi"/>
          <w:color w:val="auto"/>
          <w:sz w:val="22"/>
          <w:szCs w:val="22"/>
        </w:rPr>
      </w:pPr>
      <w:hyperlink w:anchor="_Toc516827446" w:history="1">
        <w:r w:rsidR="00D5669A" w:rsidRPr="00053736">
          <w:rPr>
            <w:rStyle w:val="Hyperlink"/>
          </w:rPr>
          <w:t>Improving domestic violence court attendance</w:t>
        </w:r>
        <w:r w:rsidR="00D5669A">
          <w:rPr>
            <w:webHidden/>
          </w:rPr>
          <w:tab/>
        </w:r>
        <w:r w:rsidR="00D5669A">
          <w:rPr>
            <w:webHidden/>
          </w:rPr>
          <w:fldChar w:fldCharType="begin"/>
        </w:r>
        <w:r w:rsidR="00D5669A">
          <w:rPr>
            <w:webHidden/>
          </w:rPr>
          <w:instrText xml:space="preserve"> PAGEREF _Toc516827446 \h </w:instrText>
        </w:r>
        <w:r w:rsidR="00D5669A">
          <w:rPr>
            <w:webHidden/>
          </w:rPr>
        </w:r>
        <w:r w:rsidR="00D5669A">
          <w:rPr>
            <w:webHidden/>
          </w:rPr>
          <w:fldChar w:fldCharType="separate"/>
        </w:r>
        <w:r w:rsidR="00873964">
          <w:rPr>
            <w:webHidden/>
          </w:rPr>
          <w:t>21</w:t>
        </w:r>
        <w:r w:rsidR="00D5669A">
          <w:rPr>
            <w:webHidden/>
          </w:rPr>
          <w:fldChar w:fldCharType="end"/>
        </w:r>
      </w:hyperlink>
    </w:p>
    <w:p w14:paraId="2D93C883" w14:textId="55220808" w:rsidR="00D5669A" w:rsidRDefault="001D2BC0">
      <w:pPr>
        <w:pStyle w:val="TOC2"/>
        <w:rPr>
          <w:rFonts w:eastAsiaTheme="minorEastAsia" w:cstheme="minorBidi"/>
          <w:color w:val="auto"/>
          <w:sz w:val="22"/>
          <w:szCs w:val="22"/>
        </w:rPr>
      </w:pPr>
      <w:hyperlink w:anchor="_Toc516827447" w:history="1">
        <w:r w:rsidR="00D5669A" w:rsidRPr="00053736">
          <w:rPr>
            <w:rStyle w:val="Hyperlink"/>
          </w:rPr>
          <w:t>Improving information sharing in the family violence system</w:t>
        </w:r>
        <w:r w:rsidR="00D5669A">
          <w:rPr>
            <w:webHidden/>
          </w:rPr>
          <w:tab/>
        </w:r>
        <w:r w:rsidR="00D5669A">
          <w:rPr>
            <w:webHidden/>
          </w:rPr>
          <w:fldChar w:fldCharType="begin"/>
        </w:r>
        <w:r w:rsidR="00D5669A">
          <w:rPr>
            <w:webHidden/>
          </w:rPr>
          <w:instrText xml:space="preserve"> PAGEREF _Toc516827447 \h </w:instrText>
        </w:r>
        <w:r w:rsidR="00D5669A">
          <w:rPr>
            <w:webHidden/>
          </w:rPr>
        </w:r>
        <w:r w:rsidR="00D5669A">
          <w:rPr>
            <w:webHidden/>
          </w:rPr>
          <w:fldChar w:fldCharType="separate"/>
        </w:r>
        <w:r w:rsidR="00873964">
          <w:rPr>
            <w:webHidden/>
          </w:rPr>
          <w:t>24</w:t>
        </w:r>
        <w:r w:rsidR="00D5669A">
          <w:rPr>
            <w:webHidden/>
          </w:rPr>
          <w:fldChar w:fldCharType="end"/>
        </w:r>
      </w:hyperlink>
    </w:p>
    <w:p w14:paraId="19800563" w14:textId="766C90AE" w:rsidR="00D5669A" w:rsidRDefault="001D2BC0">
      <w:pPr>
        <w:pStyle w:val="TOC2"/>
        <w:rPr>
          <w:rFonts w:eastAsiaTheme="minorEastAsia" w:cstheme="minorBidi"/>
          <w:color w:val="auto"/>
          <w:sz w:val="22"/>
          <w:szCs w:val="22"/>
        </w:rPr>
      </w:pPr>
      <w:hyperlink w:anchor="_Toc516827448" w:history="1">
        <w:r w:rsidR="00D5669A" w:rsidRPr="00053736">
          <w:rPr>
            <w:rStyle w:val="Hyperlink"/>
          </w:rPr>
          <w:t>Reducing barriers for Family Violence Intervention Orders applications</w:t>
        </w:r>
        <w:r w:rsidR="00D5669A">
          <w:rPr>
            <w:webHidden/>
          </w:rPr>
          <w:tab/>
        </w:r>
        <w:r w:rsidR="00D5669A">
          <w:rPr>
            <w:webHidden/>
          </w:rPr>
          <w:fldChar w:fldCharType="begin"/>
        </w:r>
        <w:r w:rsidR="00D5669A">
          <w:rPr>
            <w:webHidden/>
          </w:rPr>
          <w:instrText xml:space="preserve"> PAGEREF _Toc516827448 \h </w:instrText>
        </w:r>
        <w:r w:rsidR="00D5669A">
          <w:rPr>
            <w:webHidden/>
          </w:rPr>
        </w:r>
        <w:r w:rsidR="00D5669A">
          <w:rPr>
            <w:webHidden/>
          </w:rPr>
          <w:fldChar w:fldCharType="separate"/>
        </w:r>
        <w:r w:rsidR="00873964">
          <w:rPr>
            <w:webHidden/>
          </w:rPr>
          <w:t>27</w:t>
        </w:r>
        <w:r w:rsidR="00D5669A">
          <w:rPr>
            <w:webHidden/>
          </w:rPr>
          <w:fldChar w:fldCharType="end"/>
        </w:r>
      </w:hyperlink>
    </w:p>
    <w:p w14:paraId="5F5B587E" w14:textId="75363850" w:rsidR="00D5669A" w:rsidRDefault="001D2BC0">
      <w:pPr>
        <w:pStyle w:val="TOC1"/>
        <w:rPr>
          <w:rFonts w:eastAsiaTheme="minorEastAsia" w:cstheme="minorBidi"/>
          <w:b w:val="0"/>
          <w:color w:val="auto"/>
          <w:sz w:val="22"/>
          <w:szCs w:val="22"/>
        </w:rPr>
      </w:pPr>
      <w:hyperlink w:anchor="_Toc516827449" w:history="1">
        <w:r w:rsidR="00D5669A" w:rsidRPr="00053736">
          <w:rPr>
            <w:rStyle w:val="Hyperlink"/>
          </w:rPr>
          <w:t>Improving economic outcomes for Australians</w:t>
        </w:r>
        <w:r w:rsidR="00D5669A">
          <w:rPr>
            <w:webHidden/>
          </w:rPr>
          <w:tab/>
        </w:r>
        <w:r w:rsidR="00D5669A">
          <w:rPr>
            <w:webHidden/>
          </w:rPr>
          <w:fldChar w:fldCharType="begin"/>
        </w:r>
        <w:r w:rsidR="00D5669A">
          <w:rPr>
            <w:webHidden/>
          </w:rPr>
          <w:instrText xml:space="preserve"> PAGEREF _Toc516827449 \h </w:instrText>
        </w:r>
        <w:r w:rsidR="00D5669A">
          <w:rPr>
            <w:webHidden/>
          </w:rPr>
        </w:r>
        <w:r w:rsidR="00D5669A">
          <w:rPr>
            <w:webHidden/>
          </w:rPr>
          <w:fldChar w:fldCharType="separate"/>
        </w:r>
        <w:r w:rsidR="00873964">
          <w:rPr>
            <w:webHidden/>
          </w:rPr>
          <w:t>31</w:t>
        </w:r>
        <w:r w:rsidR="00D5669A">
          <w:rPr>
            <w:webHidden/>
          </w:rPr>
          <w:fldChar w:fldCharType="end"/>
        </w:r>
      </w:hyperlink>
    </w:p>
    <w:p w14:paraId="4E5EB616" w14:textId="1D7A1ED1" w:rsidR="00D5669A" w:rsidRDefault="001D2BC0">
      <w:pPr>
        <w:pStyle w:val="TOC2"/>
        <w:rPr>
          <w:rFonts w:eastAsiaTheme="minorEastAsia" w:cstheme="minorBidi"/>
          <w:color w:val="auto"/>
          <w:sz w:val="22"/>
          <w:szCs w:val="22"/>
        </w:rPr>
      </w:pPr>
      <w:hyperlink w:anchor="_Toc516827450" w:history="1">
        <w:r w:rsidR="00D5669A" w:rsidRPr="00053736">
          <w:rPr>
            <w:rStyle w:val="Hyperlink"/>
          </w:rPr>
          <w:t>Trainee teachers accepting rural placements</w:t>
        </w:r>
        <w:r w:rsidR="00D5669A">
          <w:rPr>
            <w:webHidden/>
          </w:rPr>
          <w:tab/>
        </w:r>
        <w:r w:rsidR="00D5669A">
          <w:rPr>
            <w:webHidden/>
          </w:rPr>
          <w:fldChar w:fldCharType="begin"/>
        </w:r>
        <w:r w:rsidR="00D5669A">
          <w:rPr>
            <w:webHidden/>
          </w:rPr>
          <w:instrText xml:space="preserve"> PAGEREF _Toc516827450 \h </w:instrText>
        </w:r>
        <w:r w:rsidR="00D5669A">
          <w:rPr>
            <w:webHidden/>
          </w:rPr>
        </w:r>
        <w:r w:rsidR="00D5669A">
          <w:rPr>
            <w:webHidden/>
          </w:rPr>
          <w:fldChar w:fldCharType="separate"/>
        </w:r>
        <w:r w:rsidR="00873964">
          <w:rPr>
            <w:webHidden/>
          </w:rPr>
          <w:t>32</w:t>
        </w:r>
        <w:r w:rsidR="00D5669A">
          <w:rPr>
            <w:webHidden/>
          </w:rPr>
          <w:fldChar w:fldCharType="end"/>
        </w:r>
      </w:hyperlink>
    </w:p>
    <w:p w14:paraId="227C3B71" w14:textId="48C67519" w:rsidR="00D5669A" w:rsidRDefault="001D2BC0">
      <w:pPr>
        <w:pStyle w:val="TOC2"/>
        <w:rPr>
          <w:rFonts w:eastAsiaTheme="minorEastAsia" w:cstheme="minorBidi"/>
          <w:color w:val="auto"/>
          <w:sz w:val="22"/>
          <w:szCs w:val="22"/>
        </w:rPr>
      </w:pPr>
      <w:hyperlink w:anchor="_Toc516827451" w:history="1">
        <w:r w:rsidR="00D5669A" w:rsidRPr="00053736">
          <w:rPr>
            <w:rStyle w:val="Hyperlink"/>
          </w:rPr>
          <w:t>Increasing employment of disadvantaged job seekers via wage subsidies</w:t>
        </w:r>
        <w:r w:rsidR="00D5669A">
          <w:rPr>
            <w:webHidden/>
          </w:rPr>
          <w:tab/>
        </w:r>
        <w:r w:rsidR="00D5669A">
          <w:rPr>
            <w:webHidden/>
          </w:rPr>
          <w:fldChar w:fldCharType="begin"/>
        </w:r>
        <w:r w:rsidR="00D5669A">
          <w:rPr>
            <w:webHidden/>
          </w:rPr>
          <w:instrText xml:space="preserve"> PAGEREF _Toc516827451 \h </w:instrText>
        </w:r>
        <w:r w:rsidR="00D5669A">
          <w:rPr>
            <w:webHidden/>
          </w:rPr>
        </w:r>
        <w:r w:rsidR="00D5669A">
          <w:rPr>
            <w:webHidden/>
          </w:rPr>
          <w:fldChar w:fldCharType="separate"/>
        </w:r>
        <w:r w:rsidR="00873964">
          <w:rPr>
            <w:webHidden/>
          </w:rPr>
          <w:t>35</w:t>
        </w:r>
        <w:r w:rsidR="00D5669A">
          <w:rPr>
            <w:webHidden/>
          </w:rPr>
          <w:fldChar w:fldCharType="end"/>
        </w:r>
      </w:hyperlink>
    </w:p>
    <w:p w14:paraId="1301228A" w14:textId="6CF403B9" w:rsidR="00D5669A" w:rsidRDefault="001D2BC0">
      <w:pPr>
        <w:pStyle w:val="TOC1"/>
        <w:rPr>
          <w:rFonts w:eastAsiaTheme="minorEastAsia" w:cstheme="minorBidi"/>
          <w:b w:val="0"/>
          <w:color w:val="auto"/>
          <w:sz w:val="22"/>
          <w:szCs w:val="22"/>
        </w:rPr>
      </w:pPr>
      <w:hyperlink w:anchor="_Toc516827452" w:history="1">
        <w:r w:rsidR="00D5669A" w:rsidRPr="00053736">
          <w:rPr>
            <w:rStyle w:val="Hyperlink"/>
          </w:rPr>
          <w:t>Improving government service delivery</w:t>
        </w:r>
        <w:r w:rsidR="00D5669A">
          <w:rPr>
            <w:webHidden/>
          </w:rPr>
          <w:tab/>
        </w:r>
        <w:r w:rsidR="00D5669A">
          <w:rPr>
            <w:webHidden/>
          </w:rPr>
          <w:fldChar w:fldCharType="begin"/>
        </w:r>
        <w:r w:rsidR="00D5669A">
          <w:rPr>
            <w:webHidden/>
          </w:rPr>
          <w:instrText xml:space="preserve"> PAGEREF _Toc516827452 \h </w:instrText>
        </w:r>
        <w:r w:rsidR="00D5669A">
          <w:rPr>
            <w:webHidden/>
          </w:rPr>
        </w:r>
        <w:r w:rsidR="00D5669A">
          <w:rPr>
            <w:webHidden/>
          </w:rPr>
          <w:fldChar w:fldCharType="separate"/>
        </w:r>
        <w:r w:rsidR="00873964">
          <w:rPr>
            <w:webHidden/>
          </w:rPr>
          <w:t>38</w:t>
        </w:r>
        <w:r w:rsidR="00D5669A">
          <w:rPr>
            <w:webHidden/>
          </w:rPr>
          <w:fldChar w:fldCharType="end"/>
        </w:r>
      </w:hyperlink>
    </w:p>
    <w:p w14:paraId="2D96BC5C" w14:textId="4D17B341" w:rsidR="00D5669A" w:rsidRDefault="001D2BC0">
      <w:pPr>
        <w:pStyle w:val="TOC2"/>
        <w:rPr>
          <w:rFonts w:eastAsiaTheme="minorEastAsia" w:cstheme="minorBidi"/>
          <w:color w:val="auto"/>
          <w:sz w:val="22"/>
          <w:szCs w:val="22"/>
        </w:rPr>
      </w:pPr>
      <w:hyperlink w:anchor="_Toc516827453" w:history="1">
        <w:r w:rsidR="00D5669A" w:rsidRPr="00053736">
          <w:rPr>
            <w:rStyle w:val="Hyperlink"/>
          </w:rPr>
          <w:t>Encouraging greater survey completion to improve service delivery</w:t>
        </w:r>
        <w:r w:rsidR="00D5669A">
          <w:rPr>
            <w:webHidden/>
          </w:rPr>
          <w:tab/>
        </w:r>
        <w:r w:rsidR="00D5669A">
          <w:rPr>
            <w:webHidden/>
          </w:rPr>
          <w:fldChar w:fldCharType="begin"/>
        </w:r>
        <w:r w:rsidR="00D5669A">
          <w:rPr>
            <w:webHidden/>
          </w:rPr>
          <w:instrText xml:space="preserve"> PAGEREF _Toc516827453 \h </w:instrText>
        </w:r>
        <w:r w:rsidR="00D5669A">
          <w:rPr>
            <w:webHidden/>
          </w:rPr>
        </w:r>
        <w:r w:rsidR="00D5669A">
          <w:rPr>
            <w:webHidden/>
          </w:rPr>
          <w:fldChar w:fldCharType="separate"/>
        </w:r>
        <w:r w:rsidR="00873964">
          <w:rPr>
            <w:webHidden/>
          </w:rPr>
          <w:t>39</w:t>
        </w:r>
        <w:r w:rsidR="00D5669A">
          <w:rPr>
            <w:webHidden/>
          </w:rPr>
          <w:fldChar w:fldCharType="end"/>
        </w:r>
      </w:hyperlink>
    </w:p>
    <w:p w14:paraId="0AC4E00E" w14:textId="2E3A6B72" w:rsidR="00D5669A" w:rsidRDefault="001D2BC0">
      <w:pPr>
        <w:pStyle w:val="TOC2"/>
        <w:rPr>
          <w:rFonts w:eastAsiaTheme="minorEastAsia" w:cstheme="minorBidi"/>
          <w:color w:val="auto"/>
          <w:sz w:val="22"/>
          <w:szCs w:val="22"/>
        </w:rPr>
      </w:pPr>
      <w:hyperlink w:anchor="_Toc516827454" w:history="1">
        <w:r w:rsidR="00D5669A" w:rsidRPr="00053736">
          <w:rPr>
            <w:rStyle w:val="Hyperlink"/>
          </w:rPr>
          <w:t>Using text message reminders to help income support recipients to report on time</w:t>
        </w:r>
        <w:r w:rsidR="00D5669A">
          <w:rPr>
            <w:webHidden/>
          </w:rPr>
          <w:tab/>
        </w:r>
        <w:r w:rsidR="00D5669A">
          <w:rPr>
            <w:webHidden/>
          </w:rPr>
          <w:fldChar w:fldCharType="begin"/>
        </w:r>
        <w:r w:rsidR="00D5669A">
          <w:rPr>
            <w:webHidden/>
          </w:rPr>
          <w:instrText xml:space="preserve"> PAGEREF _Toc516827454 \h </w:instrText>
        </w:r>
        <w:r w:rsidR="00D5669A">
          <w:rPr>
            <w:webHidden/>
          </w:rPr>
        </w:r>
        <w:r w:rsidR="00D5669A">
          <w:rPr>
            <w:webHidden/>
          </w:rPr>
          <w:fldChar w:fldCharType="separate"/>
        </w:r>
        <w:r w:rsidR="00873964">
          <w:rPr>
            <w:webHidden/>
          </w:rPr>
          <w:t>42</w:t>
        </w:r>
        <w:r w:rsidR="00D5669A">
          <w:rPr>
            <w:webHidden/>
          </w:rPr>
          <w:fldChar w:fldCharType="end"/>
        </w:r>
      </w:hyperlink>
    </w:p>
    <w:p w14:paraId="3DD42944" w14:textId="752E055D" w:rsidR="00D5669A" w:rsidRDefault="001D2BC0">
      <w:pPr>
        <w:pStyle w:val="TOC2"/>
        <w:rPr>
          <w:rFonts w:eastAsiaTheme="minorEastAsia" w:cstheme="minorBidi"/>
          <w:color w:val="auto"/>
          <w:sz w:val="22"/>
          <w:szCs w:val="22"/>
        </w:rPr>
      </w:pPr>
      <w:hyperlink w:anchor="_Toc516827455" w:history="1">
        <w:r w:rsidR="00D5669A" w:rsidRPr="00053736">
          <w:rPr>
            <w:rStyle w:val="Hyperlink"/>
          </w:rPr>
          <w:t>Helpful tax payment reminders</w:t>
        </w:r>
        <w:r w:rsidR="00D5669A">
          <w:rPr>
            <w:webHidden/>
          </w:rPr>
          <w:tab/>
        </w:r>
        <w:r w:rsidR="00D5669A">
          <w:rPr>
            <w:webHidden/>
          </w:rPr>
          <w:fldChar w:fldCharType="begin"/>
        </w:r>
        <w:r w:rsidR="00D5669A">
          <w:rPr>
            <w:webHidden/>
          </w:rPr>
          <w:instrText xml:space="preserve"> PAGEREF _Toc516827455 \h </w:instrText>
        </w:r>
        <w:r w:rsidR="00D5669A">
          <w:rPr>
            <w:webHidden/>
          </w:rPr>
        </w:r>
        <w:r w:rsidR="00D5669A">
          <w:rPr>
            <w:webHidden/>
          </w:rPr>
          <w:fldChar w:fldCharType="separate"/>
        </w:r>
        <w:r w:rsidR="00873964">
          <w:rPr>
            <w:webHidden/>
          </w:rPr>
          <w:t>45</w:t>
        </w:r>
        <w:r w:rsidR="00D5669A">
          <w:rPr>
            <w:webHidden/>
          </w:rPr>
          <w:fldChar w:fldCharType="end"/>
        </w:r>
      </w:hyperlink>
    </w:p>
    <w:p w14:paraId="0F3FE7AE" w14:textId="282B8B99" w:rsidR="00D5669A" w:rsidRDefault="001D2BC0">
      <w:pPr>
        <w:pStyle w:val="TOC2"/>
        <w:rPr>
          <w:rFonts w:eastAsiaTheme="minorEastAsia" w:cstheme="minorBidi"/>
          <w:color w:val="auto"/>
          <w:sz w:val="22"/>
          <w:szCs w:val="22"/>
        </w:rPr>
      </w:pPr>
      <w:hyperlink w:anchor="_Toc516827456" w:history="1">
        <w:r w:rsidR="00D5669A" w:rsidRPr="00053736">
          <w:rPr>
            <w:rStyle w:val="Hyperlink"/>
          </w:rPr>
          <w:t>Encouraging businesses to remain tax compliant on the deferred goods and services scheme</w:t>
        </w:r>
        <w:r w:rsidR="00D5669A">
          <w:rPr>
            <w:webHidden/>
          </w:rPr>
          <w:tab/>
        </w:r>
        <w:r w:rsidR="00D5669A">
          <w:rPr>
            <w:webHidden/>
          </w:rPr>
          <w:fldChar w:fldCharType="begin"/>
        </w:r>
        <w:r w:rsidR="00D5669A">
          <w:rPr>
            <w:webHidden/>
          </w:rPr>
          <w:instrText xml:space="preserve"> PAGEREF _Toc516827456 \h </w:instrText>
        </w:r>
        <w:r w:rsidR="00D5669A">
          <w:rPr>
            <w:webHidden/>
          </w:rPr>
        </w:r>
        <w:r w:rsidR="00D5669A">
          <w:rPr>
            <w:webHidden/>
          </w:rPr>
          <w:fldChar w:fldCharType="separate"/>
        </w:r>
        <w:r w:rsidR="00873964">
          <w:rPr>
            <w:webHidden/>
          </w:rPr>
          <w:t>48</w:t>
        </w:r>
        <w:r w:rsidR="00D5669A">
          <w:rPr>
            <w:webHidden/>
          </w:rPr>
          <w:fldChar w:fldCharType="end"/>
        </w:r>
      </w:hyperlink>
    </w:p>
    <w:p w14:paraId="21A7A6C0" w14:textId="1C4798F1" w:rsidR="00D5669A" w:rsidRDefault="001D2BC0">
      <w:pPr>
        <w:pStyle w:val="TOC1"/>
        <w:rPr>
          <w:rFonts w:eastAsiaTheme="minorEastAsia" w:cstheme="minorBidi"/>
          <w:b w:val="0"/>
          <w:color w:val="auto"/>
          <w:sz w:val="22"/>
          <w:szCs w:val="22"/>
        </w:rPr>
      </w:pPr>
      <w:hyperlink w:anchor="_Toc516827457" w:history="1">
        <w:r w:rsidR="00D5669A" w:rsidRPr="00053736">
          <w:rPr>
            <w:rStyle w:val="Hyperlink"/>
          </w:rPr>
          <w:t>Fostering diversity and inclusion in Australian workplaces</w:t>
        </w:r>
        <w:r w:rsidR="00D5669A">
          <w:rPr>
            <w:webHidden/>
          </w:rPr>
          <w:tab/>
        </w:r>
        <w:r w:rsidR="00D5669A">
          <w:rPr>
            <w:webHidden/>
          </w:rPr>
          <w:fldChar w:fldCharType="begin"/>
        </w:r>
        <w:r w:rsidR="00D5669A">
          <w:rPr>
            <w:webHidden/>
          </w:rPr>
          <w:instrText xml:space="preserve"> PAGEREF _Toc516827457 \h </w:instrText>
        </w:r>
        <w:r w:rsidR="00D5669A">
          <w:rPr>
            <w:webHidden/>
          </w:rPr>
        </w:r>
        <w:r w:rsidR="00D5669A">
          <w:rPr>
            <w:webHidden/>
          </w:rPr>
          <w:fldChar w:fldCharType="separate"/>
        </w:r>
        <w:r w:rsidR="00873964">
          <w:rPr>
            <w:webHidden/>
          </w:rPr>
          <w:t>51</w:t>
        </w:r>
        <w:r w:rsidR="00D5669A">
          <w:rPr>
            <w:webHidden/>
          </w:rPr>
          <w:fldChar w:fldCharType="end"/>
        </w:r>
      </w:hyperlink>
    </w:p>
    <w:p w14:paraId="37B4D17E" w14:textId="57665BB3" w:rsidR="00D5669A" w:rsidRDefault="001D2BC0">
      <w:pPr>
        <w:pStyle w:val="TOC2"/>
        <w:rPr>
          <w:rFonts w:eastAsiaTheme="minorEastAsia" w:cstheme="minorBidi"/>
          <w:color w:val="auto"/>
          <w:sz w:val="22"/>
          <w:szCs w:val="22"/>
        </w:rPr>
      </w:pPr>
      <w:hyperlink w:anchor="_Toc516827458" w:history="1">
        <w:r w:rsidR="00D5669A" w:rsidRPr="00053736">
          <w:rPr>
            <w:rStyle w:val="Hyperlink"/>
          </w:rPr>
          <w:t>Investigating unconscious bias in Australian Public Service recruitment</w:t>
        </w:r>
        <w:r w:rsidR="00D5669A">
          <w:rPr>
            <w:webHidden/>
          </w:rPr>
          <w:tab/>
        </w:r>
        <w:r w:rsidR="00D5669A">
          <w:rPr>
            <w:webHidden/>
          </w:rPr>
          <w:fldChar w:fldCharType="begin"/>
        </w:r>
        <w:r w:rsidR="00D5669A">
          <w:rPr>
            <w:webHidden/>
          </w:rPr>
          <w:instrText xml:space="preserve"> PAGEREF _Toc516827458 \h </w:instrText>
        </w:r>
        <w:r w:rsidR="00D5669A">
          <w:rPr>
            <w:webHidden/>
          </w:rPr>
        </w:r>
        <w:r w:rsidR="00D5669A">
          <w:rPr>
            <w:webHidden/>
          </w:rPr>
          <w:fldChar w:fldCharType="separate"/>
        </w:r>
        <w:r w:rsidR="00873964">
          <w:rPr>
            <w:webHidden/>
          </w:rPr>
          <w:t>52</w:t>
        </w:r>
        <w:r w:rsidR="00D5669A">
          <w:rPr>
            <w:webHidden/>
          </w:rPr>
          <w:fldChar w:fldCharType="end"/>
        </w:r>
      </w:hyperlink>
    </w:p>
    <w:p w14:paraId="2ED59C07" w14:textId="1C39963B" w:rsidR="00D5669A" w:rsidRDefault="001D2BC0">
      <w:pPr>
        <w:pStyle w:val="TOC2"/>
        <w:rPr>
          <w:rFonts w:eastAsiaTheme="minorEastAsia" w:cstheme="minorBidi"/>
          <w:color w:val="auto"/>
          <w:sz w:val="22"/>
          <w:szCs w:val="22"/>
        </w:rPr>
      </w:pPr>
      <w:hyperlink w:anchor="_Toc516827459" w:history="1">
        <w:r w:rsidR="00D5669A" w:rsidRPr="00053736">
          <w:rPr>
            <w:rStyle w:val="Hyperlink"/>
          </w:rPr>
          <w:t>Encouraging flexible work to support employee choice</w:t>
        </w:r>
        <w:r w:rsidR="00D5669A">
          <w:rPr>
            <w:webHidden/>
          </w:rPr>
          <w:tab/>
        </w:r>
        <w:r w:rsidR="00D5669A">
          <w:rPr>
            <w:webHidden/>
          </w:rPr>
          <w:fldChar w:fldCharType="begin"/>
        </w:r>
        <w:r w:rsidR="00D5669A">
          <w:rPr>
            <w:webHidden/>
          </w:rPr>
          <w:instrText xml:space="preserve"> PAGEREF _Toc516827459 \h </w:instrText>
        </w:r>
        <w:r w:rsidR="00D5669A">
          <w:rPr>
            <w:webHidden/>
          </w:rPr>
        </w:r>
        <w:r w:rsidR="00D5669A">
          <w:rPr>
            <w:webHidden/>
          </w:rPr>
          <w:fldChar w:fldCharType="separate"/>
        </w:r>
        <w:r w:rsidR="00873964">
          <w:rPr>
            <w:webHidden/>
          </w:rPr>
          <w:t>55</w:t>
        </w:r>
        <w:r w:rsidR="00D5669A">
          <w:rPr>
            <w:webHidden/>
          </w:rPr>
          <w:fldChar w:fldCharType="end"/>
        </w:r>
      </w:hyperlink>
    </w:p>
    <w:p w14:paraId="53CF766F" w14:textId="6DE8EB8A" w:rsidR="00D5669A" w:rsidRDefault="001D2BC0">
      <w:pPr>
        <w:pStyle w:val="TOC1"/>
        <w:rPr>
          <w:rFonts w:eastAsiaTheme="minorEastAsia" w:cstheme="minorBidi"/>
          <w:b w:val="0"/>
          <w:color w:val="auto"/>
          <w:sz w:val="22"/>
          <w:szCs w:val="22"/>
        </w:rPr>
      </w:pPr>
      <w:hyperlink w:anchor="_Toc516827460" w:history="1">
        <w:r w:rsidR="00D5669A" w:rsidRPr="00053736">
          <w:rPr>
            <w:rStyle w:val="Hyperlink"/>
          </w:rPr>
          <w:t>Improving consumer decisions in a changing world</w:t>
        </w:r>
        <w:r w:rsidR="00D5669A">
          <w:rPr>
            <w:webHidden/>
          </w:rPr>
          <w:tab/>
        </w:r>
        <w:r w:rsidR="00D5669A">
          <w:rPr>
            <w:webHidden/>
          </w:rPr>
          <w:fldChar w:fldCharType="begin"/>
        </w:r>
        <w:r w:rsidR="00D5669A">
          <w:rPr>
            <w:webHidden/>
          </w:rPr>
          <w:instrText xml:space="preserve"> PAGEREF _Toc516827460 \h </w:instrText>
        </w:r>
        <w:r w:rsidR="00D5669A">
          <w:rPr>
            <w:webHidden/>
          </w:rPr>
        </w:r>
        <w:r w:rsidR="00D5669A">
          <w:rPr>
            <w:webHidden/>
          </w:rPr>
          <w:fldChar w:fldCharType="separate"/>
        </w:r>
        <w:r w:rsidR="00873964">
          <w:rPr>
            <w:webHidden/>
          </w:rPr>
          <w:t>58</w:t>
        </w:r>
        <w:r w:rsidR="00D5669A">
          <w:rPr>
            <w:webHidden/>
          </w:rPr>
          <w:fldChar w:fldCharType="end"/>
        </w:r>
      </w:hyperlink>
    </w:p>
    <w:p w14:paraId="58FF5B83" w14:textId="7E515BAB" w:rsidR="00D5669A" w:rsidRDefault="001D2BC0">
      <w:pPr>
        <w:pStyle w:val="TOC2"/>
        <w:rPr>
          <w:rFonts w:eastAsiaTheme="minorEastAsia" w:cstheme="minorBidi"/>
          <w:color w:val="auto"/>
          <w:sz w:val="22"/>
          <w:szCs w:val="22"/>
        </w:rPr>
      </w:pPr>
      <w:hyperlink w:anchor="_Toc516827461" w:history="1">
        <w:r w:rsidR="00D5669A" w:rsidRPr="00053736">
          <w:rPr>
            <w:rStyle w:val="Hyperlink"/>
          </w:rPr>
          <w:t>Supporting older Australians in retirement income planning</w:t>
        </w:r>
        <w:r w:rsidR="00D5669A">
          <w:rPr>
            <w:webHidden/>
          </w:rPr>
          <w:tab/>
        </w:r>
        <w:r w:rsidR="00D5669A">
          <w:rPr>
            <w:webHidden/>
          </w:rPr>
          <w:fldChar w:fldCharType="begin"/>
        </w:r>
        <w:r w:rsidR="00D5669A">
          <w:rPr>
            <w:webHidden/>
          </w:rPr>
          <w:instrText xml:space="preserve"> PAGEREF _Toc516827461 \h </w:instrText>
        </w:r>
        <w:r w:rsidR="00D5669A">
          <w:rPr>
            <w:webHidden/>
          </w:rPr>
        </w:r>
        <w:r w:rsidR="00D5669A">
          <w:rPr>
            <w:webHidden/>
          </w:rPr>
          <w:fldChar w:fldCharType="separate"/>
        </w:r>
        <w:r w:rsidR="00873964">
          <w:rPr>
            <w:webHidden/>
          </w:rPr>
          <w:t>59</w:t>
        </w:r>
        <w:r w:rsidR="00D5669A">
          <w:rPr>
            <w:webHidden/>
          </w:rPr>
          <w:fldChar w:fldCharType="end"/>
        </w:r>
      </w:hyperlink>
    </w:p>
    <w:p w14:paraId="57668C9A" w14:textId="279559A0" w:rsidR="00D5669A" w:rsidRDefault="001D2BC0">
      <w:pPr>
        <w:pStyle w:val="TOC2"/>
        <w:rPr>
          <w:rFonts w:eastAsiaTheme="minorEastAsia" w:cstheme="minorBidi"/>
          <w:color w:val="auto"/>
          <w:sz w:val="22"/>
          <w:szCs w:val="22"/>
        </w:rPr>
      </w:pPr>
      <w:hyperlink w:anchor="_Toc516827462" w:history="1">
        <w:r w:rsidR="00D5669A" w:rsidRPr="00053736">
          <w:rPr>
            <w:rStyle w:val="Hyperlink"/>
          </w:rPr>
          <w:t>Saying more with less: simplifying energy fact sheets</w:t>
        </w:r>
        <w:r w:rsidR="00D5669A">
          <w:rPr>
            <w:webHidden/>
          </w:rPr>
          <w:tab/>
        </w:r>
        <w:r w:rsidR="00D5669A">
          <w:rPr>
            <w:webHidden/>
          </w:rPr>
          <w:fldChar w:fldCharType="begin"/>
        </w:r>
        <w:r w:rsidR="00D5669A">
          <w:rPr>
            <w:webHidden/>
          </w:rPr>
          <w:instrText xml:space="preserve"> PAGEREF _Toc516827462 \h </w:instrText>
        </w:r>
        <w:r w:rsidR="00D5669A">
          <w:rPr>
            <w:webHidden/>
          </w:rPr>
        </w:r>
        <w:r w:rsidR="00D5669A">
          <w:rPr>
            <w:webHidden/>
          </w:rPr>
          <w:fldChar w:fldCharType="separate"/>
        </w:r>
        <w:r w:rsidR="00873964">
          <w:rPr>
            <w:webHidden/>
          </w:rPr>
          <w:t>62</w:t>
        </w:r>
        <w:r w:rsidR="00D5669A">
          <w:rPr>
            <w:webHidden/>
          </w:rPr>
          <w:fldChar w:fldCharType="end"/>
        </w:r>
      </w:hyperlink>
    </w:p>
    <w:p w14:paraId="142CCBE3" w14:textId="5611B95E" w:rsidR="00D5669A" w:rsidRDefault="001D2BC0">
      <w:pPr>
        <w:pStyle w:val="TOC2"/>
        <w:rPr>
          <w:rFonts w:eastAsiaTheme="minorEastAsia" w:cstheme="minorBidi"/>
          <w:color w:val="auto"/>
          <w:sz w:val="22"/>
          <w:szCs w:val="22"/>
        </w:rPr>
      </w:pPr>
      <w:hyperlink w:anchor="_Toc516827463" w:history="1">
        <w:r w:rsidR="00D5669A" w:rsidRPr="00053736">
          <w:rPr>
            <w:rStyle w:val="Hyperlink"/>
          </w:rPr>
          <w:t>Detailed pricing information increases confidence but not understanding</w:t>
        </w:r>
        <w:r w:rsidR="00D5669A">
          <w:rPr>
            <w:webHidden/>
          </w:rPr>
          <w:tab/>
        </w:r>
        <w:r w:rsidR="00D5669A">
          <w:rPr>
            <w:webHidden/>
          </w:rPr>
          <w:fldChar w:fldCharType="begin"/>
        </w:r>
        <w:r w:rsidR="00D5669A">
          <w:rPr>
            <w:webHidden/>
          </w:rPr>
          <w:instrText xml:space="preserve"> PAGEREF _Toc516827463 \h </w:instrText>
        </w:r>
        <w:r w:rsidR="00D5669A">
          <w:rPr>
            <w:webHidden/>
          </w:rPr>
        </w:r>
        <w:r w:rsidR="00D5669A">
          <w:rPr>
            <w:webHidden/>
          </w:rPr>
          <w:fldChar w:fldCharType="separate"/>
        </w:r>
        <w:r w:rsidR="00873964">
          <w:rPr>
            <w:webHidden/>
          </w:rPr>
          <w:t>66</w:t>
        </w:r>
        <w:r w:rsidR="00D5669A">
          <w:rPr>
            <w:webHidden/>
          </w:rPr>
          <w:fldChar w:fldCharType="end"/>
        </w:r>
      </w:hyperlink>
    </w:p>
    <w:p w14:paraId="15967213" w14:textId="677E514C" w:rsidR="00D5669A" w:rsidRDefault="001D2BC0">
      <w:pPr>
        <w:pStyle w:val="TOC2"/>
        <w:rPr>
          <w:rFonts w:eastAsiaTheme="minorEastAsia" w:cstheme="minorBidi"/>
          <w:color w:val="auto"/>
          <w:sz w:val="22"/>
          <w:szCs w:val="22"/>
        </w:rPr>
      </w:pPr>
      <w:hyperlink w:anchor="_Toc516827464" w:history="1">
        <w:r w:rsidR="00D5669A" w:rsidRPr="00053736">
          <w:rPr>
            <w:rStyle w:val="Hyperlink"/>
          </w:rPr>
          <w:t>Teens ethics and technology: Making  moral decisions in the online world</w:t>
        </w:r>
        <w:r w:rsidR="00D5669A">
          <w:rPr>
            <w:webHidden/>
          </w:rPr>
          <w:tab/>
        </w:r>
        <w:r w:rsidR="00D5669A">
          <w:rPr>
            <w:webHidden/>
          </w:rPr>
          <w:fldChar w:fldCharType="begin"/>
        </w:r>
        <w:r w:rsidR="00D5669A">
          <w:rPr>
            <w:webHidden/>
          </w:rPr>
          <w:instrText xml:space="preserve"> PAGEREF _Toc516827464 \h </w:instrText>
        </w:r>
        <w:r w:rsidR="00D5669A">
          <w:rPr>
            <w:webHidden/>
          </w:rPr>
        </w:r>
        <w:r w:rsidR="00D5669A">
          <w:rPr>
            <w:webHidden/>
          </w:rPr>
          <w:fldChar w:fldCharType="separate"/>
        </w:r>
        <w:r w:rsidR="00873964">
          <w:rPr>
            <w:webHidden/>
          </w:rPr>
          <w:t>70</w:t>
        </w:r>
        <w:r w:rsidR="00D5669A">
          <w:rPr>
            <w:webHidden/>
          </w:rPr>
          <w:fldChar w:fldCharType="end"/>
        </w:r>
      </w:hyperlink>
    </w:p>
    <w:p w14:paraId="47A2F5A1" w14:textId="415D751C" w:rsidR="00D5669A" w:rsidRDefault="001D2BC0">
      <w:pPr>
        <w:pStyle w:val="TOC1"/>
        <w:rPr>
          <w:rFonts w:eastAsiaTheme="minorEastAsia" w:cstheme="minorBidi"/>
          <w:b w:val="0"/>
          <w:color w:val="auto"/>
          <w:sz w:val="22"/>
          <w:szCs w:val="22"/>
        </w:rPr>
      </w:pPr>
      <w:hyperlink w:anchor="_Toc516827465" w:history="1">
        <w:r w:rsidR="00D5669A" w:rsidRPr="00053736">
          <w:rPr>
            <w:rStyle w:val="Hyperlink"/>
          </w:rPr>
          <w:t>What’s coming  up – stay tuned!</w:t>
        </w:r>
        <w:r w:rsidR="00D5669A">
          <w:rPr>
            <w:webHidden/>
          </w:rPr>
          <w:tab/>
        </w:r>
        <w:r w:rsidR="00D5669A">
          <w:rPr>
            <w:webHidden/>
          </w:rPr>
          <w:fldChar w:fldCharType="begin"/>
        </w:r>
        <w:r w:rsidR="00D5669A">
          <w:rPr>
            <w:webHidden/>
          </w:rPr>
          <w:instrText xml:space="preserve"> PAGEREF _Toc516827465 \h </w:instrText>
        </w:r>
        <w:r w:rsidR="00D5669A">
          <w:rPr>
            <w:webHidden/>
          </w:rPr>
        </w:r>
        <w:r w:rsidR="00D5669A">
          <w:rPr>
            <w:webHidden/>
          </w:rPr>
          <w:fldChar w:fldCharType="separate"/>
        </w:r>
        <w:r w:rsidR="00873964">
          <w:rPr>
            <w:webHidden/>
          </w:rPr>
          <w:t>73</w:t>
        </w:r>
        <w:r w:rsidR="00D5669A">
          <w:rPr>
            <w:webHidden/>
          </w:rPr>
          <w:fldChar w:fldCharType="end"/>
        </w:r>
      </w:hyperlink>
    </w:p>
    <w:p w14:paraId="51B5FA34" w14:textId="56CFEB70" w:rsidR="00D5669A" w:rsidRDefault="001D2BC0">
      <w:pPr>
        <w:pStyle w:val="TOC2"/>
        <w:rPr>
          <w:rFonts w:eastAsiaTheme="minorEastAsia" w:cstheme="minorBidi"/>
          <w:color w:val="auto"/>
          <w:sz w:val="22"/>
          <w:szCs w:val="22"/>
        </w:rPr>
      </w:pPr>
      <w:hyperlink w:anchor="_Toc516827466" w:history="1">
        <w:r w:rsidR="00D5669A" w:rsidRPr="00053736">
          <w:rPr>
            <w:rStyle w:val="Hyperlink"/>
          </w:rPr>
          <w:t>Strengthening students’ resilience</w:t>
        </w:r>
        <w:r w:rsidR="00D5669A">
          <w:rPr>
            <w:webHidden/>
          </w:rPr>
          <w:tab/>
        </w:r>
        <w:r w:rsidR="00D5669A">
          <w:rPr>
            <w:webHidden/>
          </w:rPr>
          <w:fldChar w:fldCharType="begin"/>
        </w:r>
        <w:r w:rsidR="00D5669A">
          <w:rPr>
            <w:webHidden/>
          </w:rPr>
          <w:instrText xml:space="preserve"> PAGEREF _Toc516827466 \h </w:instrText>
        </w:r>
        <w:r w:rsidR="00D5669A">
          <w:rPr>
            <w:webHidden/>
          </w:rPr>
        </w:r>
        <w:r w:rsidR="00D5669A">
          <w:rPr>
            <w:webHidden/>
          </w:rPr>
          <w:fldChar w:fldCharType="separate"/>
        </w:r>
        <w:r w:rsidR="00873964">
          <w:rPr>
            <w:webHidden/>
          </w:rPr>
          <w:t>74</w:t>
        </w:r>
        <w:r w:rsidR="00D5669A">
          <w:rPr>
            <w:webHidden/>
          </w:rPr>
          <w:fldChar w:fldCharType="end"/>
        </w:r>
      </w:hyperlink>
    </w:p>
    <w:p w14:paraId="4D4C7920" w14:textId="64670A3D" w:rsidR="00D5669A" w:rsidRDefault="001D2BC0">
      <w:pPr>
        <w:pStyle w:val="TOC2"/>
        <w:rPr>
          <w:rFonts w:eastAsiaTheme="minorEastAsia" w:cstheme="minorBidi"/>
          <w:color w:val="auto"/>
          <w:sz w:val="22"/>
          <w:szCs w:val="22"/>
        </w:rPr>
      </w:pPr>
      <w:hyperlink w:anchor="_Toc516827467" w:history="1">
        <w:r w:rsidR="00D5669A" w:rsidRPr="00053736">
          <w:rPr>
            <w:rStyle w:val="Hyperlink"/>
          </w:rPr>
          <w:t>Beyond disclosure: performance based approaches to financial regulation</w:t>
        </w:r>
        <w:r w:rsidR="00D5669A">
          <w:rPr>
            <w:webHidden/>
          </w:rPr>
          <w:tab/>
        </w:r>
        <w:r w:rsidR="00D5669A">
          <w:rPr>
            <w:webHidden/>
          </w:rPr>
          <w:fldChar w:fldCharType="begin"/>
        </w:r>
        <w:r w:rsidR="00D5669A">
          <w:rPr>
            <w:webHidden/>
          </w:rPr>
          <w:instrText xml:space="preserve"> PAGEREF _Toc516827467 \h </w:instrText>
        </w:r>
        <w:r w:rsidR="00D5669A">
          <w:rPr>
            <w:webHidden/>
          </w:rPr>
        </w:r>
        <w:r w:rsidR="00D5669A">
          <w:rPr>
            <w:webHidden/>
          </w:rPr>
          <w:fldChar w:fldCharType="separate"/>
        </w:r>
        <w:r w:rsidR="00873964">
          <w:rPr>
            <w:webHidden/>
          </w:rPr>
          <w:t>75</w:t>
        </w:r>
        <w:r w:rsidR="00D5669A">
          <w:rPr>
            <w:webHidden/>
          </w:rPr>
          <w:fldChar w:fldCharType="end"/>
        </w:r>
      </w:hyperlink>
    </w:p>
    <w:p w14:paraId="09CFB178" w14:textId="6CEBE5E3" w:rsidR="00D5669A" w:rsidRDefault="001D2BC0">
      <w:pPr>
        <w:pStyle w:val="TOC1"/>
        <w:rPr>
          <w:rFonts w:eastAsiaTheme="minorEastAsia" w:cstheme="minorBidi"/>
          <w:b w:val="0"/>
          <w:color w:val="auto"/>
          <w:sz w:val="22"/>
          <w:szCs w:val="22"/>
        </w:rPr>
      </w:pPr>
      <w:hyperlink w:anchor="_Toc516827468" w:history="1">
        <w:r w:rsidR="00D5669A" w:rsidRPr="00053736">
          <w:rPr>
            <w:rStyle w:val="Hyperlink"/>
          </w:rPr>
          <w:t>Directory of contacts</w:t>
        </w:r>
        <w:r w:rsidR="00D5669A">
          <w:rPr>
            <w:webHidden/>
          </w:rPr>
          <w:tab/>
        </w:r>
        <w:r w:rsidR="00D5669A">
          <w:rPr>
            <w:webHidden/>
          </w:rPr>
          <w:fldChar w:fldCharType="begin"/>
        </w:r>
        <w:r w:rsidR="00D5669A">
          <w:rPr>
            <w:webHidden/>
          </w:rPr>
          <w:instrText xml:space="preserve"> PAGEREF _Toc516827468 \h </w:instrText>
        </w:r>
        <w:r w:rsidR="00D5669A">
          <w:rPr>
            <w:webHidden/>
          </w:rPr>
        </w:r>
        <w:r w:rsidR="00D5669A">
          <w:rPr>
            <w:webHidden/>
          </w:rPr>
          <w:fldChar w:fldCharType="separate"/>
        </w:r>
        <w:r w:rsidR="00873964">
          <w:rPr>
            <w:webHidden/>
          </w:rPr>
          <w:t>76</w:t>
        </w:r>
        <w:r w:rsidR="00D5669A">
          <w:rPr>
            <w:webHidden/>
          </w:rPr>
          <w:fldChar w:fldCharType="end"/>
        </w:r>
      </w:hyperlink>
    </w:p>
    <w:p w14:paraId="7FD81132" w14:textId="7F0B4F08" w:rsidR="00D5669A" w:rsidRDefault="001D2BC0" w:rsidP="00D5669A">
      <w:pPr>
        <w:pStyle w:val="TOC1"/>
        <w:pBdr>
          <w:top w:val="single" w:sz="4" w:space="4" w:color="auto"/>
        </w:pBdr>
        <w:rPr>
          <w:rFonts w:eastAsiaTheme="minorEastAsia" w:cstheme="minorBidi"/>
          <w:b w:val="0"/>
          <w:color w:val="auto"/>
          <w:sz w:val="22"/>
          <w:szCs w:val="22"/>
        </w:rPr>
      </w:pPr>
      <w:hyperlink w:anchor="_Toc516827469" w:history="1">
        <w:r w:rsidR="00D5669A" w:rsidRPr="00053736">
          <w:rPr>
            <w:rStyle w:val="Hyperlink"/>
          </w:rPr>
          <w:t>References</w:t>
        </w:r>
        <w:r w:rsidR="00D5669A">
          <w:rPr>
            <w:webHidden/>
          </w:rPr>
          <w:tab/>
        </w:r>
        <w:r w:rsidR="00D5669A">
          <w:rPr>
            <w:webHidden/>
          </w:rPr>
          <w:fldChar w:fldCharType="begin"/>
        </w:r>
        <w:r w:rsidR="00D5669A">
          <w:rPr>
            <w:webHidden/>
          </w:rPr>
          <w:instrText xml:space="preserve"> PAGEREF _Toc516827469 \h </w:instrText>
        </w:r>
        <w:r w:rsidR="00D5669A">
          <w:rPr>
            <w:webHidden/>
          </w:rPr>
        </w:r>
        <w:r w:rsidR="00D5669A">
          <w:rPr>
            <w:webHidden/>
          </w:rPr>
          <w:fldChar w:fldCharType="separate"/>
        </w:r>
        <w:r w:rsidR="00873964">
          <w:rPr>
            <w:webHidden/>
          </w:rPr>
          <w:t>77</w:t>
        </w:r>
        <w:r w:rsidR="00D5669A">
          <w:rPr>
            <w:webHidden/>
          </w:rPr>
          <w:fldChar w:fldCharType="end"/>
        </w:r>
      </w:hyperlink>
    </w:p>
    <w:p w14:paraId="1707C49E" w14:textId="1378D667" w:rsidR="00C708EB" w:rsidRDefault="004476F5" w:rsidP="004E3FC0">
      <w:pPr>
        <w:pStyle w:val="TOC1"/>
        <w:jc w:val="both"/>
        <w:rPr>
          <w:b w:val="0"/>
        </w:rPr>
      </w:pPr>
      <w:r>
        <w:fldChar w:fldCharType="end"/>
      </w:r>
    </w:p>
    <w:p w14:paraId="21A6E987" w14:textId="77777777" w:rsidR="004476F5" w:rsidRDefault="004476F5" w:rsidP="004E3FC0">
      <w:pPr>
        <w:jc w:val="both"/>
        <w:sectPr w:rsidR="004476F5" w:rsidSect="00272E56">
          <w:headerReference w:type="default" r:id="rId25"/>
          <w:footerReference w:type="default" r:id="rId26"/>
          <w:pgSz w:w="11906" w:h="16838" w:code="9"/>
          <w:pgMar w:top="1474" w:right="1985" w:bottom="1247" w:left="1418" w:header="680" w:footer="680" w:gutter="0"/>
          <w:pgNumType w:fmt="lowerRoman"/>
          <w:cols w:space="708"/>
          <w:titlePg/>
          <w:docGrid w:linePitch="360"/>
        </w:sectPr>
      </w:pPr>
    </w:p>
    <w:p w14:paraId="4FBA5686" w14:textId="249B184C" w:rsidR="002614D6" w:rsidRPr="00394950" w:rsidRDefault="00252756" w:rsidP="004E3FC0">
      <w:pPr>
        <w:ind w:left="567"/>
        <w:jc w:val="both"/>
      </w:pPr>
      <w:bookmarkStart w:id="5" w:name="_Toc511295862"/>
      <w:r w:rsidRPr="00394950">
        <w:rPr>
          <w:noProof/>
        </w:rPr>
        <w:lastRenderedPageBreak/>
        <w:drawing>
          <wp:anchor distT="0" distB="0" distL="114300" distR="114300" simplePos="0" relativeHeight="251739648" behindDoc="0" locked="0" layoutInCell="1" allowOverlap="1" wp14:anchorId="3CD1F949" wp14:editId="1DA6D737">
            <wp:simplePos x="0" y="0"/>
            <wp:positionH relativeFrom="column">
              <wp:align>left</wp:align>
            </wp:positionH>
            <wp:positionV relativeFrom="paragraph">
              <wp:align>top</wp:align>
            </wp:positionV>
            <wp:extent cx="1259280" cy="1259280"/>
            <wp:effectExtent l="0" t="0" r="0" b="0"/>
            <wp:wrapSquare wrapText="bothSides"/>
            <wp:docPr id="81" name="Picture 81" descr="Health"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59280" cy="1259280"/>
                    </a:xfrm>
                    <a:prstGeom prst="rect">
                      <a:avLst/>
                    </a:prstGeom>
                  </pic:spPr>
                </pic:pic>
              </a:graphicData>
            </a:graphic>
          </wp:anchor>
        </w:drawing>
      </w:r>
      <w:bookmarkEnd w:id="5"/>
      <w:r w:rsidR="00BB3286">
        <w:br w:type="textWrapping" w:clear="all"/>
      </w:r>
    </w:p>
    <w:p w14:paraId="27869D46" w14:textId="0D9262F7" w:rsidR="00F91A5C" w:rsidRPr="000C7425" w:rsidRDefault="00220DBB" w:rsidP="000C7425">
      <w:pPr>
        <w:pStyle w:val="Heading2"/>
      </w:pPr>
      <w:bookmarkStart w:id="6" w:name="_Toc515874426"/>
      <w:bookmarkStart w:id="7" w:name="_Toc515874497"/>
      <w:bookmarkStart w:id="8" w:name="_Toc515874667"/>
      <w:bookmarkStart w:id="9" w:name="_Toc516827438"/>
      <w:r w:rsidRPr="000C7425">
        <w:t>Improving</w:t>
      </w:r>
      <w:r w:rsidRPr="000C7425">
        <w:br/>
      </w:r>
      <w:r w:rsidR="00F91A5C" w:rsidRPr="000C7425">
        <w:t>the health of Australians</w:t>
      </w:r>
      <w:bookmarkEnd w:id="6"/>
      <w:bookmarkEnd w:id="7"/>
      <w:bookmarkEnd w:id="8"/>
      <w:bookmarkEnd w:id="9"/>
    </w:p>
    <w:p w14:paraId="5118371D" w14:textId="77777777" w:rsidR="001A05C3" w:rsidRPr="001A05C3" w:rsidRDefault="00F660CC" w:rsidP="001A05C3">
      <w:pPr>
        <w:pStyle w:val="Heading3"/>
        <w:framePr w:hSpace="0" w:wrap="auto" w:vAnchor="margin" w:hAnchor="text" w:xAlign="left" w:yAlign="inline"/>
        <w:spacing w:after="240"/>
        <w:ind w:right="-851"/>
      </w:pPr>
      <w:r>
        <w:br w:type="page"/>
      </w:r>
      <w:r w:rsidR="001A05C3">
        <w:lastRenderedPageBreak/>
        <w:t xml:space="preserve">Nudge v. superbugs: Reducing </w:t>
      </w:r>
      <w:r w:rsidR="001A05C3" w:rsidRPr="00057568">
        <w:t>overprescribing of antibiotics</w:t>
      </w:r>
    </w:p>
    <w:p w14:paraId="2C035037" w14:textId="167CB46F" w:rsidR="00F660CC" w:rsidRDefault="00496C3E" w:rsidP="00496C3E">
      <w:pPr>
        <w:pStyle w:val="h4"/>
      </w:pPr>
      <w:r>
        <w:t>Abstract</w:t>
      </w:r>
    </w:p>
    <w:p w14:paraId="7B3BFA51" w14:textId="22372C0E" w:rsidR="00496C3E" w:rsidRDefault="00496C3E" w:rsidP="004E3FC0">
      <w:pPr>
        <w:spacing w:before="0" w:after="0" w:line="240" w:lineRule="auto"/>
        <w:jc w:val="both"/>
      </w:pPr>
    </w:p>
    <w:p w14:paraId="157DDD0C" w14:textId="7F4D2840" w:rsidR="00496C3E" w:rsidRDefault="00496C3E" w:rsidP="00496C3E">
      <w:pPr>
        <w:pStyle w:val="h4"/>
      </w:pPr>
      <w:r w:rsidRPr="0004074A">
        <w:rPr>
          <w:noProof/>
        </w:rPr>
        <w:drawing>
          <wp:anchor distT="0" distB="0" distL="114300" distR="114300" simplePos="0" relativeHeight="251755008" behindDoc="0" locked="0" layoutInCell="1" allowOverlap="1" wp14:anchorId="4A8F7CF9" wp14:editId="3FE68B40">
            <wp:simplePos x="0" y="0"/>
            <wp:positionH relativeFrom="column">
              <wp:posOffset>3397885</wp:posOffset>
            </wp:positionH>
            <wp:positionV relativeFrom="paragraph">
              <wp:posOffset>216222</wp:posOffset>
            </wp:positionV>
            <wp:extent cx="1499235" cy="558800"/>
            <wp:effectExtent l="0" t="0" r="5715" b="0"/>
            <wp:wrapNone/>
            <wp:docPr id="22" name="Picture 22"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MC10234\Pictures\BETA Logo.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923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5EF">
        <w:rPr>
          <w:noProof/>
        </w:rPr>
        <w:drawing>
          <wp:anchor distT="0" distB="0" distL="114300" distR="114300" simplePos="0" relativeHeight="251752960" behindDoc="0" locked="0" layoutInCell="1" allowOverlap="1" wp14:anchorId="59C19680" wp14:editId="4E0E0E98">
            <wp:simplePos x="0" y="0"/>
            <wp:positionH relativeFrom="column">
              <wp:posOffset>1623695</wp:posOffset>
            </wp:positionH>
            <wp:positionV relativeFrom="paragraph">
              <wp:posOffset>211142</wp:posOffset>
            </wp:positionV>
            <wp:extent cx="1014730" cy="929005"/>
            <wp:effectExtent l="0" t="0" r="0" b="4445"/>
            <wp:wrapNone/>
            <wp:docPr id="301" name="Picture 301" descr="Behavioural Economics Research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rt Log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14730" cy="929005"/>
                    </a:xfrm>
                    <a:prstGeom prst="rect">
                      <a:avLst/>
                    </a:prstGeom>
                    <a:noFill/>
                  </pic:spPr>
                </pic:pic>
              </a:graphicData>
            </a:graphic>
            <wp14:sizeRelH relativeFrom="page">
              <wp14:pctWidth>0</wp14:pctWidth>
            </wp14:sizeRelH>
            <wp14:sizeRelV relativeFrom="page">
              <wp14:pctHeight>0</wp14:pctHeight>
            </wp14:sizeRelV>
          </wp:anchor>
        </w:drawing>
      </w:r>
      <w:r w:rsidRPr="0004074A">
        <w:rPr>
          <w:noProof/>
        </w:rPr>
        <w:drawing>
          <wp:anchor distT="0" distB="0" distL="114300" distR="114300" simplePos="0" relativeHeight="251742720" behindDoc="0" locked="0" layoutInCell="1" allowOverlap="1" wp14:anchorId="53C2B851" wp14:editId="25F2E5F8">
            <wp:simplePos x="0" y="0"/>
            <wp:positionH relativeFrom="column">
              <wp:posOffset>3476625</wp:posOffset>
            </wp:positionH>
            <wp:positionV relativeFrom="paragraph">
              <wp:posOffset>5424805</wp:posOffset>
            </wp:positionV>
            <wp:extent cx="1499235" cy="558800"/>
            <wp:effectExtent l="0" t="0" r="5715" b="0"/>
            <wp:wrapNone/>
            <wp:docPr id="13" name="Picture 13"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MC10234\Pictures\BETA Logo.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9235" cy="558800"/>
                    </a:xfrm>
                    <a:prstGeom prst="rect">
                      <a:avLst/>
                    </a:prstGeom>
                    <a:noFill/>
                    <a:ln>
                      <a:noFill/>
                    </a:ln>
                  </pic:spPr>
                </pic:pic>
              </a:graphicData>
            </a:graphic>
            <wp14:sizeRelH relativeFrom="page">
              <wp14:pctWidth>0</wp14:pctWidth>
            </wp14:sizeRelH>
            <wp14:sizeRelV relativeFrom="page">
              <wp14:pctHeight>0</wp14:pctHeight>
            </wp14:sizeRelV>
          </wp:anchor>
        </w:drawing>
      </w:r>
      <w:r>
        <w:t>Project by</w:t>
      </w:r>
    </w:p>
    <w:p w14:paraId="5ECAB25D" w14:textId="317B10F7" w:rsidR="00496C3E" w:rsidRDefault="00496C3E" w:rsidP="00496C3E"/>
    <w:tbl>
      <w:tblPr>
        <w:tblStyle w:val="TableGrid"/>
        <w:tblpPr w:leftFromText="180" w:rightFromText="180" w:vertAnchor="page" w:horzAnchor="margin" w:tblpY="4606"/>
        <w:tblW w:w="8993" w:type="dxa"/>
        <w:tblLayout w:type="fixed"/>
        <w:tblLook w:val="04A0" w:firstRow="1" w:lastRow="0" w:firstColumn="1" w:lastColumn="0" w:noHBand="0" w:noVBand="1"/>
        <w:tblCaption w:val="Nudge v. superbugs: Reducing overprescribing of antibiotics"/>
        <w:tblDescription w:val="A text box description of a trial aiming to reduce prescriptions of antibiotics by GPs"/>
      </w:tblPr>
      <w:tblGrid>
        <w:gridCol w:w="8993"/>
      </w:tblGrid>
      <w:tr w:rsidR="001A05C3" w14:paraId="27B95CC0" w14:textId="77777777" w:rsidTr="00496C3E">
        <w:trPr>
          <w:trHeight w:val="4263"/>
        </w:trPr>
        <w:tc>
          <w:tcPr>
            <w:tcW w:w="8993" w:type="dxa"/>
            <w:shd w:val="clear" w:color="auto" w:fill="D9D9D9" w:themeFill="background1" w:themeFillShade="D9"/>
          </w:tcPr>
          <w:p w14:paraId="0ADAAB71" w14:textId="77777777" w:rsidR="001A05C3" w:rsidRPr="004E3FC0" w:rsidRDefault="001A05C3" w:rsidP="001A05C3">
            <w:pPr>
              <w:spacing w:after="240" w:line="320" w:lineRule="auto"/>
              <w:rPr>
                <w:rFonts w:ascii="Helvetica" w:eastAsia="Helvetica" w:hAnsi="Helvetica" w:cs="Helvetica"/>
                <w:color w:val="3F3F3F"/>
                <w:sz w:val="24"/>
              </w:rPr>
            </w:pPr>
            <w:r w:rsidRPr="004E3FC0">
              <w:rPr>
                <w:rFonts w:ascii="Helvetica" w:eastAsia="Helvetica" w:hAnsi="Helvetica" w:cs="Helvetica"/>
                <w:color w:val="3F3F3F"/>
                <w:sz w:val="24"/>
              </w:rPr>
              <w:t>The rise of antimicrobial resistance is a global health problem. Thus, it is important antibiotics are only prescribed when it is clinically appropriate.</w:t>
            </w:r>
          </w:p>
          <w:p w14:paraId="01EFB997" w14:textId="77777777" w:rsidR="001A05C3" w:rsidRPr="004E3FC0" w:rsidRDefault="001A05C3" w:rsidP="001A05C3">
            <w:pPr>
              <w:spacing w:after="240" w:line="320" w:lineRule="auto"/>
              <w:rPr>
                <w:rFonts w:ascii="Helvetica" w:eastAsia="Helvetica" w:hAnsi="Helvetica" w:cs="Helvetica"/>
                <w:color w:val="3F3F3F"/>
                <w:sz w:val="24"/>
              </w:rPr>
            </w:pPr>
            <w:r w:rsidRPr="004E3FC0">
              <w:rPr>
                <w:rFonts w:ascii="Helvetica" w:eastAsia="Helvetica" w:hAnsi="Helvetica" w:cs="Helvetica"/>
                <w:color w:val="3F3F3F"/>
                <w:sz w:val="24"/>
              </w:rPr>
              <w:t>We undertook a randomised controlled trial with 6,649 general practitioners (GPs) with high antibiotic prescribing rates. GPs were randomly assigned by clinic to one of five different groups. The GPs in the control group received no letter; the GPs in the four intervention groups were sent letters (either an education-only letter or one of three versions of a peer comparison letter) from Australia’s Chief Medical Officer.</w:t>
            </w:r>
          </w:p>
          <w:p w14:paraId="64AF776C" w14:textId="77777777" w:rsidR="001A05C3" w:rsidRPr="004E3FC0" w:rsidRDefault="001A05C3" w:rsidP="001A05C3">
            <w:pPr>
              <w:spacing w:after="240" w:line="320" w:lineRule="auto"/>
              <w:rPr>
                <w:rFonts w:ascii="Helvetica" w:eastAsia="Helvetica" w:hAnsi="Helvetica" w:cs="Helvetica"/>
                <w:color w:val="3F3F3F"/>
                <w:sz w:val="24"/>
              </w:rPr>
            </w:pPr>
            <w:r w:rsidRPr="004E3FC0">
              <w:rPr>
                <w:rFonts w:ascii="Helvetica" w:eastAsia="Helvetica" w:hAnsi="Helvetica" w:cs="Helvetica"/>
                <w:color w:val="3F3F3F"/>
                <w:sz w:val="24"/>
              </w:rPr>
              <w:t xml:space="preserve">Overall, we estimate 126,352 fewer scripts were filled over the six-month period as a result of the letters. The peer comparison </w:t>
            </w:r>
            <w:r>
              <w:rPr>
                <w:rFonts w:ascii="Helvetica" w:eastAsia="Helvetica" w:hAnsi="Helvetica" w:cs="Helvetica"/>
                <w:color w:val="3F3F3F"/>
                <w:sz w:val="24"/>
              </w:rPr>
              <w:t xml:space="preserve">letters had substantial impact. </w:t>
            </w:r>
            <w:r w:rsidRPr="004E3FC0">
              <w:rPr>
                <w:rFonts w:ascii="Helvetica" w:eastAsia="Helvetica" w:hAnsi="Helvetica" w:cs="Helvetica"/>
                <w:color w:val="3F3F3F"/>
                <w:sz w:val="24"/>
              </w:rPr>
              <w:t xml:space="preserve">The </w:t>
            </w:r>
            <w:r>
              <w:rPr>
                <w:rFonts w:ascii="Helvetica" w:eastAsia="Helvetica" w:hAnsi="Helvetica" w:cs="Helvetica"/>
                <w:color w:val="3F3F3F"/>
                <w:sz w:val="24"/>
              </w:rPr>
              <w:t xml:space="preserve">most effective </w:t>
            </w:r>
            <w:r w:rsidRPr="004E3FC0">
              <w:rPr>
                <w:rFonts w:ascii="Helvetica" w:eastAsia="Helvetica" w:hAnsi="Helvetica" w:cs="Helvetica"/>
                <w:color w:val="3F3F3F"/>
                <w:sz w:val="24"/>
              </w:rPr>
              <w:t>letter</w:t>
            </w:r>
            <w:r>
              <w:rPr>
                <w:rFonts w:ascii="Helvetica" w:eastAsia="Helvetica" w:hAnsi="Helvetica" w:cs="Helvetica"/>
                <w:color w:val="3F3F3F"/>
                <w:sz w:val="24"/>
              </w:rPr>
              <w:t xml:space="preserve"> </w:t>
            </w:r>
            <w:r w:rsidRPr="004E3FC0">
              <w:rPr>
                <w:rFonts w:ascii="Helvetica" w:eastAsia="Helvetica" w:hAnsi="Helvetica" w:cs="Helvetica"/>
                <w:color w:val="3F3F3F"/>
                <w:sz w:val="24"/>
              </w:rPr>
              <w:t>included a graph of the doctor’s prescribing behaviour relative to their peers</w:t>
            </w:r>
            <w:r>
              <w:rPr>
                <w:rFonts w:ascii="Helvetica" w:eastAsia="Helvetica" w:hAnsi="Helvetica" w:cs="Helvetica"/>
                <w:color w:val="3F3F3F"/>
                <w:sz w:val="24"/>
              </w:rPr>
              <w:t>, and resulted in a</w:t>
            </w:r>
            <w:r w:rsidRPr="004E3FC0">
              <w:rPr>
                <w:rFonts w:ascii="Helvetica" w:eastAsia="Helvetica" w:hAnsi="Helvetica" w:cs="Helvetica"/>
                <w:color w:val="3F3F3F"/>
                <w:sz w:val="24"/>
              </w:rPr>
              <w:t xml:space="preserve"> 12.3 per cent reduction in prescription rates</w:t>
            </w:r>
            <w:r>
              <w:rPr>
                <w:rFonts w:ascii="Helvetica" w:eastAsia="Helvetica" w:hAnsi="Helvetica" w:cs="Helvetica"/>
                <w:color w:val="3F3F3F"/>
                <w:sz w:val="24"/>
              </w:rPr>
              <w:t>.</w:t>
            </w:r>
          </w:p>
          <w:p w14:paraId="3A855276" w14:textId="242EC669" w:rsidR="001A05C3" w:rsidRPr="004E3FC0" w:rsidRDefault="001A05C3" w:rsidP="001A05C3">
            <w:pPr>
              <w:spacing w:after="240" w:line="320" w:lineRule="auto"/>
              <w:rPr>
                <w:rFonts w:ascii="Helvetica" w:eastAsia="Helvetica" w:hAnsi="Helvetica" w:cs="Helvetica"/>
                <w:color w:val="3F3F3F"/>
                <w:sz w:val="24"/>
              </w:rPr>
            </w:pPr>
            <w:r w:rsidRPr="004E3FC0">
              <w:rPr>
                <w:rFonts w:ascii="Helvetica" w:eastAsia="Helvetica" w:hAnsi="Helvetica" w:cs="Helvetica"/>
                <w:color w:val="3F3F3F"/>
                <w:sz w:val="24"/>
              </w:rPr>
              <w:t>The results of our trial demonstrate a peer comparison letter from a respected authority – the Chief Medical Officer – can have large impacts on antibiotic prescribing by Australian GPs.</w:t>
            </w:r>
          </w:p>
        </w:tc>
      </w:tr>
    </w:tbl>
    <w:p w14:paraId="6CB4DB26" w14:textId="1BE19B55" w:rsidR="00251049" w:rsidRDefault="00251049" w:rsidP="00D33213">
      <w:pPr>
        <w:pStyle w:val="h4"/>
      </w:pPr>
      <w:r>
        <w:lastRenderedPageBreak/>
        <w:t>The policy problem</w:t>
      </w:r>
    </w:p>
    <w:p w14:paraId="3223F0DF" w14:textId="4BE56675" w:rsidR="00917FE2" w:rsidRDefault="00917FE2" w:rsidP="00573712">
      <w:pPr>
        <w:rPr>
          <w:rFonts w:eastAsia="Helvetica"/>
        </w:rPr>
      </w:pPr>
      <w:r w:rsidRPr="00917FE2">
        <w:rPr>
          <w:rFonts w:eastAsia="Helvetica"/>
        </w:rPr>
        <w:t>Antimicrobial resistance is one of the biggest threats to human health today.</w:t>
      </w:r>
      <w:r>
        <w:rPr>
          <w:rStyle w:val="FootnoteReference"/>
          <w:color w:val="auto"/>
        </w:rPr>
        <w:footnoteReference w:id="2"/>
      </w:r>
      <w:r>
        <w:rPr>
          <w:rFonts w:ascii="Times New Roman" w:hAnsi="Times New Roman"/>
          <w:color w:val="auto"/>
          <w:sz w:val="24"/>
          <w:szCs w:val="24"/>
        </w:rPr>
        <w:t xml:space="preserve"> </w:t>
      </w:r>
      <w:r w:rsidR="00550E97" w:rsidRPr="00897A33">
        <w:rPr>
          <w:rFonts w:eastAsia="Helvetica"/>
        </w:rPr>
        <w:t>Antimicrobial resistance occurs when microorganisms</w:t>
      </w:r>
      <w:r>
        <w:rPr>
          <w:rFonts w:eastAsia="Helvetica"/>
        </w:rPr>
        <w:t>, such as bacteria,</w:t>
      </w:r>
      <w:r w:rsidR="00550E97" w:rsidRPr="00897A33">
        <w:rPr>
          <w:rFonts w:eastAsia="Helvetica"/>
        </w:rPr>
        <w:t xml:space="preserve"> become resistant to </w:t>
      </w:r>
      <w:r>
        <w:rPr>
          <w:rFonts w:eastAsia="Helvetica"/>
        </w:rPr>
        <w:t xml:space="preserve">antimicrobial medicine, such as </w:t>
      </w:r>
      <w:r w:rsidR="00550E97" w:rsidRPr="00897A33">
        <w:rPr>
          <w:rFonts w:eastAsia="Helvetica"/>
        </w:rPr>
        <w:t xml:space="preserve">antibiotics. </w:t>
      </w:r>
      <w:r>
        <w:rPr>
          <w:rFonts w:eastAsia="Helvetica"/>
        </w:rPr>
        <w:t>Resistant</w:t>
      </w:r>
      <w:r w:rsidR="00550E97" w:rsidRPr="00897A33">
        <w:rPr>
          <w:rFonts w:eastAsia="Helvetica"/>
        </w:rPr>
        <w:t xml:space="preserve"> infections </w:t>
      </w:r>
      <w:r>
        <w:rPr>
          <w:rFonts w:eastAsia="Helvetica"/>
        </w:rPr>
        <w:t>are more difficult to treat and, in some cases, are</w:t>
      </w:r>
      <w:r w:rsidR="00550E97" w:rsidRPr="00897A33">
        <w:rPr>
          <w:rFonts w:eastAsia="Helvetica"/>
        </w:rPr>
        <w:t xml:space="preserve"> untreatable.</w:t>
      </w:r>
      <w:r w:rsidR="00550E97" w:rsidRPr="00897A33">
        <w:rPr>
          <w:rStyle w:val="FootnoteReference"/>
        </w:rPr>
        <w:footnoteReference w:id="3"/>
      </w:r>
      <w:r w:rsidR="00550E97" w:rsidRPr="00897A33">
        <w:rPr>
          <w:rFonts w:eastAsia="Helvetica"/>
        </w:rPr>
        <w:t xml:space="preserve"> </w:t>
      </w:r>
      <w:r>
        <w:rPr>
          <w:rFonts w:eastAsia="Helvetica"/>
        </w:rPr>
        <w:t>Antimicrobial resistance</w:t>
      </w:r>
      <w:r w:rsidRPr="00917FE2">
        <w:rPr>
          <w:rFonts w:eastAsia="Helvetica"/>
        </w:rPr>
        <w:t xml:space="preserve"> can affect anyone, of any age, and in any country.</w:t>
      </w:r>
    </w:p>
    <w:p w14:paraId="63DDA3B2" w14:textId="5B29F802" w:rsidR="0096069C" w:rsidRDefault="0096069C" w:rsidP="00573712">
      <w:r>
        <w:rPr>
          <w:rFonts w:eastAsia="Helvetica"/>
        </w:rPr>
        <w:t xml:space="preserve">The strongest contributor is antibiotic use. </w:t>
      </w:r>
      <w:r w:rsidRPr="0096069C">
        <w:rPr>
          <w:rFonts w:eastAsia="Helvetica"/>
        </w:rPr>
        <w:t>Australians use a lot of antibiotics and this increases the chance for bacteria to develop resistance to antibiotics.</w:t>
      </w:r>
      <w:r w:rsidRPr="0096069C">
        <w:rPr>
          <w:rStyle w:val="FootnoteReference"/>
        </w:rPr>
        <w:footnoteReference w:id="4"/>
      </w:r>
      <w:r w:rsidRPr="0096069C">
        <w:rPr>
          <w:rStyle w:val="FootnoteReference"/>
        </w:rPr>
        <w:t xml:space="preserve"> </w:t>
      </w:r>
    </w:p>
    <w:p w14:paraId="4A7C455D" w14:textId="48470A72" w:rsidR="00917FE2" w:rsidRPr="00917FE2" w:rsidRDefault="00917FE2" w:rsidP="00573712">
      <w:pPr>
        <w:rPr>
          <w:rFonts w:eastAsia="Helvetica"/>
        </w:rPr>
      </w:pPr>
      <w:r>
        <w:t>Within Australia, GPs currently prescribe the greatest portion of antibiotics due to the types of illnesses seen an</w:t>
      </w:r>
      <w:r w:rsidR="005B64ED">
        <w:t>d the large volumes of patients</w:t>
      </w:r>
      <w:r w:rsidR="00550E97" w:rsidRPr="00897A33">
        <w:rPr>
          <w:rFonts w:eastAsia="Helvetica"/>
        </w:rPr>
        <w:t>.</w:t>
      </w:r>
      <w:r w:rsidR="00550E97" w:rsidRPr="00897A33">
        <w:rPr>
          <w:rFonts w:cs="Arial"/>
          <w:vertAlign w:val="superscript"/>
        </w:rPr>
        <w:footnoteReference w:id="5"/>
      </w:r>
      <w:r w:rsidR="005B64ED">
        <w:rPr>
          <w:rFonts w:eastAsia="Helvetica"/>
        </w:rPr>
        <w:t xml:space="preserve"> </w:t>
      </w:r>
      <w:r>
        <w:t xml:space="preserve">This makes GPs important partners in efforts to minimise </w:t>
      </w:r>
      <w:r w:rsidR="005B64ED">
        <w:t>antimicrobial resistance</w:t>
      </w:r>
      <w:r>
        <w:t>.</w:t>
      </w:r>
    </w:p>
    <w:p w14:paraId="22B19B5A" w14:textId="77777777" w:rsidR="00251049" w:rsidRDefault="00251049" w:rsidP="00D33213">
      <w:pPr>
        <w:pStyle w:val="h4"/>
      </w:pPr>
      <w:r>
        <w:t>Our findings and learnings</w:t>
      </w:r>
    </w:p>
    <w:p w14:paraId="20BCD3D1" w14:textId="28320BF7" w:rsidR="00A83D56" w:rsidRPr="00897A33" w:rsidRDefault="00A83D56" w:rsidP="00573712">
      <w:pPr>
        <w:rPr>
          <w:rFonts w:eastAsia="Helvetica"/>
        </w:rPr>
      </w:pPr>
      <w:r w:rsidRPr="00F305AE">
        <w:rPr>
          <w:rFonts w:eastAsia="Helvetica"/>
        </w:rPr>
        <w:t xml:space="preserve">In 2017, Australia’s Chief Medical Officer wrote to </w:t>
      </w:r>
      <w:r w:rsidR="00F305AE" w:rsidRPr="00F305AE">
        <w:rPr>
          <w:rFonts w:eastAsia="Helvetica"/>
        </w:rPr>
        <w:t xml:space="preserve">high-prescribing </w:t>
      </w:r>
      <w:r w:rsidRPr="00F305AE">
        <w:rPr>
          <w:rFonts w:eastAsia="Helvetica"/>
        </w:rPr>
        <w:t>GPs</w:t>
      </w:r>
      <w:r w:rsidR="006E151A" w:rsidRPr="00F305AE">
        <w:rPr>
          <w:rFonts w:eastAsia="Helvetica"/>
        </w:rPr>
        <w:t xml:space="preserve"> </w:t>
      </w:r>
      <w:r w:rsidR="00B95A15">
        <w:rPr>
          <w:rFonts w:eastAsia="Helvetica"/>
        </w:rPr>
        <w:t>(i.e., whose prescribing rates were in the top 30 per cent of</w:t>
      </w:r>
      <w:r w:rsidR="006E151A" w:rsidRPr="00F305AE">
        <w:rPr>
          <w:rFonts w:eastAsia="Helvetica"/>
        </w:rPr>
        <w:t xml:space="preserve"> their region</w:t>
      </w:r>
      <w:r w:rsidR="00B95A15">
        <w:rPr>
          <w:rFonts w:eastAsia="Helvetica"/>
        </w:rPr>
        <w:t>)</w:t>
      </w:r>
      <w:r w:rsidRPr="00F305AE" w:rsidDel="00BB4B7F">
        <w:rPr>
          <w:rFonts w:eastAsia="Helvetica"/>
        </w:rPr>
        <w:t>.</w:t>
      </w:r>
      <w:r w:rsidRPr="00F305AE">
        <w:rPr>
          <w:rStyle w:val="FootnoteReference"/>
        </w:rPr>
        <w:footnoteReference w:id="6"/>
      </w:r>
      <w:r w:rsidR="00BB4B7F" w:rsidRPr="00F305AE">
        <w:rPr>
          <w:rFonts w:eastAsia="Helvetica"/>
        </w:rPr>
        <w:t xml:space="preserve"> </w:t>
      </w:r>
      <w:r w:rsidR="00AD5A91" w:rsidRPr="00F305AE">
        <w:rPr>
          <w:rFonts w:eastAsia="Helvetica"/>
        </w:rPr>
        <w:t>We applied</w:t>
      </w:r>
      <w:r w:rsidR="00AD5A91">
        <w:rPr>
          <w:rFonts w:eastAsia="Helvetica"/>
        </w:rPr>
        <w:t xml:space="preserve"> behavioural insights to design the</w:t>
      </w:r>
      <w:r w:rsidR="00BB4B7F" w:rsidRPr="00BB4B7F">
        <w:rPr>
          <w:rFonts w:eastAsia="Helvetica"/>
        </w:rPr>
        <w:t xml:space="preserve"> letters</w:t>
      </w:r>
      <w:r w:rsidR="00AD5A91">
        <w:rPr>
          <w:rFonts w:eastAsia="Helvetica"/>
        </w:rPr>
        <w:t>, which</w:t>
      </w:r>
      <w:r w:rsidR="00BB4B7F" w:rsidRPr="00BB4B7F">
        <w:rPr>
          <w:rFonts w:eastAsia="Helvetica"/>
        </w:rPr>
        <w:t xml:space="preserve"> aimed to prompt GPs to reflect on whether there were opportunities to reduce prescribing where appropriate and safe.</w:t>
      </w:r>
      <w:r w:rsidR="00AD5A91">
        <w:rPr>
          <w:rFonts w:eastAsia="Helvetica"/>
        </w:rPr>
        <w:t xml:space="preserve"> </w:t>
      </w:r>
      <w:r w:rsidR="005B64ED" w:rsidRPr="005B64ED">
        <w:rPr>
          <w:rFonts w:eastAsia="Helvetica"/>
        </w:rPr>
        <w:t>The letters were sent on 9</w:t>
      </w:r>
      <w:r w:rsidR="005B64ED">
        <w:rPr>
          <w:rFonts w:eastAsia="Helvetica"/>
        </w:rPr>
        <w:t> </w:t>
      </w:r>
      <w:r w:rsidR="005B64ED" w:rsidRPr="005B64ED">
        <w:rPr>
          <w:rFonts w:eastAsia="Helvetica"/>
        </w:rPr>
        <w:t>June, just before the rapid increase in prescribing which occurs during the cold and flu season.</w:t>
      </w:r>
    </w:p>
    <w:p w14:paraId="0D39AD93" w14:textId="49FA6F8B" w:rsidR="00A83D56" w:rsidRPr="00897A33" w:rsidRDefault="00A83D56" w:rsidP="00573712">
      <w:pPr>
        <w:rPr>
          <w:rFonts w:eastAsia="Helvetica"/>
        </w:rPr>
      </w:pPr>
      <w:r w:rsidRPr="00897A33">
        <w:rPr>
          <w:rFonts w:eastAsia="Helvetica"/>
        </w:rPr>
        <w:t>In total, 6,649 GPs were randomly allocated by clinic to one of five different groups</w:t>
      </w:r>
      <w:r w:rsidR="005B64ED">
        <w:rPr>
          <w:rFonts w:eastAsia="Helvetica"/>
        </w:rPr>
        <w:t xml:space="preserve">. One group </w:t>
      </w:r>
      <w:r w:rsidR="00654EC6">
        <w:rPr>
          <w:rFonts w:eastAsia="Helvetica"/>
        </w:rPr>
        <w:t>did not receive a</w:t>
      </w:r>
      <w:r w:rsidR="005B64ED">
        <w:rPr>
          <w:rFonts w:eastAsia="Helvetica"/>
        </w:rPr>
        <w:t xml:space="preserve"> letter. GPs in the remaining groups received one of four letters</w:t>
      </w:r>
      <w:r w:rsidRPr="00897A33">
        <w:rPr>
          <w:rFonts w:eastAsia="Helvetica"/>
        </w:rPr>
        <w:t>:</w:t>
      </w:r>
    </w:p>
    <w:p w14:paraId="40D034F8" w14:textId="6FA3F362" w:rsidR="005B64ED" w:rsidRPr="005B64ED" w:rsidRDefault="003B3D2D" w:rsidP="003A373A">
      <w:pPr>
        <w:pStyle w:val="ListParagraph"/>
        <w:numPr>
          <w:ilvl w:val="0"/>
          <w:numId w:val="22"/>
        </w:numPr>
        <w:rPr>
          <w:rFonts w:eastAsia="Helvetica"/>
        </w:rPr>
      </w:pPr>
      <w:r>
        <w:rPr>
          <w:rFonts w:eastAsia="Helvetica"/>
          <w:b/>
        </w:rPr>
        <w:t>An e</w:t>
      </w:r>
      <w:r w:rsidR="005B64ED" w:rsidRPr="005B64ED">
        <w:rPr>
          <w:rFonts w:eastAsia="Helvetica"/>
          <w:b/>
        </w:rPr>
        <w:t xml:space="preserve">ducation-only letter </w:t>
      </w:r>
      <w:r w:rsidR="005B64ED" w:rsidRPr="005B64ED">
        <w:rPr>
          <w:rFonts w:eastAsia="Helvetica"/>
        </w:rPr>
        <w:t xml:space="preserve">containing the usual education messages about </w:t>
      </w:r>
      <w:r w:rsidR="005B64ED">
        <w:rPr>
          <w:rFonts w:eastAsia="Helvetica"/>
        </w:rPr>
        <w:t>antimicrobial resistance</w:t>
      </w:r>
      <w:r w:rsidR="005B64ED" w:rsidRPr="005B64ED">
        <w:rPr>
          <w:rFonts w:eastAsia="Helvetica"/>
        </w:rPr>
        <w:t>, antibiotic prescribing and two education posters.</w:t>
      </w:r>
    </w:p>
    <w:p w14:paraId="0E8CF054" w14:textId="2AB47DB4" w:rsidR="005B64ED" w:rsidRPr="005B64ED" w:rsidRDefault="003B3D2D" w:rsidP="003A373A">
      <w:pPr>
        <w:pStyle w:val="ListParagraph"/>
        <w:numPr>
          <w:ilvl w:val="0"/>
          <w:numId w:val="22"/>
        </w:numPr>
        <w:rPr>
          <w:rFonts w:eastAsia="Helvetica"/>
        </w:rPr>
      </w:pPr>
      <w:r>
        <w:rPr>
          <w:rFonts w:eastAsia="Helvetica"/>
          <w:b/>
        </w:rPr>
        <w:t>An e</w:t>
      </w:r>
      <w:r w:rsidR="005B64ED" w:rsidRPr="005B64ED">
        <w:rPr>
          <w:rFonts w:eastAsia="Helvetica"/>
          <w:b/>
        </w:rPr>
        <w:t>ducation with peer comparison letter</w:t>
      </w:r>
      <w:r w:rsidR="005B64ED" w:rsidRPr="005B64ED">
        <w:rPr>
          <w:rFonts w:eastAsia="Helvetica"/>
        </w:rPr>
        <w:t xml:space="preserve"> including the same education information as the education-only letter </w:t>
      </w:r>
      <w:r w:rsidR="005B64ED">
        <w:rPr>
          <w:rFonts w:eastAsia="Helvetica"/>
        </w:rPr>
        <w:t xml:space="preserve">above </w:t>
      </w:r>
      <w:r w:rsidR="005B64ED" w:rsidRPr="005B64ED">
        <w:rPr>
          <w:rFonts w:eastAsia="Helvetica"/>
        </w:rPr>
        <w:t>and a tagline providing the GP with their prescribing rate compared to peers in their region.</w:t>
      </w:r>
      <w:r w:rsidR="007D33D4">
        <w:rPr>
          <w:rFonts w:eastAsia="Helvetica"/>
        </w:rPr>
        <w:softHyphen/>
      </w:r>
      <w:r w:rsidR="007D33D4">
        <w:rPr>
          <w:rFonts w:eastAsia="Helvetica"/>
        </w:rPr>
        <w:softHyphen/>
      </w:r>
    </w:p>
    <w:p w14:paraId="4FEC7F03" w14:textId="667DC64B" w:rsidR="005B64ED" w:rsidRPr="005B64ED" w:rsidRDefault="003B3D2D" w:rsidP="003A373A">
      <w:pPr>
        <w:pStyle w:val="ListParagraph"/>
        <w:numPr>
          <w:ilvl w:val="0"/>
          <w:numId w:val="22"/>
        </w:numPr>
        <w:rPr>
          <w:rFonts w:eastAsia="Helvetica"/>
        </w:rPr>
      </w:pPr>
      <w:r>
        <w:rPr>
          <w:rFonts w:eastAsia="Helvetica"/>
          <w:b/>
        </w:rPr>
        <w:t>A p</w:t>
      </w:r>
      <w:r w:rsidR="005B64ED" w:rsidRPr="005B64ED">
        <w:rPr>
          <w:rFonts w:eastAsia="Helvetica"/>
          <w:b/>
        </w:rPr>
        <w:t>eer comparison with graph letter</w:t>
      </w:r>
      <w:r w:rsidR="005B64ED" w:rsidRPr="005B64ED">
        <w:rPr>
          <w:rFonts w:eastAsia="Helvetica"/>
        </w:rPr>
        <w:t xml:space="preserve"> including the peer comparison tagline along with a visual attention-grabbing graph.</w:t>
      </w:r>
    </w:p>
    <w:p w14:paraId="3ED16E48" w14:textId="04658C94" w:rsidR="005B64ED" w:rsidRPr="005B64ED" w:rsidRDefault="003B3D2D" w:rsidP="003A373A">
      <w:pPr>
        <w:pStyle w:val="ListParagraph"/>
        <w:numPr>
          <w:ilvl w:val="0"/>
          <w:numId w:val="22"/>
        </w:numPr>
        <w:rPr>
          <w:rFonts w:eastAsia="Helvetica"/>
        </w:rPr>
      </w:pPr>
      <w:r>
        <w:rPr>
          <w:rFonts w:eastAsia="Helvetica"/>
          <w:b/>
        </w:rPr>
        <w:t>A p</w:t>
      </w:r>
      <w:r w:rsidR="005B64ED" w:rsidRPr="005B64ED">
        <w:rPr>
          <w:rFonts w:eastAsia="Helvetica"/>
          <w:b/>
        </w:rPr>
        <w:t>eer comparison with delayed prescribing</w:t>
      </w:r>
      <w:r w:rsidR="005B64ED" w:rsidRPr="005B64ED">
        <w:rPr>
          <w:rFonts w:eastAsia="Helvetica"/>
        </w:rPr>
        <w:t xml:space="preserve"> letter including the peer comparison tagline wi</w:t>
      </w:r>
      <w:r w:rsidR="00654EC6">
        <w:rPr>
          <w:rFonts w:eastAsia="Helvetica"/>
        </w:rPr>
        <w:t>th delayed prescribing material.</w:t>
      </w:r>
    </w:p>
    <w:p w14:paraId="744058D2" w14:textId="77777777" w:rsidR="00573712" w:rsidRPr="005B64ED" w:rsidRDefault="00573712" w:rsidP="00573712">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429E4F99" w14:textId="77777777" w:rsidTr="008C083D">
        <w:trPr>
          <w:trHeight w:val="1"/>
        </w:trPr>
        <w:tc>
          <w:tcPr>
            <w:tcW w:w="5000" w:type="pct"/>
            <w:shd w:val="clear" w:color="auto" w:fill="F2F2F2"/>
            <w:tcMar>
              <w:left w:w="108" w:type="dxa"/>
              <w:right w:w="108" w:type="dxa"/>
            </w:tcMar>
          </w:tcPr>
          <w:p w14:paraId="3D628F0C" w14:textId="0FFBCB4C" w:rsidR="00251049" w:rsidRDefault="001D551B" w:rsidP="00D33213">
            <w:pPr>
              <w:spacing w:line="259" w:lineRule="auto"/>
              <w:jc w:val="both"/>
              <w:outlineLvl w:val="5"/>
              <w:rPr>
                <w:rFonts w:ascii="Helvetica" w:eastAsia="Helvetica" w:hAnsi="Helvetica" w:cs="Helvetica"/>
                <w:b/>
                <w:color w:val="142E3B"/>
                <w:sz w:val="24"/>
              </w:rPr>
            </w:pPr>
            <w:r>
              <w:rPr>
                <w:i/>
                <w:iCs/>
                <w:noProof/>
                <w:color w:val="142E3B" w:themeColor="accent6"/>
                <w:sz w:val="28"/>
              </w:rPr>
              <w:drawing>
                <wp:anchor distT="0" distB="0" distL="0" distR="114300" simplePos="0" relativeHeight="251606528" behindDoc="1" locked="0" layoutInCell="1" allowOverlap="1" wp14:anchorId="49B2CAC5" wp14:editId="6E4D7CD7">
                  <wp:simplePos x="0" y="0"/>
                  <wp:positionH relativeFrom="margin">
                    <wp:posOffset>-635</wp:posOffset>
                  </wp:positionH>
                  <wp:positionV relativeFrom="paragraph">
                    <wp:posOffset>54382</wp:posOffset>
                  </wp:positionV>
                  <wp:extent cx="370800" cy="370800"/>
                  <wp:effectExtent l="0" t="0" r="0" b="0"/>
                  <wp:wrapTight wrapText="bothSides">
                    <wp:wrapPolygon edited="0">
                      <wp:start x="0" y="0"/>
                      <wp:lineTo x="0" y="20007"/>
                      <wp:lineTo x="20007" y="20007"/>
                      <wp:lineTo x="20007" y="0"/>
                      <wp:lineTo x="0" y="0"/>
                    </wp:wrapPolygon>
                  </wp:wrapTight>
                  <wp:docPr id="31" name="Picture 31" descr="Behavioural Insight"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091696A8" w14:textId="709E578A" w:rsidR="00251049" w:rsidRDefault="00251049" w:rsidP="00E32588">
            <w:pPr>
              <w:spacing w:line="260" w:lineRule="auto"/>
              <w:jc w:val="both"/>
            </w:pPr>
            <w:r w:rsidRPr="00E702C3">
              <w:rPr>
                <w:rFonts w:ascii="Helvetica" w:eastAsia="Helvetica" w:hAnsi="Helvetica" w:cs="Helvetica"/>
                <w:b/>
                <w:color w:val="auto"/>
              </w:rPr>
              <w:t>Peer comparison feedback</w:t>
            </w:r>
            <w:r w:rsidRPr="00E702C3">
              <w:rPr>
                <w:rFonts w:ascii="Helvetica" w:eastAsia="Helvetica" w:hAnsi="Helvetica" w:cs="Helvetica"/>
                <w:color w:val="auto"/>
              </w:rPr>
              <w:t xml:space="preserve"> </w:t>
            </w:r>
            <w:r>
              <w:rPr>
                <w:rFonts w:ascii="Helvetica" w:eastAsia="Helvetica" w:hAnsi="Helvetica" w:cs="Helvetica"/>
                <w:color w:val="3F3F3F"/>
              </w:rPr>
              <w:t xml:space="preserve">encourages people to do what most other people do. </w:t>
            </w:r>
            <w:r w:rsidR="00957643">
              <w:rPr>
                <w:rFonts w:ascii="Helvetica" w:eastAsia="Helvetica" w:hAnsi="Helvetica" w:cs="Helvetica"/>
                <w:color w:val="3F3F3F"/>
              </w:rPr>
              <w:br/>
            </w:r>
            <w:r>
              <w:rPr>
                <w:rFonts w:ascii="Helvetica" w:eastAsia="Helvetica" w:hAnsi="Helvetica" w:cs="Helvetica"/>
                <w:color w:val="3F3F3F"/>
              </w:rPr>
              <w:t>It is often targeted at outliers.</w:t>
            </w:r>
            <w:r w:rsidR="008D6E99">
              <w:rPr>
                <w:rStyle w:val="FootnoteReference"/>
                <w:rFonts w:eastAsia="Helvetica" w:cs="Helvetica"/>
                <w:color w:val="3F3F3F"/>
              </w:rPr>
              <w:footnoteReference w:id="7"/>
            </w:r>
            <w:r>
              <w:rPr>
                <w:rFonts w:ascii="Helvetica" w:eastAsia="Helvetica" w:hAnsi="Helvetica" w:cs="Helvetica"/>
                <w:color w:val="3F3F3F"/>
              </w:rPr>
              <w:t xml:space="preserve"> By showing individuals how they compare to their </w:t>
            </w:r>
            <w:r w:rsidR="003B3D2D">
              <w:rPr>
                <w:rFonts w:ascii="Helvetica" w:eastAsia="Helvetica" w:hAnsi="Helvetica" w:cs="Helvetica"/>
                <w:color w:val="3F3F3F"/>
              </w:rPr>
              <w:t>peers</w:t>
            </w:r>
            <w:r>
              <w:rPr>
                <w:rFonts w:ascii="Helvetica" w:eastAsia="Helvetica" w:hAnsi="Helvetica" w:cs="Helvetica"/>
                <w:color w:val="3F3F3F"/>
              </w:rPr>
              <w:t xml:space="preserve">, </w:t>
            </w:r>
            <w:r w:rsidR="00957643">
              <w:rPr>
                <w:rFonts w:ascii="Helvetica" w:eastAsia="Helvetica" w:hAnsi="Helvetica" w:cs="Helvetica"/>
                <w:color w:val="3F3F3F"/>
              </w:rPr>
              <w:br/>
            </w:r>
            <w:r>
              <w:rPr>
                <w:rFonts w:ascii="Helvetica" w:eastAsia="Helvetica" w:hAnsi="Helvetica" w:cs="Helvetica"/>
                <w:color w:val="3F3F3F"/>
              </w:rPr>
              <w:t xml:space="preserve">they are often motivated to change their behaviour towards what is </w:t>
            </w:r>
            <w:r w:rsidR="00E32588">
              <w:rPr>
                <w:rFonts w:ascii="Helvetica" w:eastAsia="Helvetica" w:hAnsi="Helvetica" w:cs="Helvetica"/>
                <w:color w:val="3F3F3F"/>
              </w:rPr>
              <w:t>’</w:t>
            </w:r>
            <w:r>
              <w:rPr>
                <w:rFonts w:ascii="Helvetica" w:eastAsia="Helvetica" w:hAnsi="Helvetica" w:cs="Helvetica"/>
                <w:color w:val="3F3F3F"/>
              </w:rPr>
              <w:t>normal</w:t>
            </w:r>
            <w:r w:rsidR="00E32588">
              <w:rPr>
                <w:rFonts w:ascii="Helvetica" w:eastAsia="Helvetica" w:hAnsi="Helvetica" w:cs="Helvetica"/>
                <w:color w:val="3F3F3F"/>
              </w:rPr>
              <w:t>’</w:t>
            </w:r>
            <w:r>
              <w:rPr>
                <w:rFonts w:ascii="Helvetica" w:eastAsia="Helvetica" w:hAnsi="Helvetica" w:cs="Helvetica"/>
                <w:color w:val="3F3F3F"/>
              </w:rPr>
              <w:t xml:space="preserve"> for their peer group.</w:t>
            </w:r>
          </w:p>
        </w:tc>
      </w:tr>
    </w:tbl>
    <w:p w14:paraId="3EABA363" w14:textId="0B502936" w:rsidR="00BB4B7F" w:rsidRPr="00897A33" w:rsidRDefault="00BB4B7F" w:rsidP="00573712">
      <w:pPr>
        <w:rPr>
          <w:rFonts w:eastAsia="Helvetica"/>
        </w:rPr>
      </w:pPr>
      <w:r w:rsidRPr="00897A33">
        <w:rPr>
          <w:rFonts w:eastAsia="Helvetica"/>
        </w:rPr>
        <w:lastRenderedPageBreak/>
        <w:t>Our trial followed a United Kingdom (UK) trial</w:t>
      </w:r>
      <w:r w:rsidRPr="00573712">
        <w:rPr>
          <w:rStyle w:val="FootnoteReference"/>
          <w:rFonts w:eastAsia="Helvetica"/>
        </w:rPr>
        <w:footnoteReference w:id="8"/>
      </w:r>
      <w:r w:rsidRPr="00897A33">
        <w:rPr>
          <w:rFonts w:eastAsia="Helvetica"/>
        </w:rPr>
        <w:t xml:space="preserve"> in which a national peer comparison intervention successfully changed the prescribing habits of GPs. We </w:t>
      </w:r>
      <w:r>
        <w:rPr>
          <w:rFonts w:eastAsia="Helvetica"/>
        </w:rPr>
        <w:t>adapted this trial</w:t>
      </w:r>
      <w:r w:rsidRPr="00897A33">
        <w:rPr>
          <w:rFonts w:eastAsia="Helvetica"/>
        </w:rPr>
        <w:t xml:space="preserve"> design by providing individual peer comparison feedback (rather than feedback at a clinic level). Our trial </w:t>
      </w:r>
      <w:r>
        <w:rPr>
          <w:rFonts w:eastAsia="Helvetica"/>
        </w:rPr>
        <w:t xml:space="preserve">also </w:t>
      </w:r>
      <w:r w:rsidRPr="00897A33">
        <w:rPr>
          <w:rFonts w:eastAsia="Helvetica"/>
        </w:rPr>
        <w:t>targeted GPs whose prescription rates were in the top 30 per</w:t>
      </w:r>
      <w:r>
        <w:rPr>
          <w:rFonts w:eastAsia="Helvetica"/>
        </w:rPr>
        <w:t> </w:t>
      </w:r>
      <w:r w:rsidRPr="00897A33">
        <w:rPr>
          <w:rFonts w:eastAsia="Helvetica"/>
        </w:rPr>
        <w:t>cent of their geographic regions (compared to the top 20</w:t>
      </w:r>
      <w:r>
        <w:rPr>
          <w:rFonts w:eastAsia="Helvetica"/>
        </w:rPr>
        <w:t> </w:t>
      </w:r>
      <w:r w:rsidRPr="00897A33">
        <w:rPr>
          <w:rFonts w:eastAsia="Helvetica"/>
        </w:rPr>
        <w:t>per</w:t>
      </w:r>
      <w:r>
        <w:rPr>
          <w:rFonts w:eastAsia="Helvetica"/>
        </w:rPr>
        <w:t> </w:t>
      </w:r>
      <w:r w:rsidRPr="00897A33">
        <w:rPr>
          <w:rFonts w:eastAsia="Helvetica"/>
        </w:rPr>
        <w:t>cent</w:t>
      </w:r>
      <w:r>
        <w:rPr>
          <w:rFonts w:eastAsia="Helvetica"/>
        </w:rPr>
        <w:t xml:space="preserve"> in the UK trial</w:t>
      </w:r>
      <w:r w:rsidRPr="00897A33">
        <w:rPr>
          <w:rFonts w:eastAsia="Helvetica"/>
        </w:rPr>
        <w:t xml:space="preserve">). </w:t>
      </w:r>
    </w:p>
    <w:p w14:paraId="4E3EE8F9" w14:textId="7453E5FB" w:rsidR="00251049" w:rsidRDefault="0042761E" w:rsidP="004E3FC0">
      <w:pPr>
        <w:pStyle w:val="Caption"/>
        <w:jc w:val="both"/>
        <w:rPr>
          <w:rFonts w:ascii="Helvetica" w:eastAsia="Helvetica" w:hAnsi="Helvetica" w:cs="Helvetica"/>
          <w:b/>
          <w:color w:val="117479"/>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w:t>
      </w:r>
      <w:r w:rsidR="003035A6">
        <w:rPr>
          <w:noProof/>
        </w:rPr>
        <w:fldChar w:fldCharType="end"/>
      </w:r>
      <w:r>
        <w:t xml:space="preserve">: </w:t>
      </w:r>
      <w:r w:rsidR="003B3D2D">
        <w:t>Effect on antibiotic prescription rates over six months</w:t>
      </w:r>
      <w:r>
        <w:t xml:space="preserve"> </w:t>
      </w:r>
    </w:p>
    <w:p w14:paraId="2427249D" w14:textId="38871280" w:rsidR="005822C7" w:rsidRDefault="005822C7" w:rsidP="00573712">
      <w:r>
        <w:rPr>
          <w:noProof/>
        </w:rPr>
        <w:drawing>
          <wp:inline distT="0" distB="0" distL="0" distR="0" wp14:anchorId="30DD80BC" wp14:editId="6BFE3585">
            <wp:extent cx="5130800" cy="2755900"/>
            <wp:effectExtent l="0" t="0" r="0" b="0"/>
            <wp:docPr id="121" name="Picture 121" descr="The change in the number of scripts per 1,000 consults for each intervention group, compared to the control group which received no letter:&#10;1. Education-only letter: Reduction of 3.2 per cent&#10;2. Education and peer comparison letter: Reduction of 9.3 per cent&#10;3. Peer comparison with delayed prescribing letter: Reduction of 10.4 per cent&#10;4. Peer comparison and graph letter: Reduction of 12.3 per cent (the best performing letter).&#10;The p-value of the first letter above (education-only letter) was 0.01.&#10;The p-value of the other three letters was &lt; 0.00001."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ig1.png"/>
                    <pic:cNvPicPr/>
                  </pic:nvPicPr>
                  <pic:blipFill>
                    <a:blip r:embed="rId31">
                      <a:extLst>
                        <a:ext uri="{28A0092B-C50C-407E-A947-70E740481C1C}">
                          <a14:useLocalDpi xmlns:a14="http://schemas.microsoft.com/office/drawing/2010/main" val="0"/>
                        </a:ext>
                      </a:extLst>
                    </a:blip>
                    <a:stretch>
                      <a:fillRect/>
                    </a:stretch>
                  </pic:blipFill>
                  <pic:spPr>
                    <a:xfrm>
                      <a:off x="0" y="0"/>
                      <a:ext cx="5130800" cy="2755900"/>
                    </a:xfrm>
                    <a:prstGeom prst="rect">
                      <a:avLst/>
                    </a:prstGeom>
                  </pic:spPr>
                </pic:pic>
              </a:graphicData>
            </a:graphic>
          </wp:inline>
        </w:drawing>
      </w:r>
    </w:p>
    <w:p w14:paraId="30130E77" w14:textId="75CF135F" w:rsidR="003B3D2D" w:rsidRDefault="003B3D2D" w:rsidP="00573712">
      <w:r>
        <w:t xml:space="preserve">Overall, we estimate 126,352 fewer scripts were filled over the six-month period as a result of the letters. </w:t>
      </w:r>
    </w:p>
    <w:p w14:paraId="661EB9AE" w14:textId="77777777" w:rsidR="003B3D2D" w:rsidRDefault="003B3D2D" w:rsidP="00573712">
      <w:r>
        <w:t xml:space="preserve">The three letters containing peer comparison information outperformed the education-only letter, and resulted in a substantial reduction in prescription rates. Compared to GPs who did not receive a letter, the </w:t>
      </w:r>
      <w:r w:rsidRPr="003B3D2D">
        <w:rPr>
          <w:i/>
        </w:rPr>
        <w:t>peer comparison</w:t>
      </w:r>
      <w:r>
        <w:t xml:space="preserve"> letters resulted in a 9.3 to 12.3 per cent reduction in prescribing rates over six months. In comparison, the </w:t>
      </w:r>
      <w:r>
        <w:rPr>
          <w:i/>
        </w:rPr>
        <w:t>education-only</w:t>
      </w:r>
      <w:r>
        <w:t xml:space="preserve"> letter reduced antibiotic prescriptions by 3.2 per cent over six months.</w:t>
      </w:r>
    </w:p>
    <w:p w14:paraId="43C628DE" w14:textId="77777777" w:rsidR="003B3D2D" w:rsidRDefault="003B3D2D" w:rsidP="00573712">
      <w:r>
        <w:t xml:space="preserve">The </w:t>
      </w:r>
      <w:r>
        <w:rPr>
          <w:i/>
        </w:rPr>
        <w:t>peer comparison with graph</w:t>
      </w:r>
      <w:r>
        <w:t xml:space="preserve"> performed best. This letter reduced prescribing rates by 12.3 per cent over the six-month period, and by 14.6 per cent in the best performing month.</w:t>
      </w:r>
    </w:p>
    <w:p w14:paraId="1C5D426B" w14:textId="77777777" w:rsidR="00251049" w:rsidRDefault="00251049" w:rsidP="00D33213">
      <w:pPr>
        <w:pStyle w:val="h4"/>
      </w:pPr>
      <w:r>
        <w:t xml:space="preserve">Future opportunities </w:t>
      </w:r>
    </w:p>
    <w:p w14:paraId="550CA2D3" w14:textId="6DF94A7B" w:rsidR="001D2FC2" w:rsidRDefault="001D2FC2" w:rsidP="00BE15B4">
      <w:pPr>
        <w:rPr>
          <w:rFonts w:eastAsia="Helvetica"/>
        </w:rPr>
      </w:pPr>
      <w:r>
        <w:rPr>
          <w:rFonts w:eastAsia="Helvetica"/>
        </w:rPr>
        <w:t xml:space="preserve">We are </w:t>
      </w:r>
      <w:r w:rsidR="003B3D2D">
        <w:rPr>
          <w:rFonts w:eastAsia="Helvetica"/>
        </w:rPr>
        <w:t>keen</w:t>
      </w:r>
      <w:r>
        <w:rPr>
          <w:rFonts w:eastAsia="Helvetica"/>
        </w:rPr>
        <w:t xml:space="preserve"> to explore the effects of GPs receiving ongoing and regular peer comparison information. For example, does regular feedback help GPs to monitor their prescribing or will they begin to disregard the information over time? Depending on the results of the trial, providing peer comparison information to GPs with high</w:t>
      </w:r>
      <w:r w:rsidR="003B3D2D">
        <w:rPr>
          <w:rFonts w:eastAsia="Helvetica"/>
        </w:rPr>
        <w:t xml:space="preserve"> </w:t>
      </w:r>
      <w:r>
        <w:rPr>
          <w:rFonts w:eastAsia="Helvetica"/>
        </w:rPr>
        <w:t xml:space="preserve">prescribing rates might effectively produce continued reductions in </w:t>
      </w:r>
      <w:r w:rsidR="005072EF">
        <w:rPr>
          <w:rFonts w:eastAsia="Helvetica"/>
        </w:rPr>
        <w:t xml:space="preserve">inappropriate </w:t>
      </w:r>
      <w:r>
        <w:rPr>
          <w:rFonts w:eastAsia="Helvetica"/>
        </w:rPr>
        <w:t>prescriptions.</w:t>
      </w:r>
    </w:p>
    <w:p w14:paraId="23E19971" w14:textId="77777777" w:rsidR="001A05C3" w:rsidRDefault="001D2FC2" w:rsidP="00574D61">
      <w:r>
        <w:rPr>
          <w:rFonts w:eastAsia="Helvetica"/>
        </w:rPr>
        <w:t>Opportunities also exist to incorporate real-time peer comparison feedback into GP practice software. This may be a cost-effective and simple way of helping GPs to monitor their prescribing patterns. Regular feedback could lead to faster and more sustained changes in prescribing behaviours.</w:t>
      </w:r>
      <w:bookmarkStart w:id="10" w:name="_Toc515874428"/>
      <w:bookmarkStart w:id="11" w:name="_Toc515874499"/>
      <w:bookmarkStart w:id="12" w:name="_Toc515874669"/>
      <w:r w:rsidR="00574D61">
        <w:br w:type="page"/>
      </w:r>
      <w:bookmarkStart w:id="13" w:name="_Toc516827440"/>
    </w:p>
    <w:p w14:paraId="63CBD5D6" w14:textId="77777777" w:rsidR="002129E5" w:rsidRPr="001A05C3" w:rsidRDefault="002129E5" w:rsidP="002129E5">
      <w:pPr>
        <w:pStyle w:val="Heading3"/>
        <w:framePr w:hSpace="0" w:wrap="auto" w:vAnchor="margin" w:hAnchor="text" w:xAlign="left" w:yAlign="inline"/>
        <w:spacing w:after="240"/>
        <w:ind w:right="-851"/>
        <w:rPr>
          <w:bCs/>
        </w:rPr>
      </w:pPr>
      <w:r w:rsidRPr="001A05C3">
        <w:rPr>
          <w:bCs/>
        </w:rPr>
        <w:lastRenderedPageBreak/>
        <w:t>Increasing the human papilloma virus vaccination rate</w:t>
      </w:r>
    </w:p>
    <w:p w14:paraId="1FBC557B" w14:textId="5B1BD33D" w:rsidR="001A05C3" w:rsidRPr="002129E5" w:rsidRDefault="003A2959" w:rsidP="002129E5">
      <w:pPr>
        <w:pStyle w:val="h4"/>
      </w:pPr>
      <w:r w:rsidRPr="002129E5">
        <w:t>Abstract</w:t>
      </w:r>
    </w:p>
    <w:bookmarkEnd w:id="13"/>
    <w:p w14:paraId="3B1A4420" w14:textId="52B654BD" w:rsidR="001A05C3" w:rsidRPr="00573712" w:rsidRDefault="002129E5" w:rsidP="003A2959">
      <w:pPr>
        <w:pStyle w:val="h4"/>
      </w:pPr>
      <w:r w:rsidRPr="003A2959">
        <w:rPr>
          <w:b w:val="0"/>
          <w:noProof/>
        </w:rPr>
        <w:drawing>
          <wp:anchor distT="0" distB="0" distL="114300" distR="114300" simplePos="0" relativeHeight="251673088" behindDoc="0" locked="0" layoutInCell="1" allowOverlap="1" wp14:anchorId="48650239" wp14:editId="0A9F3751">
            <wp:simplePos x="0" y="0"/>
            <wp:positionH relativeFrom="column">
              <wp:posOffset>4100148</wp:posOffset>
            </wp:positionH>
            <wp:positionV relativeFrom="paragraph">
              <wp:posOffset>4334112</wp:posOffset>
            </wp:positionV>
            <wp:extent cx="1583690" cy="344170"/>
            <wp:effectExtent l="0" t="0" r="0" b="0"/>
            <wp:wrapNone/>
            <wp:docPr id="8" name="Picture 8" descr="Behaviour Works Australi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WA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83690" cy="3441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0" locked="0" layoutInCell="1" allowOverlap="1" wp14:anchorId="79C7383D" wp14:editId="18D6FE31">
            <wp:simplePos x="0" y="0"/>
            <wp:positionH relativeFrom="column">
              <wp:posOffset>1341755</wp:posOffset>
            </wp:positionH>
            <wp:positionV relativeFrom="paragraph">
              <wp:posOffset>4344983</wp:posOffset>
            </wp:positionV>
            <wp:extent cx="2329180" cy="323850"/>
            <wp:effectExtent l="0" t="0" r="0" b="0"/>
            <wp:wrapNone/>
            <wp:docPr id="18" name="Picture 18" descr="Behavioural Insights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 Unit logo (purp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91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959">
        <w:t>Project by</w:t>
      </w:r>
    </w:p>
    <w:tbl>
      <w:tblPr>
        <w:tblStyle w:val="TableGrid"/>
        <w:tblpPr w:leftFromText="180" w:rightFromText="180" w:vertAnchor="page" w:horzAnchor="margin" w:tblpY="5092"/>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Increasing the human papilloma virus "/>
        <w:tblDescription w:val="A text box description of a trial by the Victorian Government to increase uptake of the HPV vaccine in grade 7 students. "/>
      </w:tblPr>
      <w:tblGrid>
        <w:gridCol w:w="9162"/>
      </w:tblGrid>
      <w:tr w:rsidR="00573712" w14:paraId="5AB44B40" w14:textId="77777777" w:rsidTr="001A05C3">
        <w:trPr>
          <w:trHeight w:val="6123"/>
        </w:trPr>
        <w:tc>
          <w:tcPr>
            <w:tcW w:w="9162" w:type="dxa"/>
            <w:tcBorders>
              <w:bottom w:val="nil"/>
            </w:tcBorders>
            <w:shd w:val="clear" w:color="auto" w:fill="D9D9D9" w:themeFill="background1" w:themeFillShade="D9"/>
          </w:tcPr>
          <w:p w14:paraId="042645EA" w14:textId="77777777" w:rsidR="00573712" w:rsidRPr="00573712" w:rsidRDefault="00573712" w:rsidP="001A05C3">
            <w:pPr>
              <w:spacing w:after="240" w:line="320" w:lineRule="auto"/>
              <w:rPr>
                <w:rFonts w:ascii="Helvetica" w:eastAsia="Helvetica" w:hAnsi="Helvetica" w:cs="Helvetica"/>
                <w:color w:val="3F3F3F"/>
                <w:sz w:val="24"/>
              </w:rPr>
            </w:pPr>
            <w:r w:rsidRPr="00573712">
              <w:rPr>
                <w:rFonts w:ascii="Helvetica" w:eastAsia="Helvetica" w:hAnsi="Helvetica" w:cs="Helvetica"/>
                <w:color w:val="3F3F3F"/>
                <w:sz w:val="24"/>
              </w:rPr>
              <w:t xml:space="preserve">Victorian students in grade seven are eligible to receive a free human papilloma virus vaccination; however, only three-quarters of students receive all three doses of the vaccine. </w:t>
            </w:r>
          </w:p>
          <w:p w14:paraId="4B54D8A1" w14:textId="77777777" w:rsidR="00573712" w:rsidRPr="00573712" w:rsidRDefault="00573712" w:rsidP="001A05C3">
            <w:pPr>
              <w:spacing w:after="240" w:line="320" w:lineRule="auto"/>
              <w:rPr>
                <w:rFonts w:ascii="Helvetica" w:eastAsia="Helvetica" w:hAnsi="Helvetica" w:cs="Helvetica"/>
                <w:color w:val="3F3F3F"/>
                <w:sz w:val="24"/>
              </w:rPr>
            </w:pPr>
            <w:r w:rsidRPr="00573712">
              <w:rPr>
                <w:rFonts w:ascii="Helvetica" w:eastAsia="Helvetica" w:hAnsi="Helvetica" w:cs="Helvetica"/>
                <w:color w:val="3F3F3F"/>
                <w:sz w:val="24"/>
              </w:rPr>
              <w:t>We conducted a randomised controlled trial in which parents were sent text messages reminding them of the school-based vaccine clinics.</w:t>
            </w:r>
          </w:p>
          <w:p w14:paraId="04520C73" w14:textId="594E80F4" w:rsidR="00573712" w:rsidRPr="004E3FC0" w:rsidRDefault="00573712" w:rsidP="001A05C3">
            <w:pPr>
              <w:spacing w:after="240" w:line="320" w:lineRule="auto"/>
              <w:rPr>
                <w:rFonts w:ascii="Helvetica" w:eastAsia="Helvetica" w:hAnsi="Helvetica" w:cs="Helvetica"/>
                <w:color w:val="3F3F3F"/>
                <w:sz w:val="24"/>
              </w:rPr>
            </w:pPr>
            <w:r w:rsidRPr="00573712">
              <w:rPr>
                <w:rFonts w:ascii="Helvetica" w:eastAsia="Helvetica" w:hAnsi="Helvetica" w:cs="Helvetica"/>
                <w:color w:val="3F3F3F"/>
                <w:sz w:val="24"/>
              </w:rPr>
              <w:t>The reminders were associated with an up to 3.3 percentage point improvement in the vaccination rate, delivering ‘herd immunity’ within the trial cohort. The finding suggests text message reminders are a cost-effective way to lift vaccination rates</w:t>
            </w:r>
            <w:r>
              <w:rPr>
                <w:rFonts w:ascii="Helvetica" w:eastAsia="Helvetica" w:hAnsi="Helvetica" w:cs="Helvetica"/>
                <w:color w:val="3F3F3F"/>
                <w:sz w:val="24"/>
              </w:rPr>
              <w:t>.</w:t>
            </w:r>
          </w:p>
        </w:tc>
      </w:tr>
    </w:tbl>
    <w:bookmarkEnd w:id="10"/>
    <w:bookmarkEnd w:id="11"/>
    <w:bookmarkEnd w:id="12"/>
    <w:p w14:paraId="0A0E94CA" w14:textId="5020E6E3" w:rsidR="00251049" w:rsidRPr="00524957" w:rsidRDefault="002129E5" w:rsidP="004E3FC0">
      <w:pPr>
        <w:jc w:val="both"/>
      </w:pPr>
      <w:r w:rsidRPr="003A2959">
        <w:rPr>
          <w:b/>
          <w:noProof/>
        </w:rPr>
        <w:drawing>
          <wp:anchor distT="0" distB="0" distL="114300" distR="114300" simplePos="0" relativeHeight="251671040" behindDoc="0" locked="0" layoutInCell="1" allowOverlap="1" wp14:anchorId="4E38539D" wp14:editId="7E975348">
            <wp:simplePos x="0" y="0"/>
            <wp:positionH relativeFrom="column">
              <wp:posOffset>4097655</wp:posOffset>
            </wp:positionH>
            <wp:positionV relativeFrom="paragraph">
              <wp:posOffset>324021</wp:posOffset>
            </wp:positionV>
            <wp:extent cx="1450340" cy="431800"/>
            <wp:effectExtent l="0" t="0" r="0" b="6350"/>
            <wp:wrapNone/>
            <wp:docPr id="735" name="Picture 735" descr="Health and Human Services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r="11784"/>
                    <a:stretch>
                      <a:fillRect/>
                    </a:stretch>
                  </pic:blipFill>
                  <pic:spPr bwMode="auto">
                    <a:xfrm>
                      <a:off x="0" y="0"/>
                      <a:ext cx="14503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959">
        <w:rPr>
          <w:b/>
          <w:noProof/>
        </w:rPr>
        <w:drawing>
          <wp:anchor distT="0" distB="0" distL="114300" distR="114300" simplePos="0" relativeHeight="251668992" behindDoc="1" locked="0" layoutInCell="1" allowOverlap="1" wp14:anchorId="336682F2" wp14:editId="42F9C83A">
            <wp:simplePos x="0" y="0"/>
            <wp:positionH relativeFrom="column">
              <wp:posOffset>1412970</wp:posOffset>
            </wp:positionH>
            <wp:positionV relativeFrom="paragraph">
              <wp:posOffset>321216</wp:posOffset>
            </wp:positionV>
            <wp:extent cx="2247900" cy="287655"/>
            <wp:effectExtent l="0" t="0" r="0" b="0"/>
            <wp:wrapNone/>
            <wp:docPr id="734" name="Picture 734" descr="Public Sector Innovation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IF - Logo (blu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7900"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17479"/>
          <w:sz w:val="36"/>
        </w:rPr>
        <w:br w:type="page"/>
      </w:r>
    </w:p>
    <w:p w14:paraId="256DB84C" w14:textId="3EA63A12" w:rsidR="00251049" w:rsidRDefault="00251049" w:rsidP="00D33213">
      <w:pPr>
        <w:pStyle w:val="h4"/>
      </w:pPr>
      <w:r>
        <w:lastRenderedPageBreak/>
        <w:t xml:space="preserve">The policy problem </w:t>
      </w:r>
    </w:p>
    <w:p w14:paraId="5F638858" w14:textId="241C985F" w:rsidR="00892306" w:rsidRPr="00897A33" w:rsidRDefault="00892306" w:rsidP="00BE15B4">
      <w:pPr>
        <w:rPr>
          <w:rFonts w:eastAsia="Helvetica"/>
        </w:rPr>
      </w:pPr>
      <w:r w:rsidRPr="00897A33">
        <w:rPr>
          <w:rFonts w:eastAsia="Helvetica"/>
        </w:rPr>
        <w:t>In 2015, an estimated 76</w:t>
      </w:r>
      <w:r>
        <w:rPr>
          <w:rFonts w:eastAsia="Helvetica"/>
        </w:rPr>
        <w:t> </w:t>
      </w:r>
      <w:r w:rsidRPr="00897A33">
        <w:rPr>
          <w:rFonts w:eastAsia="Helvetica"/>
        </w:rPr>
        <w:t>per</w:t>
      </w:r>
      <w:r>
        <w:rPr>
          <w:rFonts w:eastAsia="Helvetica"/>
        </w:rPr>
        <w:t> </w:t>
      </w:r>
      <w:r w:rsidRPr="00897A33">
        <w:rPr>
          <w:rFonts w:eastAsia="Helvetica"/>
        </w:rPr>
        <w:t xml:space="preserve">cent of Victorian adolescents received the full </w:t>
      </w:r>
      <w:r w:rsidRPr="00892306">
        <w:rPr>
          <w:rFonts w:eastAsia="Helvetica"/>
        </w:rPr>
        <w:t xml:space="preserve">human papilloma virus </w:t>
      </w:r>
      <w:r w:rsidRPr="00897A33">
        <w:rPr>
          <w:rFonts w:eastAsia="Helvetica"/>
        </w:rPr>
        <w:t>vaccination</w:t>
      </w:r>
      <w:r w:rsidR="00E32588">
        <w:rPr>
          <w:rFonts w:eastAsia="Helvetica"/>
        </w:rPr>
        <w:t>,</w:t>
      </w:r>
      <w:r w:rsidRPr="00897A33">
        <w:rPr>
          <w:rFonts w:eastAsia="Helvetica"/>
        </w:rPr>
        <w:t xml:space="preserve"> a figure below the estimated 80</w:t>
      </w:r>
      <w:r>
        <w:rPr>
          <w:rFonts w:eastAsia="Helvetica"/>
        </w:rPr>
        <w:t> </w:t>
      </w:r>
      <w:r w:rsidRPr="00897A33">
        <w:rPr>
          <w:rFonts w:eastAsia="Helvetica"/>
        </w:rPr>
        <w:t>per</w:t>
      </w:r>
      <w:r>
        <w:rPr>
          <w:rFonts w:eastAsia="Helvetica"/>
        </w:rPr>
        <w:t> </w:t>
      </w:r>
      <w:r w:rsidRPr="00897A33">
        <w:rPr>
          <w:rFonts w:eastAsia="Helvetica"/>
        </w:rPr>
        <w:t>cent immunisation rate required to reach ‘herd immunity’.</w:t>
      </w:r>
      <w:r w:rsidRPr="00897A33">
        <w:rPr>
          <w:rStyle w:val="FootnoteReference"/>
        </w:rPr>
        <w:footnoteReference w:id="9"/>
      </w:r>
      <w:r w:rsidRPr="00897A33">
        <w:rPr>
          <w:rFonts w:eastAsia="Helvetica"/>
        </w:rPr>
        <w:t xml:space="preserve"> Almost all parents </w:t>
      </w:r>
      <w:r>
        <w:rPr>
          <w:rFonts w:eastAsia="Helvetica"/>
        </w:rPr>
        <w:t>consent</w:t>
      </w:r>
      <w:r w:rsidRPr="00897A33">
        <w:rPr>
          <w:rFonts w:eastAsia="Helvetica"/>
        </w:rPr>
        <w:t xml:space="preserve"> to their child being vaccinated; however, up to </w:t>
      </w:r>
      <w:r w:rsidR="000C26EF">
        <w:rPr>
          <w:rFonts w:eastAsia="Helvetica"/>
        </w:rPr>
        <w:t>2</w:t>
      </w:r>
      <w:r w:rsidRPr="00897A33">
        <w:rPr>
          <w:rFonts w:eastAsia="Helvetica"/>
        </w:rPr>
        <w:t>5</w:t>
      </w:r>
      <w:r>
        <w:rPr>
          <w:rFonts w:eastAsia="Helvetica"/>
        </w:rPr>
        <w:t> </w:t>
      </w:r>
      <w:r w:rsidRPr="00897A33">
        <w:rPr>
          <w:rFonts w:eastAsia="Helvetica"/>
        </w:rPr>
        <w:t>per</w:t>
      </w:r>
      <w:r>
        <w:rPr>
          <w:rFonts w:eastAsia="Helvetica"/>
        </w:rPr>
        <w:t> </w:t>
      </w:r>
      <w:r w:rsidRPr="00897A33">
        <w:rPr>
          <w:rFonts w:eastAsia="Helvetica"/>
        </w:rPr>
        <w:t xml:space="preserve">cent of the adolescents </w:t>
      </w:r>
      <w:r>
        <w:rPr>
          <w:rFonts w:eastAsia="Helvetica"/>
        </w:rPr>
        <w:t>don’t</w:t>
      </w:r>
      <w:r w:rsidRPr="00897A33">
        <w:rPr>
          <w:rFonts w:eastAsia="Helvetica"/>
        </w:rPr>
        <w:t xml:space="preserve"> receive all three vaccine doses.</w:t>
      </w:r>
    </w:p>
    <w:p w14:paraId="371A5868" w14:textId="77777777" w:rsidR="00251049" w:rsidRDefault="00251049" w:rsidP="00D33213">
      <w:pPr>
        <w:pStyle w:val="h4"/>
      </w:pPr>
      <w:r>
        <w:t>Our findings and learnings</w:t>
      </w:r>
    </w:p>
    <w:p w14:paraId="7D646758" w14:textId="56FF4D37" w:rsidR="00892306" w:rsidRDefault="00892306" w:rsidP="00BE15B4">
      <w:pPr>
        <w:rPr>
          <w:rFonts w:eastAsia="Helvetica"/>
        </w:rPr>
      </w:pPr>
      <w:r>
        <w:rPr>
          <w:rFonts w:eastAsia="Helvetica"/>
        </w:rPr>
        <w:t xml:space="preserve">We compared the effects of two different reminders </w:t>
      </w:r>
      <w:r w:rsidR="000C26EF">
        <w:rPr>
          <w:rFonts w:eastAsia="Helvetica"/>
        </w:rPr>
        <w:t xml:space="preserve">sent to parents </w:t>
      </w:r>
      <w:r>
        <w:rPr>
          <w:rFonts w:eastAsia="Helvetica"/>
        </w:rPr>
        <w:t>against receiving no reminder. Research suggests that risk of illness is a key factor motivating individuals to get vaccinat</w:t>
      </w:r>
      <w:r w:rsidR="0055746D">
        <w:rPr>
          <w:rFonts w:eastAsia="Helvetica"/>
        </w:rPr>
        <w:t>ed</w:t>
      </w:r>
      <w:r>
        <w:rPr>
          <w:rFonts w:eastAsia="Helvetica"/>
        </w:rPr>
        <w:t>.</w:t>
      </w:r>
      <w:r>
        <w:rPr>
          <w:rStyle w:val="FootnoteReference"/>
        </w:rPr>
        <w:footnoteReference w:id="10"/>
      </w:r>
      <w:r>
        <w:rPr>
          <w:rFonts w:eastAsia="Helvetica"/>
        </w:rPr>
        <w:t xml:space="preserve"> Further, previous research on ‘implementation intentions’ has shown individuals are more likely to follow through on a commitment if they plan how they will do so.</w:t>
      </w:r>
      <w:r>
        <w:rPr>
          <w:rStyle w:val="FootnoteReference"/>
        </w:rPr>
        <w:footnoteReference w:id="11"/>
      </w:r>
    </w:p>
    <w:p w14:paraId="011FA880" w14:textId="77777777" w:rsidR="000933C6" w:rsidRDefault="000933C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58D874E0" w14:textId="77777777" w:rsidTr="008C083D">
        <w:trPr>
          <w:trHeight w:val="1"/>
        </w:trPr>
        <w:tc>
          <w:tcPr>
            <w:tcW w:w="5000" w:type="pct"/>
            <w:shd w:val="clear" w:color="auto" w:fill="F2F2F2"/>
            <w:tcMar>
              <w:left w:w="108" w:type="dxa"/>
              <w:right w:w="108" w:type="dxa"/>
            </w:tcMar>
          </w:tcPr>
          <w:p w14:paraId="0D1B3F1B" w14:textId="0DB17183" w:rsidR="00251049" w:rsidRDefault="00E702C3" w:rsidP="00D33213">
            <w:pPr>
              <w:spacing w:line="259" w:lineRule="auto"/>
              <w:jc w:val="both"/>
              <w:outlineLvl w:val="5"/>
              <w:rPr>
                <w:rFonts w:ascii="Helvetica" w:eastAsia="Helvetica" w:hAnsi="Helvetica" w:cs="Helvetica"/>
                <w:b/>
                <w:color w:val="142E3B"/>
                <w:sz w:val="24"/>
              </w:rPr>
            </w:pPr>
            <w:r>
              <w:rPr>
                <w:i/>
                <w:iCs/>
                <w:noProof/>
                <w:color w:val="142E3B" w:themeColor="accent6"/>
                <w:sz w:val="28"/>
              </w:rPr>
              <w:drawing>
                <wp:anchor distT="0" distB="0" distL="0" distR="114300" simplePos="0" relativeHeight="251607552" behindDoc="1" locked="0" layoutInCell="1" allowOverlap="1" wp14:anchorId="6B5C7120" wp14:editId="3A757C14">
                  <wp:simplePos x="0" y="0"/>
                  <wp:positionH relativeFrom="margin">
                    <wp:posOffset>-14283</wp:posOffset>
                  </wp:positionH>
                  <wp:positionV relativeFrom="paragraph">
                    <wp:posOffset>40735</wp:posOffset>
                  </wp:positionV>
                  <wp:extent cx="370800" cy="370800"/>
                  <wp:effectExtent l="0" t="0" r="0" b="0"/>
                  <wp:wrapTight wrapText="bothSides">
                    <wp:wrapPolygon edited="0">
                      <wp:start x="0" y="0"/>
                      <wp:lineTo x="0" y="20007"/>
                      <wp:lineTo x="20007" y="20007"/>
                      <wp:lineTo x="20007" y="0"/>
                      <wp:lineTo x="0" y="0"/>
                    </wp:wrapPolygon>
                  </wp:wrapTight>
                  <wp:docPr id="32" name="Picture 32" descr="Behavioural Insight"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6950B90F" w14:textId="353520C7" w:rsidR="00C54FDB" w:rsidRPr="00C54FDB" w:rsidRDefault="00251049" w:rsidP="00BE15B4">
            <w:pPr>
              <w:rPr>
                <w:rFonts w:ascii="Times New Roman" w:eastAsiaTheme="minorHAnsi" w:hAnsi="Times New Roman"/>
                <w:color w:val="auto"/>
                <w:sz w:val="24"/>
                <w:szCs w:val="24"/>
              </w:rPr>
            </w:pPr>
            <w:r w:rsidRPr="00E702C3">
              <w:rPr>
                <w:rFonts w:eastAsia="Helvetica"/>
                <w:b/>
                <w:color w:val="auto"/>
              </w:rPr>
              <w:t>Implementation intentions</w:t>
            </w:r>
            <w:r w:rsidRPr="00E702C3">
              <w:rPr>
                <w:rFonts w:eastAsia="Helvetica"/>
                <w:color w:val="auto"/>
              </w:rPr>
              <w:t xml:space="preserve"> </w:t>
            </w:r>
            <w:r w:rsidR="00C54FDB">
              <w:rPr>
                <w:rFonts w:eastAsia="Helvetica"/>
              </w:rPr>
              <w:t>are used to help people make a concrete plan for achieving a goal by specifying when, where and how they will achieve the goal and by listing any obstacles to the goal.</w:t>
            </w:r>
            <w:r w:rsidR="00C54FDB">
              <w:rPr>
                <w:rStyle w:val="FootnoteReference"/>
                <w:rFonts w:eastAsia="Helvetica" w:cs="Helvetica"/>
                <w:color w:val="3F3F3F"/>
              </w:rPr>
              <w:footnoteReference w:id="12"/>
            </w:r>
            <w:r w:rsidR="00C54FDB">
              <w:rPr>
                <w:rFonts w:eastAsia="Helvetica"/>
              </w:rPr>
              <w:t xml:space="preserve"> In our trial, we prompted the use of implementation intentions by encouraging parents to make a plan to get their child to school on time to ensure they could receive their immunisation.</w:t>
            </w:r>
            <w:r w:rsidR="00C54FDB">
              <w:rPr>
                <w:rFonts w:ascii="Times New Roman" w:eastAsiaTheme="minorHAnsi" w:hAnsi="Times New Roman"/>
                <w:color w:val="auto"/>
                <w:sz w:val="24"/>
                <w:szCs w:val="24"/>
              </w:rPr>
              <w:t xml:space="preserve"> </w:t>
            </w:r>
          </w:p>
        </w:tc>
      </w:tr>
    </w:tbl>
    <w:p w14:paraId="1E24F7D5" w14:textId="77777777" w:rsidR="000933C6" w:rsidRDefault="000933C6" w:rsidP="00BE15B4">
      <w:pPr>
        <w:rPr>
          <w:rFonts w:eastAsia="Helvetica"/>
        </w:rPr>
      </w:pPr>
    </w:p>
    <w:p w14:paraId="03089BF5" w14:textId="04F34607" w:rsidR="00251049" w:rsidRDefault="00251049" w:rsidP="00BE15B4">
      <w:pPr>
        <w:rPr>
          <w:rFonts w:eastAsia="Helvetica"/>
        </w:rPr>
      </w:pPr>
      <w:r w:rsidRPr="00FB5E6E">
        <w:rPr>
          <w:rFonts w:eastAsia="Helvetica"/>
        </w:rPr>
        <w:t>The behaviourally-informed reminders</w:t>
      </w:r>
      <w:r w:rsidR="00C54FDB" w:rsidRPr="00FB5E6E">
        <w:rPr>
          <w:rFonts w:eastAsia="Helvetica"/>
        </w:rPr>
        <w:t xml:space="preserve"> sent to t</w:t>
      </w:r>
      <w:r w:rsidR="00C54FDB">
        <w:rPr>
          <w:rFonts w:eastAsia="Helvetica"/>
        </w:rPr>
        <w:t xml:space="preserve">he participants in this trial </w:t>
      </w:r>
      <w:r>
        <w:rPr>
          <w:rFonts w:eastAsia="Helvetica"/>
        </w:rPr>
        <w:t xml:space="preserve">are </w:t>
      </w:r>
      <w:r w:rsidR="00C54FDB">
        <w:rPr>
          <w:rFonts w:eastAsia="Helvetica"/>
        </w:rPr>
        <w:t xml:space="preserve">set out </w:t>
      </w:r>
      <w:r>
        <w:rPr>
          <w:rFonts w:eastAsia="Helvetica"/>
        </w:rPr>
        <w:t>below.</w:t>
      </w:r>
    </w:p>
    <w:p w14:paraId="0C261A7B" w14:textId="3E3F8924" w:rsidR="00C54FDB" w:rsidRDefault="00C54FDB" w:rsidP="004E3FC0">
      <w:pPr>
        <w:pStyle w:val="Caption"/>
        <w:jc w:val="both"/>
        <w:rPr>
          <w:rFonts w:eastAsia="Helvetica"/>
        </w:rPr>
      </w:pPr>
      <w:r>
        <w:t xml:space="preserve">Table </w:t>
      </w:r>
      <w:r w:rsidR="003035A6">
        <w:rPr>
          <w:noProof/>
        </w:rPr>
        <w:fldChar w:fldCharType="begin"/>
      </w:r>
      <w:r w:rsidR="003035A6">
        <w:rPr>
          <w:noProof/>
        </w:rPr>
        <w:instrText xml:space="preserve"> SEQ Table \* ARABIC </w:instrText>
      </w:r>
      <w:r w:rsidR="003035A6">
        <w:rPr>
          <w:noProof/>
        </w:rPr>
        <w:fldChar w:fldCharType="separate"/>
      </w:r>
      <w:r w:rsidR="00B01953">
        <w:rPr>
          <w:noProof/>
        </w:rPr>
        <w:t>1</w:t>
      </w:r>
      <w:r w:rsidR="003035A6">
        <w:rPr>
          <w:noProof/>
        </w:rPr>
        <w:fldChar w:fldCharType="end"/>
      </w:r>
      <w:r>
        <w:t>: SMS reminders sent to participants</w:t>
      </w:r>
    </w:p>
    <w:tbl>
      <w:tblPr>
        <w:tblW w:w="0" w:type="auto"/>
        <w:tblInd w:w="112" w:type="dxa"/>
        <w:tblCellMar>
          <w:left w:w="10" w:type="dxa"/>
          <w:right w:w="10" w:type="dxa"/>
        </w:tblCellMar>
        <w:tblLook w:val="0000" w:firstRow="0" w:lastRow="0" w:firstColumn="0" w:lastColumn="0" w:noHBand="0" w:noVBand="0"/>
      </w:tblPr>
      <w:tblGrid>
        <w:gridCol w:w="2344"/>
        <w:gridCol w:w="6047"/>
      </w:tblGrid>
      <w:tr w:rsidR="00251049" w14:paraId="643D5925" w14:textId="77777777" w:rsidTr="00C54FDB">
        <w:trPr>
          <w:cantSplit/>
          <w:trHeight w:val="1"/>
        </w:trPr>
        <w:tc>
          <w:tcPr>
            <w:tcW w:w="2462" w:type="dxa"/>
            <w:tcBorders>
              <w:top w:val="single" w:sz="0" w:space="0" w:color="000000"/>
              <w:left w:val="single" w:sz="0" w:space="0" w:color="000000"/>
              <w:bottom w:val="single" w:sz="4" w:space="0" w:color="808080"/>
              <w:right w:val="single" w:sz="0" w:space="0" w:color="000000"/>
            </w:tcBorders>
            <w:shd w:val="clear" w:color="auto" w:fill="117479"/>
            <w:tcMar>
              <w:left w:w="112" w:type="dxa"/>
              <w:right w:w="112" w:type="dxa"/>
            </w:tcMar>
          </w:tcPr>
          <w:p w14:paraId="7C53ACAA" w14:textId="77777777" w:rsidR="00251049" w:rsidRPr="00B9113C" w:rsidRDefault="00251049" w:rsidP="004E3FC0">
            <w:pPr>
              <w:spacing w:line="260" w:lineRule="auto"/>
              <w:jc w:val="both"/>
            </w:pPr>
            <w:r w:rsidRPr="00B9113C">
              <w:rPr>
                <w:rFonts w:ascii="Helvetica" w:eastAsia="Helvetica" w:hAnsi="Helvetica" w:cs="Helvetica"/>
                <w:color w:val="FFFFFF"/>
              </w:rPr>
              <w:t>Cohort</w:t>
            </w:r>
            <w:r w:rsidRPr="00B9113C">
              <w:rPr>
                <w:rFonts w:ascii="Helvetica" w:eastAsia="Helvetica" w:hAnsi="Helvetica" w:cs="Helvetica"/>
                <w:color w:val="FFFFFF"/>
              </w:rPr>
              <w:tab/>
            </w:r>
          </w:p>
        </w:tc>
        <w:tc>
          <w:tcPr>
            <w:tcW w:w="6496" w:type="dxa"/>
            <w:tcBorders>
              <w:top w:val="single" w:sz="0" w:space="0" w:color="000000"/>
              <w:left w:val="single" w:sz="0" w:space="0" w:color="000000"/>
              <w:bottom w:val="single" w:sz="4" w:space="0" w:color="808080"/>
              <w:right w:val="single" w:sz="0" w:space="0" w:color="000000"/>
            </w:tcBorders>
            <w:shd w:val="clear" w:color="auto" w:fill="117479"/>
            <w:tcMar>
              <w:left w:w="112" w:type="dxa"/>
              <w:right w:w="112" w:type="dxa"/>
            </w:tcMar>
          </w:tcPr>
          <w:p w14:paraId="3113EB79" w14:textId="77777777" w:rsidR="00251049" w:rsidRPr="00B9113C" w:rsidRDefault="00251049" w:rsidP="004E3FC0">
            <w:pPr>
              <w:spacing w:line="260" w:lineRule="auto"/>
              <w:jc w:val="both"/>
            </w:pPr>
            <w:r w:rsidRPr="00B9113C">
              <w:rPr>
                <w:rFonts w:ascii="Helvetica" w:eastAsia="Helvetica" w:hAnsi="Helvetica" w:cs="Helvetica"/>
                <w:color w:val="FFFFFF"/>
              </w:rPr>
              <w:t xml:space="preserve">SMS </w:t>
            </w:r>
          </w:p>
        </w:tc>
      </w:tr>
      <w:tr w:rsidR="00C54FDB" w14:paraId="57E47D1F" w14:textId="77777777" w:rsidTr="00C54FDB">
        <w:trPr>
          <w:trHeight w:val="1"/>
        </w:trPr>
        <w:tc>
          <w:tcPr>
            <w:tcW w:w="2462" w:type="dxa"/>
            <w:tcBorders>
              <w:top w:val="single" w:sz="0" w:space="0" w:color="000000"/>
              <w:left w:val="single" w:sz="0" w:space="0" w:color="000000"/>
              <w:bottom w:val="single" w:sz="4" w:space="0" w:color="808080"/>
              <w:right w:val="single" w:sz="0" w:space="0" w:color="000000"/>
            </w:tcBorders>
            <w:shd w:val="clear" w:color="auto" w:fill="F2F2F2"/>
            <w:tcMar>
              <w:left w:w="112" w:type="dxa"/>
              <w:right w:w="112" w:type="dxa"/>
            </w:tcMar>
          </w:tcPr>
          <w:p w14:paraId="2091D8A1" w14:textId="49FA5300" w:rsidR="00C54FDB" w:rsidRPr="00524957" w:rsidRDefault="00C54FDB" w:rsidP="00BE15B4">
            <w:pPr>
              <w:spacing w:line="240" w:lineRule="auto"/>
              <w:rPr>
                <w:sz w:val="18"/>
                <w:szCs w:val="18"/>
              </w:rPr>
            </w:pPr>
            <w:r w:rsidRPr="00524957">
              <w:rPr>
                <w:rFonts w:ascii="Helvetica" w:eastAsia="Helvetica" w:hAnsi="Helvetica" w:cs="Helvetica"/>
                <w:b/>
                <w:color w:val="3F3F3F"/>
                <w:sz w:val="18"/>
                <w:szCs w:val="18"/>
                <w:lang w:eastAsia="en-US"/>
              </w:rPr>
              <w:t>Control group</w:t>
            </w:r>
            <w:r w:rsidRPr="00524957">
              <w:rPr>
                <w:rFonts w:ascii="Helvetica" w:eastAsia="Helvetica" w:hAnsi="Helvetica" w:cs="Helvetica"/>
                <w:color w:val="3F3F3F"/>
                <w:sz w:val="18"/>
                <w:szCs w:val="18"/>
                <w:lang w:eastAsia="en-US"/>
              </w:rPr>
              <w:t>: One third of the parents were not sent an SMS (similar to the previous year in which no messages were sent)</w:t>
            </w:r>
          </w:p>
        </w:tc>
        <w:tc>
          <w:tcPr>
            <w:tcW w:w="6496" w:type="dxa"/>
            <w:tcBorders>
              <w:top w:val="single" w:sz="0" w:space="0" w:color="000000"/>
              <w:left w:val="single" w:sz="0" w:space="0" w:color="000000"/>
              <w:bottom w:val="single" w:sz="4" w:space="0" w:color="808080"/>
              <w:right w:val="single" w:sz="0" w:space="0" w:color="000000"/>
            </w:tcBorders>
            <w:shd w:val="clear" w:color="auto" w:fill="F2F2F2"/>
            <w:tcMar>
              <w:left w:w="112" w:type="dxa"/>
              <w:right w:w="112" w:type="dxa"/>
            </w:tcMar>
          </w:tcPr>
          <w:p w14:paraId="16305974" w14:textId="286B710C" w:rsidR="00C54FDB" w:rsidRPr="00524957" w:rsidRDefault="00C54FDB" w:rsidP="00BE15B4">
            <w:pPr>
              <w:spacing w:line="240" w:lineRule="auto"/>
              <w:rPr>
                <w:sz w:val="18"/>
                <w:szCs w:val="18"/>
              </w:rPr>
            </w:pPr>
            <w:r w:rsidRPr="00524957">
              <w:rPr>
                <w:rFonts w:ascii="Helvetica" w:eastAsia="Helvetica" w:hAnsi="Helvetica" w:cs="Helvetica"/>
                <w:color w:val="3F3F3F"/>
                <w:sz w:val="18"/>
                <w:szCs w:val="18"/>
                <w:lang w:eastAsia="en-US"/>
              </w:rPr>
              <w:t>N/A</w:t>
            </w:r>
          </w:p>
        </w:tc>
      </w:tr>
      <w:tr w:rsidR="00C54FDB" w14:paraId="77CA22C4" w14:textId="77777777" w:rsidTr="00C54FDB">
        <w:trPr>
          <w:trHeight w:val="1"/>
        </w:trPr>
        <w:tc>
          <w:tcPr>
            <w:tcW w:w="2462" w:type="dxa"/>
            <w:tcBorders>
              <w:top w:val="single" w:sz="0" w:space="0" w:color="000000"/>
              <w:left w:val="single" w:sz="0" w:space="0" w:color="000000"/>
              <w:bottom w:val="single" w:sz="4" w:space="0" w:color="808080"/>
              <w:right w:val="single" w:sz="0" w:space="0" w:color="000000"/>
            </w:tcBorders>
            <w:shd w:val="clear" w:color="auto" w:fill="F2F2F2"/>
            <w:tcMar>
              <w:left w:w="112" w:type="dxa"/>
              <w:right w:w="112" w:type="dxa"/>
            </w:tcMar>
          </w:tcPr>
          <w:p w14:paraId="73A10120" w14:textId="7943C3AA" w:rsidR="00C54FDB" w:rsidRPr="00524957" w:rsidRDefault="00C54FDB" w:rsidP="00BE15B4">
            <w:pPr>
              <w:spacing w:line="240" w:lineRule="auto"/>
              <w:rPr>
                <w:sz w:val="18"/>
                <w:szCs w:val="18"/>
              </w:rPr>
            </w:pPr>
            <w:r w:rsidRPr="00524957">
              <w:rPr>
                <w:rFonts w:ascii="Helvetica" w:eastAsia="Helvetica" w:hAnsi="Helvetica" w:cs="Helvetica"/>
                <w:b/>
                <w:color w:val="3F3F3F"/>
                <w:sz w:val="18"/>
                <w:szCs w:val="18"/>
                <w:lang w:eastAsia="en-US"/>
              </w:rPr>
              <w:t>Treatment 1</w:t>
            </w:r>
            <w:r w:rsidRPr="00524957">
              <w:rPr>
                <w:rFonts w:ascii="Helvetica" w:eastAsia="Helvetica" w:hAnsi="Helvetica" w:cs="Helvetica"/>
                <w:color w:val="3F3F3F"/>
                <w:sz w:val="18"/>
                <w:szCs w:val="18"/>
                <w:lang w:eastAsia="en-US"/>
              </w:rPr>
              <w:t>: One third of the parents were sent this text message</w:t>
            </w:r>
          </w:p>
        </w:tc>
        <w:tc>
          <w:tcPr>
            <w:tcW w:w="6496" w:type="dxa"/>
            <w:tcBorders>
              <w:top w:val="single" w:sz="0" w:space="0" w:color="000000"/>
              <w:left w:val="single" w:sz="0" w:space="0" w:color="000000"/>
              <w:bottom w:val="single" w:sz="4" w:space="0" w:color="808080"/>
              <w:right w:val="single" w:sz="0" w:space="0" w:color="000000"/>
            </w:tcBorders>
            <w:shd w:val="clear" w:color="auto" w:fill="F2F2F2"/>
            <w:tcMar>
              <w:left w:w="112" w:type="dxa"/>
              <w:right w:w="112" w:type="dxa"/>
            </w:tcMar>
          </w:tcPr>
          <w:p w14:paraId="02B513ED" w14:textId="649DE988" w:rsidR="00C54FDB" w:rsidRPr="00524957" w:rsidRDefault="00C54FDB" w:rsidP="00BE15B4">
            <w:pPr>
              <w:spacing w:line="240" w:lineRule="auto"/>
              <w:rPr>
                <w:sz w:val="18"/>
                <w:szCs w:val="18"/>
              </w:rPr>
            </w:pPr>
            <w:r w:rsidRPr="00524957">
              <w:rPr>
                <w:rFonts w:ascii="Helvetica" w:eastAsia="Helvetica" w:hAnsi="Helvetica" w:cs="Helvetica"/>
                <w:color w:val="3F3F3F"/>
                <w:sz w:val="18"/>
                <w:szCs w:val="18"/>
                <w:lang w:eastAsia="en-US"/>
              </w:rPr>
              <w:t>[Name] has a vaccine appointment at school this Tuesday. Vaccine preventable diseases are still a problem in the community and the children most at risk, are those that have not been immunised. Please contact 9999 9999 if your child cannot attend.</w:t>
            </w:r>
          </w:p>
        </w:tc>
      </w:tr>
      <w:tr w:rsidR="00C54FDB" w14:paraId="68528FFE" w14:textId="77777777" w:rsidTr="00C54FDB">
        <w:trPr>
          <w:trHeight w:val="1"/>
        </w:trPr>
        <w:tc>
          <w:tcPr>
            <w:tcW w:w="2462" w:type="dxa"/>
            <w:tcBorders>
              <w:top w:val="single" w:sz="0" w:space="0" w:color="000000"/>
              <w:left w:val="single" w:sz="0" w:space="0" w:color="000000"/>
              <w:bottom w:val="single" w:sz="0" w:space="0" w:color="000000"/>
              <w:right w:val="single" w:sz="0" w:space="0" w:color="000000"/>
            </w:tcBorders>
            <w:shd w:val="clear" w:color="auto" w:fill="F2F2F2"/>
            <w:tcMar>
              <w:left w:w="112" w:type="dxa"/>
              <w:right w:w="112" w:type="dxa"/>
            </w:tcMar>
          </w:tcPr>
          <w:p w14:paraId="20A4B7D6" w14:textId="533EA7CA" w:rsidR="00C54FDB" w:rsidRPr="00524957" w:rsidRDefault="00C54FDB" w:rsidP="00BE15B4">
            <w:pPr>
              <w:spacing w:line="240" w:lineRule="auto"/>
              <w:rPr>
                <w:sz w:val="18"/>
                <w:szCs w:val="18"/>
              </w:rPr>
            </w:pPr>
            <w:r w:rsidRPr="00524957">
              <w:rPr>
                <w:rFonts w:ascii="Helvetica" w:eastAsia="Helvetica" w:hAnsi="Helvetica" w:cs="Helvetica"/>
                <w:b/>
                <w:color w:val="3F3F3F"/>
                <w:sz w:val="18"/>
                <w:szCs w:val="18"/>
                <w:lang w:eastAsia="en-US"/>
              </w:rPr>
              <w:t>Treatment 2</w:t>
            </w:r>
            <w:r w:rsidRPr="00524957">
              <w:rPr>
                <w:rFonts w:ascii="Helvetica" w:eastAsia="Helvetica" w:hAnsi="Helvetica" w:cs="Helvetica"/>
                <w:color w:val="3F3F3F"/>
                <w:sz w:val="18"/>
                <w:szCs w:val="18"/>
                <w:lang w:eastAsia="en-US"/>
              </w:rPr>
              <w:t>: One third of the parents were sent this text message</w:t>
            </w:r>
          </w:p>
        </w:tc>
        <w:tc>
          <w:tcPr>
            <w:tcW w:w="6496" w:type="dxa"/>
            <w:tcBorders>
              <w:top w:val="single" w:sz="0" w:space="0" w:color="000000"/>
              <w:left w:val="single" w:sz="0" w:space="0" w:color="000000"/>
              <w:bottom w:val="single" w:sz="0" w:space="0" w:color="000000"/>
              <w:right w:val="single" w:sz="0" w:space="0" w:color="000000"/>
            </w:tcBorders>
            <w:shd w:val="clear" w:color="auto" w:fill="F2F2F2"/>
            <w:tcMar>
              <w:left w:w="112" w:type="dxa"/>
              <w:right w:w="112" w:type="dxa"/>
            </w:tcMar>
          </w:tcPr>
          <w:p w14:paraId="6A2D563F" w14:textId="1568AECE" w:rsidR="00C54FDB" w:rsidRPr="00524957" w:rsidRDefault="00C54FDB" w:rsidP="00BE15B4">
            <w:pPr>
              <w:spacing w:line="240" w:lineRule="auto"/>
              <w:rPr>
                <w:sz w:val="18"/>
                <w:szCs w:val="18"/>
              </w:rPr>
            </w:pPr>
            <w:r w:rsidRPr="00524957">
              <w:rPr>
                <w:rFonts w:ascii="Helvetica" w:eastAsia="Helvetica" w:hAnsi="Helvetica" w:cs="Helvetica"/>
                <w:color w:val="3F3F3F"/>
                <w:sz w:val="18"/>
                <w:szCs w:val="18"/>
                <w:lang w:eastAsia="en-US"/>
              </w:rPr>
              <w:t>[Name] has a vaccine appointment at school this Tuesday. Make a plan now for how [Name] will get to school on time on immunisation day. Please contact 9999 9999 if your child cannot attend. Thank you.</w:t>
            </w:r>
          </w:p>
        </w:tc>
      </w:tr>
    </w:tbl>
    <w:p w14:paraId="4E5612B6" w14:textId="77777777" w:rsidR="00C54FDB" w:rsidRDefault="00C54FDB" w:rsidP="00BE15B4">
      <w:pPr>
        <w:rPr>
          <w:rFonts w:eastAsia="Helvetica"/>
        </w:rPr>
      </w:pPr>
    </w:p>
    <w:p w14:paraId="0ACA320D" w14:textId="1587F2E3" w:rsidR="00892306" w:rsidRPr="00C6390D" w:rsidRDefault="00892306" w:rsidP="00C6390D">
      <w:pPr>
        <w:rPr>
          <w:rFonts w:eastAsia="Helvetica"/>
        </w:rPr>
      </w:pPr>
      <w:r w:rsidRPr="00C6390D">
        <w:rPr>
          <w:rFonts w:eastAsia="Helvetica"/>
        </w:rPr>
        <w:lastRenderedPageBreak/>
        <w:t>The trial showed sending a text message to parents improved vaccination rates by up to 3.3 percentage points. In the control group, 85.7 per cent of consenting students received all three vaccine doses. Conversely, in the intervention groups, 88.4 to 89 per cent of students received all three doses</w:t>
      </w:r>
      <w:r w:rsidR="00C6390D" w:rsidRPr="00C6390D">
        <w:rPr>
          <w:rFonts w:eastAsia="Helvetica"/>
        </w:rPr>
        <w:t xml:space="preserve"> (these effects were significant at p &lt; 0.05)</w:t>
      </w:r>
      <w:r w:rsidRPr="00C6390D">
        <w:rPr>
          <w:rFonts w:eastAsia="Helvetica"/>
        </w:rPr>
        <w:t>.</w:t>
      </w:r>
    </w:p>
    <w:p w14:paraId="09EEC749" w14:textId="77777777" w:rsidR="00892306" w:rsidRDefault="00892306" w:rsidP="00BE15B4">
      <w:pPr>
        <w:rPr>
          <w:rFonts w:eastAsia="Helvetica"/>
        </w:rPr>
      </w:pPr>
      <w:r>
        <w:rPr>
          <w:rFonts w:eastAsia="Helvetica"/>
          <w:b/>
        </w:rPr>
        <w:t>The effect persisted</w:t>
      </w:r>
      <w:r>
        <w:rPr>
          <w:rFonts w:eastAsia="Helvetica"/>
        </w:rPr>
        <w:t xml:space="preserve"> following the school clinic. Students whose parents received a reminder text message were up to 2.5 percentage points more likely to be vaccinated over an extended follow-up period than students whose parents did not receive a text message.</w:t>
      </w:r>
    </w:p>
    <w:p w14:paraId="285FF597" w14:textId="77777777" w:rsidR="00892306" w:rsidRDefault="00892306" w:rsidP="00BE15B4">
      <w:pPr>
        <w:rPr>
          <w:rFonts w:eastAsia="Helvetica"/>
        </w:rPr>
      </w:pPr>
      <w:r>
        <w:rPr>
          <w:rFonts w:eastAsia="Helvetica"/>
        </w:rPr>
        <w:t>The difference between the two text message groups and the control group was significant. However, there was no significant difference in the effects of the two text messages.</w:t>
      </w:r>
    </w:p>
    <w:p w14:paraId="67EA5F57" w14:textId="77777777" w:rsidR="00251049" w:rsidRDefault="0042761E" w:rsidP="004E3FC0">
      <w:pPr>
        <w:pStyle w:val="StyleCaptionHelveticaNotBoldCustomColorRGB17116121"/>
        <w:jc w:val="both"/>
        <w:rPr>
          <w:rFonts w:eastAsia="Helvetica"/>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w:t>
      </w:r>
      <w:r w:rsidR="003035A6">
        <w:rPr>
          <w:noProof/>
        </w:rPr>
        <w:fldChar w:fldCharType="end"/>
      </w:r>
      <w:r>
        <w:t xml:space="preserve">: </w:t>
      </w:r>
      <w:r w:rsidR="007206BA">
        <w:rPr>
          <w:rFonts w:eastAsia="Helvetica"/>
        </w:rPr>
        <w:t>Vac</w:t>
      </w:r>
      <w:r w:rsidR="000C26EF" w:rsidRPr="000C26EF">
        <w:rPr>
          <w:rFonts w:eastAsia="Helvetica"/>
        </w:rPr>
        <w:t>cination rate among students with consent on the day of the third school-based immunisation clinic</w:t>
      </w:r>
    </w:p>
    <w:p w14:paraId="25587B20" w14:textId="389FB050" w:rsidR="004B4771" w:rsidRDefault="00C6390D" w:rsidP="00C6390D">
      <w:pPr>
        <w:pStyle w:val="StyleCaptionHelveticaNotBoldCustomColorRGB17116121"/>
        <w:jc w:val="both"/>
        <w:rPr>
          <w:rFonts w:eastAsia="Helvetica"/>
        </w:rPr>
      </w:pPr>
      <w:r>
        <w:rPr>
          <w:rFonts w:eastAsia="Helvetica"/>
          <w:noProof/>
        </w:rPr>
        <w:drawing>
          <wp:inline distT="0" distB="0" distL="0" distR="0" wp14:anchorId="2F003CAC" wp14:editId="263E6F06">
            <wp:extent cx="5384800" cy="2311400"/>
            <wp:effectExtent l="0" t="0" r="0" b="0"/>
            <wp:docPr id="116" name="Picture 116" descr="The results showed the letter increased the proportion of schools providing parents’ contact details to their local government from 41.4 to 54.0 per cent (p &lt; 0.05). The letter also increased the proportion of schools providing data about vaccinated students from 31.2 to 42.0 per cent (p &lt; 0.05)."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2.png"/>
                    <pic:cNvPicPr/>
                  </pic:nvPicPr>
                  <pic:blipFill>
                    <a:blip r:embed="rId36">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4E785164" w14:textId="77777777" w:rsidR="00251049" w:rsidRDefault="00251049" w:rsidP="00D33213">
      <w:pPr>
        <w:pStyle w:val="h4"/>
      </w:pPr>
      <w:r>
        <w:t xml:space="preserve">Future opportunities </w:t>
      </w:r>
    </w:p>
    <w:p w14:paraId="00A450B6" w14:textId="3A596D2B" w:rsidR="00892306" w:rsidRDefault="00892306" w:rsidP="00BE15B4">
      <w:pPr>
        <w:rPr>
          <w:rFonts w:eastAsia="Helvetica"/>
        </w:rPr>
      </w:pPr>
      <w:r>
        <w:rPr>
          <w:rFonts w:eastAsia="Helvetica"/>
        </w:rPr>
        <w:t>Our findings suggest the content of a reminder text message is less important than receiving the reminder in the first place. No statistically significant difference was found in relation to the effect of the two different reminders. In the future, the effects of using other behavioural insights when messaging parents, such as social norms, should be examined.</w:t>
      </w:r>
    </w:p>
    <w:p w14:paraId="3AB8FD28" w14:textId="42C5B407" w:rsidR="00892306" w:rsidRDefault="00892306" w:rsidP="00BE15B4">
      <w:pPr>
        <w:rPr>
          <w:rFonts w:eastAsia="Helvetica"/>
        </w:rPr>
      </w:pPr>
      <w:r>
        <w:rPr>
          <w:rFonts w:eastAsia="Helvetica"/>
        </w:rPr>
        <w:t>The reminders were low cost and easy to send</w:t>
      </w:r>
      <w:r w:rsidR="00076938">
        <w:rPr>
          <w:rFonts w:eastAsia="Helvetica"/>
        </w:rPr>
        <w:t>,</w:t>
      </w:r>
      <w:r>
        <w:rPr>
          <w:rFonts w:eastAsia="Helvetica"/>
        </w:rPr>
        <w:t xml:space="preserve"> however substantial time was required to obtain parents’ contact details, students’ vaccine status and information from local </w:t>
      </w:r>
      <w:r w:rsidR="000C26EF">
        <w:rPr>
          <w:rFonts w:eastAsia="Helvetica"/>
        </w:rPr>
        <w:t>governments</w:t>
      </w:r>
      <w:r>
        <w:rPr>
          <w:rFonts w:eastAsia="Helvetica"/>
        </w:rPr>
        <w:t xml:space="preserve"> about the scheduling of the school-based clinics. A significant friction cost is likely to arise if schools are required to manage similar interventions without any support.</w:t>
      </w:r>
    </w:p>
    <w:p w14:paraId="19616899" w14:textId="2F8FC74C" w:rsidR="00905796" w:rsidRDefault="00905796" w:rsidP="00BE15B4">
      <w:pPr>
        <w:rPr>
          <w:rFonts w:eastAsia="Helvetica"/>
        </w:rPr>
      </w:pPr>
    </w:p>
    <w:p w14:paraId="576BD167" w14:textId="4EF0DA6E" w:rsidR="001A05C3" w:rsidRDefault="00BE15B4">
      <w:pPr>
        <w:keepLines w:val="0"/>
        <w:spacing w:before="0" w:after="0" w:line="240" w:lineRule="auto"/>
        <w:rPr>
          <w:rFonts w:eastAsia="Helvetica"/>
        </w:rPr>
      </w:pPr>
      <w:r>
        <w:rPr>
          <w:rFonts w:eastAsia="Helvetica"/>
        </w:rPr>
        <w:br w:type="page"/>
      </w:r>
    </w:p>
    <w:tbl>
      <w:tblPr>
        <w:tblStyle w:val="TableGrid"/>
        <w:tblpPr w:leftFromText="180" w:rightFromText="180" w:vertAnchor="page" w:horzAnchor="margin" w:tblpY="5376"/>
        <w:tblW w:w="8826" w:type="dxa"/>
        <w:tblLook w:val="04A0" w:firstRow="1" w:lastRow="0" w:firstColumn="1" w:lastColumn="0" w:noHBand="0" w:noVBand="1"/>
        <w:tblCaption w:val="Improving immunisation data quality and data sharing by schools"/>
        <w:tblDescription w:val="Text box description of a trial to improve the quality and quantity of immunisation data provided by schools in Victoria. "/>
      </w:tblPr>
      <w:tblGrid>
        <w:gridCol w:w="8826"/>
      </w:tblGrid>
      <w:tr w:rsidR="00365987" w14:paraId="674C30E5" w14:textId="77777777" w:rsidTr="003B476D">
        <w:trPr>
          <w:trHeight w:val="4816"/>
        </w:trPr>
        <w:tc>
          <w:tcPr>
            <w:tcW w:w="8826" w:type="dxa"/>
            <w:shd w:val="clear" w:color="auto" w:fill="D9D9D9" w:themeFill="background1" w:themeFillShade="D9"/>
          </w:tcPr>
          <w:p w14:paraId="6696866B" w14:textId="332A86C5" w:rsidR="00365987" w:rsidRPr="00AD7F28" w:rsidRDefault="00365987" w:rsidP="001A05C3">
            <w:pPr>
              <w:spacing w:after="240" w:line="320" w:lineRule="auto"/>
              <w:rPr>
                <w:rFonts w:ascii="Helvetica" w:eastAsia="Helvetica" w:hAnsi="Helvetica" w:cs="Helvetica"/>
                <w:color w:val="3F3F3F"/>
                <w:sz w:val="24"/>
              </w:rPr>
            </w:pPr>
            <w:bookmarkStart w:id="14" w:name="_Toc515874429"/>
            <w:bookmarkStart w:id="15" w:name="_Toc515874500"/>
            <w:bookmarkStart w:id="16" w:name="_Toc515874670"/>
            <w:r w:rsidRPr="00AD7F28">
              <w:rPr>
                <w:rFonts w:ascii="Helvetica" w:eastAsia="Helvetica" w:hAnsi="Helvetica" w:cs="Helvetica"/>
                <w:color w:val="3F3F3F"/>
                <w:sz w:val="24"/>
              </w:rPr>
              <w:lastRenderedPageBreak/>
              <w:t xml:space="preserve">Access to information about outcomes is critical to understanding the effectiveness of behavioural interventions. Our project aimed to improve the quantity and quality of data provided by schools. School immunisation coordinators were sent letters in which they were encouraged to formulate an action plan as to when and how they would provide the relevant data. </w:t>
            </w:r>
          </w:p>
          <w:p w14:paraId="37AF9DF9" w14:textId="6946BC5E" w:rsidR="00365987" w:rsidRPr="004E3FC0" w:rsidRDefault="00365987"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This intervention increased the data provided by schools by 31.2 per cent.</w:t>
            </w:r>
          </w:p>
        </w:tc>
      </w:tr>
    </w:tbl>
    <w:bookmarkEnd w:id="14"/>
    <w:bookmarkEnd w:id="15"/>
    <w:bookmarkEnd w:id="16"/>
    <w:p w14:paraId="3239943D" w14:textId="24DA380D" w:rsidR="00336088" w:rsidRDefault="00336088" w:rsidP="00336088">
      <w:pPr>
        <w:pStyle w:val="Heading3"/>
        <w:framePr w:hSpace="0" w:wrap="auto" w:vAnchor="margin" w:hAnchor="text" w:xAlign="left" w:yAlign="inline"/>
        <w:spacing w:after="240"/>
        <w:ind w:right="-851"/>
        <w:rPr>
          <w:bCs/>
        </w:rPr>
      </w:pPr>
      <w:r w:rsidRPr="001A05C3">
        <w:rPr>
          <w:bCs/>
        </w:rPr>
        <w:t>Improving immunisation data quality and data sharing by schools</w:t>
      </w:r>
    </w:p>
    <w:p w14:paraId="62A509F6" w14:textId="5CBD264D" w:rsidR="00AA28B4" w:rsidRDefault="00AA28B4" w:rsidP="00AA28B4"/>
    <w:p w14:paraId="5F732D17" w14:textId="77777777" w:rsidR="00AA28B4" w:rsidRPr="00AA28B4" w:rsidRDefault="00AA28B4" w:rsidP="00AA28B4"/>
    <w:p w14:paraId="4AC7D4E9" w14:textId="3F08A632" w:rsidR="003B476D" w:rsidRDefault="009E4B24" w:rsidP="003B476D">
      <w:pPr>
        <w:jc w:val="both"/>
        <w:outlineLvl w:val="3"/>
        <w:rPr>
          <w:rFonts w:ascii="Helvetica" w:hAnsi="Helvetica" w:cs="Helvetica"/>
          <w:b/>
          <w:color w:val="0E6064"/>
          <w:sz w:val="32"/>
          <w:szCs w:val="32"/>
        </w:rPr>
      </w:pPr>
      <w:r w:rsidRPr="004E3FC0">
        <w:rPr>
          <w:rFonts w:ascii="Helvetica" w:hAnsi="Helvetica" w:cs="Helvetica"/>
          <w:b/>
          <w:color w:val="0E6064"/>
          <w:sz w:val="32"/>
          <w:szCs w:val="32"/>
        </w:rPr>
        <w:t>Abstract</w:t>
      </w:r>
    </w:p>
    <w:p w14:paraId="1FE727C5" w14:textId="732457F6" w:rsidR="003B476D" w:rsidRPr="003B476D" w:rsidRDefault="003B476D" w:rsidP="003B476D">
      <w:pPr>
        <w:pStyle w:val="h4"/>
      </w:pPr>
      <w:r>
        <w:t>Project by</w:t>
      </w:r>
    </w:p>
    <w:p w14:paraId="0484C27E" w14:textId="544F60D1" w:rsidR="003B476D" w:rsidRDefault="003B476D">
      <w:pPr>
        <w:keepLines w:val="0"/>
        <w:spacing w:before="0" w:after="0" w:line="240" w:lineRule="auto"/>
        <w:rPr>
          <w:rFonts w:ascii="Helvetica" w:eastAsia="Helvetica" w:hAnsi="Helvetica" w:cs="Helvetica"/>
          <w:b/>
          <w:color w:val="117479"/>
          <w:sz w:val="36"/>
        </w:rPr>
      </w:pPr>
      <w:r>
        <w:rPr>
          <w:noProof/>
        </w:rPr>
        <w:drawing>
          <wp:anchor distT="0" distB="0" distL="114300" distR="114300" simplePos="0" relativeHeight="251775488" behindDoc="0" locked="0" layoutInCell="1" allowOverlap="1" wp14:anchorId="08CF7FCE" wp14:editId="2417949F">
            <wp:simplePos x="0" y="0"/>
            <wp:positionH relativeFrom="column">
              <wp:posOffset>4086536</wp:posOffset>
            </wp:positionH>
            <wp:positionV relativeFrom="paragraph">
              <wp:posOffset>1068558</wp:posOffset>
            </wp:positionV>
            <wp:extent cx="1583690" cy="344170"/>
            <wp:effectExtent l="0" t="0" r="0" b="0"/>
            <wp:wrapNone/>
            <wp:docPr id="728" name="Picture 728" descr="Behaviour Works Australi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WA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83690" cy="3441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3440" behindDoc="1" locked="0" layoutInCell="1" allowOverlap="1" wp14:anchorId="3CD72337" wp14:editId="6C086C71">
            <wp:simplePos x="0" y="0"/>
            <wp:positionH relativeFrom="margin">
              <wp:posOffset>1384049</wp:posOffset>
            </wp:positionH>
            <wp:positionV relativeFrom="paragraph">
              <wp:posOffset>345440</wp:posOffset>
            </wp:positionV>
            <wp:extent cx="2247900" cy="287655"/>
            <wp:effectExtent l="0" t="0" r="0" b="0"/>
            <wp:wrapNone/>
            <wp:docPr id="74" name="Picture 74" descr="Public Sector Innovation unit Victoria State Government&#10;"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IF - Logo (blu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7900" cy="287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416" behindDoc="0" locked="0" layoutInCell="1" allowOverlap="1" wp14:anchorId="53BC195F" wp14:editId="23F8663C">
            <wp:simplePos x="0" y="0"/>
            <wp:positionH relativeFrom="margin">
              <wp:posOffset>1354042</wp:posOffset>
            </wp:positionH>
            <wp:positionV relativeFrom="paragraph">
              <wp:posOffset>1060007</wp:posOffset>
            </wp:positionV>
            <wp:extent cx="2329180" cy="323850"/>
            <wp:effectExtent l="0" t="0" r="0" b="0"/>
            <wp:wrapNone/>
            <wp:docPr id="70" name="Picture 70" descr="Behavioural Insights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 Unit logo (purp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91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464" behindDoc="0" locked="0" layoutInCell="1" allowOverlap="1" wp14:anchorId="48CAADEE" wp14:editId="2E359BCB">
            <wp:simplePos x="0" y="0"/>
            <wp:positionH relativeFrom="column">
              <wp:posOffset>4147820</wp:posOffset>
            </wp:positionH>
            <wp:positionV relativeFrom="paragraph">
              <wp:posOffset>305583</wp:posOffset>
            </wp:positionV>
            <wp:extent cx="1450340" cy="431800"/>
            <wp:effectExtent l="0" t="0" r="0" b="6350"/>
            <wp:wrapNone/>
            <wp:docPr id="76" name="Picture 76" descr="Health and Human Services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r="11784"/>
                    <a:stretch>
                      <a:fillRect/>
                    </a:stretch>
                  </pic:blipFill>
                  <pic:spPr bwMode="auto">
                    <a:xfrm>
                      <a:off x="0" y="0"/>
                      <a:ext cx="14503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17479"/>
          <w:sz w:val="36"/>
        </w:rPr>
        <w:br w:type="page"/>
      </w:r>
    </w:p>
    <w:p w14:paraId="14AACBAF" w14:textId="069825B7" w:rsidR="00251049" w:rsidRDefault="00251049" w:rsidP="003B476D">
      <w:pPr>
        <w:pStyle w:val="h4"/>
      </w:pPr>
      <w:r>
        <w:lastRenderedPageBreak/>
        <w:t xml:space="preserve">The policy problem </w:t>
      </w:r>
    </w:p>
    <w:p w14:paraId="0DD3C4B2" w14:textId="25BD5B09" w:rsidR="00892306" w:rsidRDefault="00892306" w:rsidP="00BE15B4">
      <w:pPr>
        <w:rPr>
          <w:rFonts w:ascii="Times New Roman" w:hAnsi="Times New Roman"/>
          <w:sz w:val="24"/>
        </w:rPr>
      </w:pPr>
      <w:r>
        <w:rPr>
          <w:rFonts w:eastAsia="Helvetica"/>
        </w:rPr>
        <w:t xml:space="preserve">Evidence-based policy design is often limited by the quality of the data available. Even if data provision has been authorised, data </w:t>
      </w:r>
      <w:r w:rsidR="00076938">
        <w:rPr>
          <w:rFonts w:eastAsia="Helvetica"/>
        </w:rPr>
        <w:t xml:space="preserve">is </w:t>
      </w:r>
      <w:r>
        <w:rPr>
          <w:rFonts w:eastAsia="Helvetica"/>
        </w:rPr>
        <w:t>often under-reported or not up-to-date. To enable governments to address the issues related to poor quality and non-existent data, the causes of both need to be understood.</w:t>
      </w:r>
      <w:r>
        <w:rPr>
          <w:rStyle w:val="FootnoteReference"/>
        </w:rPr>
        <w:footnoteReference w:id="13"/>
      </w:r>
    </w:p>
    <w:p w14:paraId="06B25C64" w14:textId="77777777" w:rsidR="00251049" w:rsidRDefault="00251049" w:rsidP="00D33213">
      <w:pPr>
        <w:pStyle w:val="h4"/>
      </w:pPr>
      <w:r>
        <w:t xml:space="preserve">Our findings and learnings </w:t>
      </w:r>
    </w:p>
    <w:p w14:paraId="6BE57C0F" w14:textId="08273C32" w:rsidR="00892306" w:rsidRDefault="00892306" w:rsidP="00BE15B4">
      <w:pPr>
        <w:rPr>
          <w:rFonts w:eastAsia="Helvetica"/>
        </w:rPr>
      </w:pPr>
      <w:r>
        <w:rPr>
          <w:rFonts w:eastAsia="Helvetica"/>
        </w:rPr>
        <w:t xml:space="preserve">In the course of designing three trials to increase the uptake of vaccinations, we discovered while Victorian schools are authorised to provide data to the </w:t>
      </w:r>
      <w:r>
        <w:rPr>
          <w:rFonts w:ascii="Helvetica" w:eastAsia="Helvetica" w:hAnsi="Helvetica" w:cs="Helvetica"/>
          <w:color w:val="3F3F3F"/>
        </w:rPr>
        <w:t xml:space="preserve">Department of Health and Human Services </w:t>
      </w:r>
      <w:r w:rsidR="00C52A19">
        <w:rPr>
          <w:rFonts w:ascii="Helvetica" w:eastAsia="Helvetica" w:hAnsi="Helvetica" w:cs="Helvetica"/>
          <w:color w:val="3F3F3F"/>
        </w:rPr>
        <w:t>via local governments</w:t>
      </w:r>
      <w:r>
        <w:rPr>
          <w:rFonts w:ascii="Helvetica" w:eastAsia="Helvetica" w:hAnsi="Helvetica" w:cs="Helvetica"/>
          <w:color w:val="3F3F3F"/>
        </w:rPr>
        <w:t xml:space="preserve"> </w:t>
      </w:r>
      <w:r w:rsidR="00076938">
        <w:rPr>
          <w:rFonts w:eastAsia="Helvetica"/>
        </w:rPr>
        <w:t>to encourage</w:t>
      </w:r>
      <w:r>
        <w:rPr>
          <w:rFonts w:eastAsia="Helvetica"/>
        </w:rPr>
        <w:t xml:space="preserve"> individuals to take advantage of vaccination services, over 50 per cent do not.</w:t>
      </w:r>
    </w:p>
    <w:p w14:paraId="5DD53878" w14:textId="30BF353F" w:rsidR="00892306" w:rsidRDefault="00892306" w:rsidP="00BE15B4">
      <w:pPr>
        <w:rPr>
          <w:rFonts w:eastAsia="Helvetica"/>
        </w:rPr>
      </w:pPr>
      <w:r>
        <w:rPr>
          <w:rFonts w:eastAsia="Helvetica"/>
        </w:rPr>
        <w:t>We trialled an intervention to encourage schools to supply this data</w:t>
      </w:r>
      <w:r>
        <w:rPr>
          <w:rStyle w:val="FootnoteReference"/>
        </w:rPr>
        <w:footnoteReference w:id="14"/>
      </w:r>
      <w:r>
        <w:rPr>
          <w:rFonts w:eastAsia="Helvetica"/>
        </w:rPr>
        <w:t xml:space="preserve"> by ensuring the information request was salient.</w:t>
      </w:r>
    </w:p>
    <w:p w14:paraId="3D6B92EF" w14:textId="77777777" w:rsidR="000933C6" w:rsidRDefault="000933C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4BC781AC" w14:textId="77777777" w:rsidTr="008C083D">
        <w:trPr>
          <w:trHeight w:val="1"/>
        </w:trPr>
        <w:tc>
          <w:tcPr>
            <w:tcW w:w="5000" w:type="pct"/>
            <w:shd w:val="clear" w:color="auto" w:fill="F2F2F2"/>
            <w:tcMar>
              <w:left w:w="108" w:type="dxa"/>
              <w:right w:w="108" w:type="dxa"/>
            </w:tcMar>
          </w:tcPr>
          <w:p w14:paraId="198E7EA5" w14:textId="31907072" w:rsidR="00251049" w:rsidRDefault="00E702C3" w:rsidP="00D33213">
            <w:pPr>
              <w:spacing w:line="259" w:lineRule="auto"/>
              <w:jc w:val="both"/>
              <w:outlineLvl w:val="4"/>
              <w:rPr>
                <w:rFonts w:ascii="Helvetica" w:eastAsia="Helvetica" w:hAnsi="Helvetica" w:cs="Helvetica"/>
                <w:b/>
                <w:color w:val="142E3B"/>
                <w:sz w:val="24"/>
              </w:rPr>
            </w:pPr>
            <w:r>
              <w:rPr>
                <w:i/>
                <w:iCs/>
                <w:noProof/>
                <w:color w:val="142E3B" w:themeColor="accent6"/>
                <w:sz w:val="28"/>
              </w:rPr>
              <w:drawing>
                <wp:anchor distT="0" distB="0" distL="0" distR="114300" simplePos="0" relativeHeight="251608576" behindDoc="1" locked="0" layoutInCell="1" allowOverlap="1" wp14:anchorId="133F0B42" wp14:editId="314F1F73">
                  <wp:simplePos x="0" y="0"/>
                  <wp:positionH relativeFrom="margin">
                    <wp:posOffset>-635</wp:posOffset>
                  </wp:positionH>
                  <wp:positionV relativeFrom="paragraph">
                    <wp:posOffset>41370</wp:posOffset>
                  </wp:positionV>
                  <wp:extent cx="370800" cy="370800"/>
                  <wp:effectExtent l="0" t="0" r="0" b="0"/>
                  <wp:wrapTight wrapText="bothSides">
                    <wp:wrapPolygon edited="0">
                      <wp:start x="0" y="0"/>
                      <wp:lineTo x="0" y="20007"/>
                      <wp:lineTo x="20007" y="20007"/>
                      <wp:lineTo x="20007" y="0"/>
                      <wp:lineTo x="0" y="0"/>
                    </wp:wrapPolygon>
                  </wp:wrapTight>
                  <wp:docPr id="37" name="Picture 37" descr="Behavioural Insight"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w:t>
            </w:r>
            <w:r w:rsidR="00CF0EFF">
              <w:rPr>
                <w:rFonts w:ascii="Helvetica" w:eastAsia="Helvetica" w:hAnsi="Helvetica" w:cs="Helvetica"/>
                <w:b/>
                <w:color w:val="142E3B"/>
                <w:sz w:val="24"/>
              </w:rPr>
              <w:t>l</w:t>
            </w:r>
            <w:r w:rsidR="00251049">
              <w:rPr>
                <w:rFonts w:ascii="Helvetica" w:eastAsia="Helvetica" w:hAnsi="Helvetica" w:cs="Helvetica"/>
                <w:b/>
                <w:color w:val="142E3B"/>
                <w:sz w:val="24"/>
              </w:rPr>
              <w:t xml:space="preserve"> insight</w:t>
            </w:r>
          </w:p>
          <w:p w14:paraId="0A9D3359" w14:textId="149860AF" w:rsidR="00251049" w:rsidRPr="00FC3BFF" w:rsidRDefault="00251049" w:rsidP="00BE15B4">
            <w:pPr>
              <w:rPr>
                <w:rFonts w:ascii="Times New Roman" w:eastAsiaTheme="minorHAnsi" w:hAnsi="Times New Roman"/>
                <w:color w:val="auto"/>
                <w:sz w:val="24"/>
                <w:szCs w:val="24"/>
              </w:rPr>
            </w:pPr>
            <w:r w:rsidRPr="00E702C3">
              <w:rPr>
                <w:rFonts w:eastAsia="Helvetica"/>
                <w:b/>
                <w:color w:val="auto"/>
              </w:rPr>
              <w:t>Salience</w:t>
            </w:r>
            <w:r w:rsidRPr="00E702C3">
              <w:rPr>
                <w:rFonts w:eastAsia="Helvetica"/>
                <w:color w:val="auto"/>
              </w:rPr>
              <w:t xml:space="preserve"> </w:t>
            </w:r>
            <w:r w:rsidR="00FC3BFF">
              <w:rPr>
                <w:rFonts w:eastAsia="Helvetica"/>
              </w:rPr>
              <w:t>is the concept that people are more likely to respond to information which is novel, simple and accessible.</w:t>
            </w:r>
            <w:r w:rsidR="00FC3BFF">
              <w:rPr>
                <w:rStyle w:val="FootnoteReference"/>
                <w:iCs/>
              </w:rPr>
              <w:footnoteReference w:id="15"/>
            </w:r>
            <w:r w:rsidR="00FC3BFF">
              <w:rPr>
                <w:rFonts w:eastAsia="Helvetica"/>
              </w:rPr>
              <w:t xml:space="preserve"> Drawing important information to people’s attention and presenting it in a salient way can have a strong effect on people’s behaviour.</w:t>
            </w:r>
            <w:r w:rsidR="00FC3BFF">
              <w:rPr>
                <w:rFonts w:ascii="Times New Roman" w:eastAsiaTheme="minorHAnsi" w:hAnsi="Times New Roman"/>
                <w:color w:val="auto"/>
                <w:sz w:val="24"/>
                <w:szCs w:val="24"/>
              </w:rPr>
              <w:t xml:space="preserve"> </w:t>
            </w:r>
          </w:p>
        </w:tc>
      </w:tr>
    </w:tbl>
    <w:p w14:paraId="25BC4ECF" w14:textId="77777777" w:rsidR="000933C6" w:rsidRDefault="000933C6" w:rsidP="00BE15B4">
      <w:pPr>
        <w:rPr>
          <w:rFonts w:eastAsia="Helvetica"/>
        </w:rPr>
      </w:pPr>
    </w:p>
    <w:p w14:paraId="3FC680FF" w14:textId="10670C62" w:rsidR="00251049" w:rsidRDefault="00251049" w:rsidP="00BE15B4">
      <w:pPr>
        <w:rPr>
          <w:rFonts w:eastAsia="Helvetica"/>
        </w:rPr>
      </w:pPr>
      <w:r>
        <w:rPr>
          <w:rFonts w:eastAsia="Helvetica"/>
        </w:rPr>
        <w:t xml:space="preserve">A letter was sent to immunisation </w:t>
      </w:r>
      <w:r w:rsidRPr="00301E43">
        <w:rPr>
          <w:rFonts w:eastAsia="Helvetica"/>
        </w:rPr>
        <w:t>coordinators</w:t>
      </w:r>
      <w:r w:rsidR="00892306">
        <w:rPr>
          <w:rFonts w:eastAsia="Helvetica"/>
        </w:rPr>
        <w:t>,</w:t>
      </w:r>
      <w:r w:rsidR="00076938">
        <w:rPr>
          <w:rFonts w:eastAsia="Helvetica"/>
        </w:rPr>
        <w:t xml:space="preserve"> </w:t>
      </w:r>
      <w:r w:rsidR="00C52A19">
        <w:rPr>
          <w:rFonts w:eastAsia="Helvetica"/>
        </w:rPr>
        <w:t>noting</w:t>
      </w:r>
      <w:r>
        <w:rPr>
          <w:rFonts w:eastAsia="Helvetica"/>
        </w:rPr>
        <w:t>:</w:t>
      </w:r>
    </w:p>
    <w:p w14:paraId="3D4F847D" w14:textId="6CEE2035" w:rsidR="00251049" w:rsidRDefault="00FC3BFF" w:rsidP="003A373A">
      <w:pPr>
        <w:keepLines w:val="0"/>
        <w:numPr>
          <w:ilvl w:val="0"/>
          <w:numId w:val="9"/>
        </w:numPr>
        <w:tabs>
          <w:tab w:val="left" w:pos="360"/>
        </w:tabs>
        <w:spacing w:before="120" w:after="120" w:line="280" w:lineRule="auto"/>
        <w:ind w:left="360" w:hanging="360"/>
        <w:rPr>
          <w:rFonts w:ascii="Helvetica" w:eastAsia="Helvetica" w:hAnsi="Helvetica" w:cs="Helvetica"/>
          <w:color w:val="3F3F3F"/>
        </w:rPr>
      </w:pPr>
      <w:r>
        <w:rPr>
          <w:rFonts w:ascii="Helvetica" w:eastAsia="Helvetica" w:hAnsi="Helvetica" w:cs="Helvetica"/>
          <w:color w:val="3F3F3F"/>
        </w:rPr>
        <w:t>all</w:t>
      </w:r>
      <w:r w:rsidR="00251049">
        <w:rPr>
          <w:rFonts w:ascii="Helvetica" w:eastAsia="Helvetica" w:hAnsi="Helvetica" w:cs="Helvetica"/>
          <w:color w:val="3F3F3F"/>
        </w:rPr>
        <w:t xml:space="preserve"> Victorian schools are authorised to share student and parent data with the department</w:t>
      </w:r>
    </w:p>
    <w:p w14:paraId="2E9A7EB0" w14:textId="0AFFB031" w:rsidR="00251049" w:rsidRDefault="00FC3BFF" w:rsidP="003A373A">
      <w:pPr>
        <w:keepLines w:val="0"/>
        <w:numPr>
          <w:ilvl w:val="0"/>
          <w:numId w:val="9"/>
        </w:numPr>
        <w:tabs>
          <w:tab w:val="left" w:pos="360"/>
        </w:tabs>
        <w:spacing w:before="120" w:after="120" w:line="280" w:lineRule="auto"/>
        <w:ind w:left="360" w:hanging="360"/>
        <w:rPr>
          <w:rFonts w:ascii="Helvetica" w:eastAsia="Helvetica" w:hAnsi="Helvetica" w:cs="Helvetica"/>
          <w:color w:val="3F3F3F"/>
        </w:rPr>
      </w:pPr>
      <w:r>
        <w:rPr>
          <w:rFonts w:ascii="Helvetica" w:eastAsia="Helvetica" w:hAnsi="Helvetica" w:cs="Helvetica"/>
          <w:color w:val="3F3F3F"/>
        </w:rPr>
        <w:t>the</w:t>
      </w:r>
      <w:r w:rsidR="00251049">
        <w:rPr>
          <w:rFonts w:ascii="Helvetica" w:eastAsia="Helvetica" w:hAnsi="Helvetica" w:cs="Helvetica"/>
          <w:color w:val="3F3F3F"/>
        </w:rPr>
        <w:t xml:space="preserve"> data </w:t>
      </w:r>
      <w:r w:rsidR="00C52A19">
        <w:rPr>
          <w:rFonts w:ascii="Helvetica" w:eastAsia="Helvetica" w:hAnsi="Helvetica" w:cs="Helvetica"/>
          <w:color w:val="3F3F3F"/>
        </w:rPr>
        <w:t xml:space="preserve">can </w:t>
      </w:r>
      <w:r w:rsidR="00251049">
        <w:rPr>
          <w:rFonts w:ascii="Helvetica" w:eastAsia="Helvetica" w:hAnsi="Helvetica" w:cs="Helvetica"/>
          <w:color w:val="3F3F3F"/>
        </w:rPr>
        <w:t>include contact details and demographic data</w:t>
      </w:r>
    </w:p>
    <w:p w14:paraId="74A79132" w14:textId="66EAF12D" w:rsidR="00892306" w:rsidRPr="00892306" w:rsidRDefault="00FC3BFF" w:rsidP="003A373A">
      <w:pPr>
        <w:keepLines w:val="0"/>
        <w:numPr>
          <w:ilvl w:val="0"/>
          <w:numId w:val="9"/>
        </w:numPr>
        <w:tabs>
          <w:tab w:val="left" w:pos="360"/>
        </w:tabs>
        <w:spacing w:before="120" w:after="120" w:line="280" w:lineRule="auto"/>
        <w:ind w:left="360" w:hanging="360"/>
        <w:rPr>
          <w:rFonts w:eastAsia="Helvetica"/>
        </w:rPr>
      </w:pPr>
      <w:r w:rsidRPr="00892306">
        <w:rPr>
          <w:rFonts w:ascii="Helvetica" w:eastAsia="Helvetica" w:hAnsi="Helvetica" w:cs="Helvetica"/>
          <w:color w:val="3F3F3F"/>
        </w:rPr>
        <w:t>t</w:t>
      </w:r>
      <w:r w:rsidR="00251049" w:rsidRPr="00892306">
        <w:rPr>
          <w:rFonts w:ascii="Helvetica" w:eastAsia="Helvetica" w:hAnsi="Helvetica" w:cs="Helvetica"/>
          <w:color w:val="3F3F3F"/>
        </w:rPr>
        <w:t xml:space="preserve">here are benefits to sharing data </w:t>
      </w:r>
      <w:r w:rsidRPr="00892306">
        <w:rPr>
          <w:rFonts w:ascii="Helvetica" w:eastAsia="Helvetica" w:hAnsi="Helvetica" w:cs="Helvetica"/>
          <w:color w:val="3F3F3F"/>
        </w:rPr>
        <w:t>(with</w:t>
      </w:r>
      <w:r w:rsidR="00251049" w:rsidRPr="00892306">
        <w:rPr>
          <w:rFonts w:ascii="Helvetica" w:eastAsia="Helvetica" w:hAnsi="Helvetica" w:cs="Helvetica"/>
          <w:color w:val="3F3F3F"/>
        </w:rPr>
        <w:t xml:space="preserve"> an explanation of how to share the data</w:t>
      </w:r>
      <w:r>
        <w:rPr>
          <w:rFonts w:ascii="Helvetica" w:eastAsia="Helvetica" w:hAnsi="Helvetica" w:cs="Helvetica"/>
          <w:color w:val="3F3F3F"/>
        </w:rPr>
        <w:t>)</w:t>
      </w:r>
      <w:r w:rsidR="00C52A19">
        <w:rPr>
          <w:rFonts w:ascii="Helvetica" w:eastAsia="Helvetica" w:hAnsi="Helvetica" w:cs="Helvetica"/>
          <w:color w:val="3F3F3F"/>
        </w:rPr>
        <w:t>.</w:t>
      </w:r>
    </w:p>
    <w:p w14:paraId="576CC632" w14:textId="6707F421" w:rsidR="00892306" w:rsidRPr="00892306" w:rsidRDefault="00076938" w:rsidP="00BE15B4">
      <w:pPr>
        <w:rPr>
          <w:rFonts w:eastAsia="Helvetica"/>
        </w:rPr>
      </w:pPr>
      <w:r>
        <w:rPr>
          <w:rFonts w:eastAsia="Helvetica"/>
        </w:rPr>
        <w:t>A</w:t>
      </w:r>
      <w:r w:rsidR="00892306" w:rsidRPr="00892306">
        <w:rPr>
          <w:rFonts w:eastAsia="Helvetica"/>
        </w:rPr>
        <w:t>n action planning sheet</w:t>
      </w:r>
      <w:r>
        <w:rPr>
          <w:rFonts w:eastAsia="Helvetica"/>
        </w:rPr>
        <w:t xml:space="preserve"> was included with the letter</w:t>
      </w:r>
      <w:r w:rsidR="00892306" w:rsidRPr="00892306">
        <w:rPr>
          <w:rFonts w:eastAsia="Helvetica"/>
        </w:rPr>
        <w:t xml:space="preserve"> to assist the immunisation coordinators to upload the data. Similar to the </w:t>
      </w:r>
      <w:r w:rsidR="00892306" w:rsidRPr="00892306">
        <w:rPr>
          <w:rFonts w:eastAsia="Helvetica" w:cstheme="minorHAnsi"/>
          <w:color w:val="3F3F3F"/>
        </w:rPr>
        <w:t xml:space="preserve">human papilloma virus </w:t>
      </w:r>
      <w:r w:rsidR="00892306" w:rsidRPr="00892306">
        <w:rPr>
          <w:rFonts w:eastAsia="Helvetica" w:cstheme="minorHAnsi"/>
        </w:rPr>
        <w:t>trial</w:t>
      </w:r>
      <w:r w:rsidR="00892306" w:rsidRPr="00892306">
        <w:rPr>
          <w:rFonts w:eastAsia="Helvetica"/>
        </w:rPr>
        <w:t>, the planning sheet was based on research about implementation intentions</w:t>
      </w:r>
      <w:r>
        <w:rPr>
          <w:rFonts w:eastAsia="Helvetica"/>
        </w:rPr>
        <w:t xml:space="preserve"> which</w:t>
      </w:r>
      <w:r w:rsidR="00892306" w:rsidRPr="00892306">
        <w:rPr>
          <w:rFonts w:eastAsia="Helvetica"/>
        </w:rPr>
        <w:t xml:space="preserve"> suggest</w:t>
      </w:r>
      <w:r>
        <w:rPr>
          <w:rFonts w:eastAsia="Helvetica"/>
        </w:rPr>
        <w:t>s</w:t>
      </w:r>
      <w:r w:rsidR="00892306" w:rsidRPr="00892306">
        <w:rPr>
          <w:rFonts w:eastAsia="Helvetica"/>
        </w:rPr>
        <w:t xml:space="preserve"> individuals are more likely to complete a task when they make a plan to do so.</w:t>
      </w:r>
      <w:r w:rsidR="00892306">
        <w:rPr>
          <w:rStyle w:val="FootnoteReference"/>
        </w:rPr>
        <w:footnoteReference w:id="16"/>
      </w:r>
    </w:p>
    <w:p w14:paraId="02FC4329" w14:textId="77777777" w:rsidR="00892306" w:rsidRPr="00892306" w:rsidRDefault="00892306" w:rsidP="00BE15B4">
      <w:pPr>
        <w:rPr>
          <w:rFonts w:eastAsia="Helvetica"/>
        </w:rPr>
      </w:pPr>
      <w:r w:rsidRPr="00892306">
        <w:rPr>
          <w:rFonts w:eastAsia="Helvetica"/>
        </w:rPr>
        <w:t>We worked with 40 local governments who contract the delivery of school vaccine programs. We randomly allocated 157 schools to the control (no letter) group and 150 schools to the intervention (letter) group.</w:t>
      </w:r>
    </w:p>
    <w:p w14:paraId="22A92AF4" w14:textId="61768412" w:rsidR="00892306" w:rsidRPr="00892306" w:rsidRDefault="00892306" w:rsidP="00BE15B4">
      <w:pPr>
        <w:rPr>
          <w:rFonts w:eastAsia="Helvetica"/>
        </w:rPr>
      </w:pPr>
      <w:r w:rsidRPr="00892306">
        <w:rPr>
          <w:rFonts w:eastAsia="Helvetica"/>
        </w:rPr>
        <w:t xml:space="preserve">The results showed the letter increased the proportion of schools providing parents’ contact details to their local </w:t>
      </w:r>
      <w:r w:rsidR="000C26EF">
        <w:rPr>
          <w:rFonts w:eastAsia="Helvetica"/>
        </w:rPr>
        <w:t>government</w:t>
      </w:r>
      <w:r w:rsidRPr="00892306">
        <w:rPr>
          <w:rFonts w:eastAsia="Helvetica"/>
        </w:rPr>
        <w:t xml:space="preserve"> from 41 to 54 per cent. The letter also increased the proportion of schools </w:t>
      </w:r>
      <w:r w:rsidR="00CA20BC">
        <w:rPr>
          <w:rFonts w:eastAsia="Helvetica"/>
        </w:rPr>
        <w:t>providing</w:t>
      </w:r>
      <w:r w:rsidRPr="00892306">
        <w:rPr>
          <w:rFonts w:eastAsia="Helvetica"/>
        </w:rPr>
        <w:t xml:space="preserve"> data about vaccinated students from 31 to 42 per cent.</w:t>
      </w:r>
    </w:p>
    <w:p w14:paraId="7366B136" w14:textId="77777777" w:rsidR="00FC3BFF" w:rsidRDefault="00FC3BFF" w:rsidP="00BE15B4">
      <w:pPr>
        <w:rPr>
          <w:rFonts w:eastAsia="Helvetica"/>
        </w:rPr>
      </w:pPr>
    </w:p>
    <w:p w14:paraId="3A8703C2" w14:textId="1C0B2AD6" w:rsidR="00251049" w:rsidRDefault="00AC0233" w:rsidP="004E3FC0">
      <w:pPr>
        <w:pStyle w:val="Caption"/>
        <w:jc w:val="both"/>
        <w:rPr>
          <w:rFonts w:ascii="Helvetica" w:eastAsia="Helvetica" w:hAnsi="Helvetica" w:cs="Helvetica"/>
          <w:b/>
          <w:color w:val="117479"/>
        </w:rPr>
      </w:pPr>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3</w:t>
      </w:r>
      <w:r w:rsidR="003035A6">
        <w:rPr>
          <w:noProof/>
        </w:rPr>
        <w:fldChar w:fldCharType="end"/>
      </w:r>
      <w:r>
        <w:t xml:space="preserve">: Share of schools sending data </w:t>
      </w:r>
    </w:p>
    <w:p w14:paraId="68A80171" w14:textId="5BDC6058" w:rsidR="00251049" w:rsidRDefault="00F00955" w:rsidP="004E3FC0">
      <w:pPr>
        <w:jc w:val="both"/>
        <w:rPr>
          <w:rFonts w:eastAsia="Helvetica"/>
        </w:rPr>
      </w:pPr>
      <w:r>
        <w:rPr>
          <w:rFonts w:eastAsia="Helvetica"/>
          <w:noProof/>
        </w:rPr>
        <w:drawing>
          <wp:inline distT="0" distB="0" distL="0" distR="0" wp14:anchorId="3068FC51" wp14:editId="2EC7F059">
            <wp:extent cx="5384800" cy="2857500"/>
            <wp:effectExtent l="0" t="0" r="0" b="0"/>
            <wp:docPr id="117" name="Picture 117"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ig3.png"/>
                    <pic:cNvPicPr/>
                  </pic:nvPicPr>
                  <pic:blipFill>
                    <a:blip r:embed="rId37">
                      <a:extLst>
                        <a:ext uri="{28A0092B-C50C-407E-A947-70E740481C1C}">
                          <a14:useLocalDpi xmlns:a14="http://schemas.microsoft.com/office/drawing/2010/main" val="0"/>
                        </a:ext>
                      </a:extLst>
                    </a:blip>
                    <a:stretch>
                      <a:fillRect/>
                    </a:stretch>
                  </pic:blipFill>
                  <pic:spPr>
                    <a:xfrm>
                      <a:off x="0" y="0"/>
                      <a:ext cx="5384800" cy="2857500"/>
                    </a:xfrm>
                    <a:prstGeom prst="rect">
                      <a:avLst/>
                    </a:prstGeom>
                  </pic:spPr>
                </pic:pic>
              </a:graphicData>
            </a:graphic>
          </wp:inline>
        </w:drawing>
      </w:r>
    </w:p>
    <w:p w14:paraId="0A41ED62" w14:textId="044B8DCE" w:rsidR="00892306" w:rsidRDefault="00892306" w:rsidP="00BE15B4">
      <w:pPr>
        <w:rPr>
          <w:rFonts w:eastAsia="Helvetica"/>
        </w:rPr>
      </w:pPr>
      <w:r>
        <w:rPr>
          <w:rFonts w:eastAsia="Helvetica"/>
        </w:rPr>
        <w:t xml:space="preserve">The findings suggest data is </w:t>
      </w:r>
      <w:r w:rsidR="00C52A19">
        <w:rPr>
          <w:rFonts w:eastAsia="Helvetica"/>
        </w:rPr>
        <w:t xml:space="preserve">likely </w:t>
      </w:r>
      <w:r>
        <w:rPr>
          <w:rFonts w:eastAsia="Helvetica"/>
        </w:rPr>
        <w:t xml:space="preserve">not being provided due to low engagement and awareness. Many of the immunisation coordinators at schools were not aware they were authorised to provide data. Further, many of the immunisation coordinators did not realise there was a preferable format for sending the data (e.g., some schools sent the data as a PDF). </w:t>
      </w:r>
    </w:p>
    <w:p w14:paraId="1E3C85F8" w14:textId="3422E9E2" w:rsidR="00892306" w:rsidRDefault="00892306" w:rsidP="00BE15B4">
      <w:pPr>
        <w:rPr>
          <w:rFonts w:ascii="Helvetica" w:eastAsia="Helvetica" w:hAnsi="Helvetica" w:cs="Helvetica"/>
          <w:color w:val="3F3F3F"/>
        </w:rPr>
      </w:pPr>
      <w:r>
        <w:rPr>
          <w:rFonts w:ascii="Helvetica" w:eastAsia="Helvetica" w:hAnsi="Helvetica" w:cs="Helvetica"/>
          <w:color w:val="3F3F3F"/>
        </w:rPr>
        <w:t>The success of the letter contributes to the behavioural literature about effective communication. The letter was drafted using plain language principles and based on procedural fairness theory. The action planning sheet was informed by research indicating individuals are more likely to complete a task when they write down how they will do so.</w:t>
      </w:r>
    </w:p>
    <w:p w14:paraId="595BBF1D" w14:textId="77777777" w:rsidR="00251049" w:rsidRDefault="00251049" w:rsidP="00D33213">
      <w:pPr>
        <w:pStyle w:val="h4"/>
      </w:pPr>
      <w:r>
        <w:t xml:space="preserve">Future opportunities </w:t>
      </w:r>
    </w:p>
    <w:p w14:paraId="0B702A8B" w14:textId="65899B90" w:rsidR="00892306" w:rsidRDefault="00892306" w:rsidP="00BE15B4">
      <w:pPr>
        <w:rPr>
          <w:rFonts w:eastAsia="Helvetica"/>
        </w:rPr>
      </w:pPr>
      <w:r>
        <w:rPr>
          <w:rFonts w:eastAsia="Helvetica"/>
        </w:rPr>
        <w:t>There is further scope to improve the data provided by schools</w:t>
      </w:r>
      <w:r w:rsidR="00C52A19">
        <w:rPr>
          <w:rFonts w:eastAsia="Helvetica"/>
        </w:rPr>
        <w:t xml:space="preserve"> where authorised</w:t>
      </w:r>
      <w:r>
        <w:rPr>
          <w:rFonts w:eastAsia="Helvetica"/>
        </w:rPr>
        <w:t>. This trial demonstrated governments can use behavioural insights to improve the collection and provision of accurate data to support better policy outcomes. The data collected in the trial itself will enable the department to roll</w:t>
      </w:r>
      <w:r w:rsidR="00C16D12">
        <w:rPr>
          <w:rFonts w:eastAsia="Helvetica"/>
        </w:rPr>
        <w:t xml:space="preserve"> </w:t>
      </w:r>
      <w:r>
        <w:rPr>
          <w:rFonts w:eastAsia="Helvetica"/>
        </w:rPr>
        <w:t xml:space="preserve">out other programs to increase vaccination rates. This approach should be applied to other policy areas </w:t>
      </w:r>
      <w:r w:rsidR="00AB7F22">
        <w:rPr>
          <w:rFonts w:eastAsia="Helvetica"/>
        </w:rPr>
        <w:t>requiring</w:t>
      </w:r>
      <w:r>
        <w:rPr>
          <w:rFonts w:eastAsia="Helvetica"/>
        </w:rPr>
        <w:t xml:space="preserve"> data to be gathered from third parties.</w:t>
      </w:r>
    </w:p>
    <w:p w14:paraId="1AFFBF13" w14:textId="20AD60F2" w:rsidR="00892306" w:rsidRDefault="00892306" w:rsidP="00BE15B4">
      <w:pPr>
        <w:rPr>
          <w:rFonts w:eastAsia="Helvetica"/>
        </w:rPr>
      </w:pPr>
    </w:p>
    <w:p w14:paraId="4F9B9DC5" w14:textId="637F74A4" w:rsidR="009E4B24" w:rsidRPr="005A2A67" w:rsidRDefault="00574D61" w:rsidP="005A2A67">
      <w:bookmarkStart w:id="17" w:name="_Toc515874430"/>
      <w:bookmarkStart w:id="18" w:name="_Toc515874501"/>
      <w:bookmarkStart w:id="19" w:name="_Toc515874671"/>
      <w:r>
        <w:br w:type="page"/>
      </w:r>
    </w:p>
    <w:p w14:paraId="11122071" w14:textId="058C54C6" w:rsidR="001A05C3" w:rsidRPr="001A05C3" w:rsidRDefault="001A05C3" w:rsidP="001A05C3">
      <w:pPr>
        <w:pStyle w:val="Heading3"/>
        <w:framePr w:wrap="around"/>
        <w:spacing w:after="240"/>
        <w:ind w:right="-851"/>
        <w:rPr>
          <w:bCs/>
        </w:rPr>
      </w:pPr>
      <w:bookmarkStart w:id="20" w:name="_Toc516827442"/>
      <w:r w:rsidRPr="001A05C3">
        <w:rPr>
          <w:bCs/>
        </w:rPr>
        <w:lastRenderedPageBreak/>
        <w:t>Returning injured teachers to work safely</w:t>
      </w:r>
      <w:bookmarkEnd w:id="20"/>
    </w:p>
    <w:p w14:paraId="461EEF11" w14:textId="4C3F4CB4" w:rsidR="001A05C3" w:rsidRDefault="005A2A67" w:rsidP="005A2A67">
      <w:pPr>
        <w:pStyle w:val="h4"/>
      </w:pPr>
      <w:r>
        <w:br/>
      </w:r>
      <w:r w:rsidRPr="004E3FC0">
        <w:t>Abstract</w:t>
      </w:r>
    </w:p>
    <w:tbl>
      <w:tblPr>
        <w:tblStyle w:val="TableGrid"/>
        <w:tblpPr w:leftFromText="180" w:rightFromText="180" w:vertAnchor="page" w:horzAnchor="margin" w:tblpY="4572"/>
        <w:tblW w:w="931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Returning injured teachers to work safely"/>
        <w:tblDescription w:val="Text box description of a trial to simplify the process of returning injured teachers to work in New South Wales."/>
      </w:tblPr>
      <w:tblGrid>
        <w:gridCol w:w="9312"/>
      </w:tblGrid>
      <w:tr w:rsidR="00AD7F28" w14:paraId="56D30132" w14:textId="77777777" w:rsidTr="003B476D">
        <w:trPr>
          <w:trHeight w:val="6123"/>
        </w:trPr>
        <w:tc>
          <w:tcPr>
            <w:tcW w:w="9312" w:type="dxa"/>
            <w:tcBorders>
              <w:bottom w:val="single" w:sz="4" w:space="0" w:color="auto"/>
            </w:tcBorders>
            <w:shd w:val="clear" w:color="auto" w:fill="D9D9D9" w:themeFill="background1" w:themeFillShade="D9"/>
          </w:tcPr>
          <w:p w14:paraId="36043AEC" w14:textId="77777777" w:rsidR="00AD7F28" w:rsidRPr="00AD7F28"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 xml:space="preserve">In Australia, if a person is injured at work or becomes ill due to work, they may be eligible for assistance and financial support (i.e., workers compensation). </w:t>
            </w:r>
          </w:p>
          <w:p w14:paraId="5B553916" w14:textId="77777777" w:rsidR="00AD7F28" w:rsidRPr="00AD7F28"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 xml:space="preserve">We examined whether simplification, framing and commitment devices improved the experience of people, including injured employees and their families, case workers and workplaces. </w:t>
            </w:r>
          </w:p>
          <w:p w14:paraId="6A3D903A" w14:textId="6F7BFA86" w:rsidR="00AD7F28" w:rsidRPr="004E3FC0"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The application of behavioural insights resulted in injured teachers returning to work safely and earlier than they would have otherwise (i.e., a 27 per cent faster return within 90 days).</w:t>
            </w:r>
          </w:p>
        </w:tc>
      </w:tr>
      <w:bookmarkEnd w:id="17"/>
      <w:bookmarkEnd w:id="18"/>
      <w:bookmarkEnd w:id="19"/>
    </w:tbl>
    <w:p w14:paraId="2E36F23F" w14:textId="6F7F2732" w:rsidR="005A2A67" w:rsidRDefault="005A2A67" w:rsidP="005A2A67">
      <w:pPr>
        <w:jc w:val="both"/>
        <w:rPr>
          <w:rFonts w:eastAsia="Helvetica"/>
        </w:rPr>
      </w:pPr>
    </w:p>
    <w:p w14:paraId="1B15E8BF" w14:textId="77777777" w:rsidR="003B476D" w:rsidRDefault="003B476D" w:rsidP="003B476D">
      <w:pPr>
        <w:pStyle w:val="h4"/>
      </w:pPr>
      <w:r w:rsidRPr="00573712">
        <w:t>Project by</w:t>
      </w:r>
    </w:p>
    <w:p w14:paraId="328EAC9F" w14:textId="4A8F4E6A" w:rsidR="003B476D" w:rsidRDefault="003B476D" w:rsidP="003B476D">
      <w:r w:rsidRPr="00642AEC">
        <w:rPr>
          <w:noProof/>
        </w:rPr>
        <w:drawing>
          <wp:anchor distT="0" distB="0" distL="114300" distR="114300" simplePos="0" relativeHeight="251779584" behindDoc="0" locked="0" layoutInCell="1" allowOverlap="1" wp14:anchorId="2280C98A" wp14:editId="601A69DF">
            <wp:simplePos x="0" y="0"/>
            <wp:positionH relativeFrom="column">
              <wp:posOffset>4014883</wp:posOffset>
            </wp:positionH>
            <wp:positionV relativeFrom="paragraph">
              <wp:posOffset>3175</wp:posOffset>
            </wp:positionV>
            <wp:extent cx="1574165" cy="685800"/>
            <wp:effectExtent l="0" t="0" r="6985" b="0"/>
            <wp:wrapNone/>
            <wp:docPr id="57" name="Picture 57" descr="NSW Government The Treasury"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swtreasury_logo_0.png"/>
                    <pic:cNvPicPr/>
                  </pic:nvPicPr>
                  <pic:blipFill rotWithShape="1">
                    <a:blip r:embed="rId38" cstate="print">
                      <a:extLst>
                        <a:ext uri="{28A0092B-C50C-407E-A947-70E740481C1C}">
                          <a14:useLocalDpi xmlns:a14="http://schemas.microsoft.com/office/drawing/2010/main" val="0"/>
                        </a:ext>
                      </a:extLst>
                    </a:blip>
                    <a:srcRect r="5621"/>
                    <a:stretch/>
                  </pic:blipFill>
                  <pic:spPr bwMode="auto">
                    <a:xfrm>
                      <a:off x="0" y="0"/>
                      <a:ext cx="1574165"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608" behindDoc="0" locked="0" layoutInCell="1" allowOverlap="1" wp14:anchorId="120FA817" wp14:editId="5C2452CC">
            <wp:simplePos x="0" y="0"/>
            <wp:positionH relativeFrom="column">
              <wp:posOffset>1369680</wp:posOffset>
            </wp:positionH>
            <wp:positionV relativeFrom="paragraph">
              <wp:posOffset>10160</wp:posOffset>
            </wp:positionV>
            <wp:extent cx="2204720" cy="669290"/>
            <wp:effectExtent l="0" t="0" r="0" b="0"/>
            <wp:wrapNone/>
            <wp:docPr id="6" name="Picture 6" descr="NSW Government Department of Premier and Cabinet Behavioural Insight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wiryakuc\AppData\Local\Temp\OBJECTIVE\DPC_Behavioural_Insights_Two Colour.pn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4720" cy="66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1234F" w14:textId="7FC0A367" w:rsidR="003B476D" w:rsidRDefault="003B476D" w:rsidP="003B476D"/>
    <w:p w14:paraId="4334557B" w14:textId="097C4694" w:rsidR="003B476D" w:rsidRDefault="003B476D" w:rsidP="003B476D"/>
    <w:p w14:paraId="49C029F9" w14:textId="5CB479C8" w:rsidR="003B476D" w:rsidRDefault="003B476D" w:rsidP="003B476D">
      <w:r w:rsidRPr="00642AEC">
        <w:rPr>
          <w:noProof/>
        </w:rPr>
        <w:drawing>
          <wp:anchor distT="0" distB="0" distL="114300" distR="114300" simplePos="0" relativeHeight="251777536" behindDoc="0" locked="0" layoutInCell="1" allowOverlap="1" wp14:anchorId="6C170A93" wp14:editId="72D56447">
            <wp:simplePos x="0" y="0"/>
            <wp:positionH relativeFrom="margin">
              <wp:posOffset>1395080</wp:posOffset>
            </wp:positionH>
            <wp:positionV relativeFrom="paragraph">
              <wp:posOffset>120488</wp:posOffset>
            </wp:positionV>
            <wp:extent cx="1779905" cy="885825"/>
            <wp:effectExtent l="0" t="0" r="0" b="0"/>
            <wp:wrapNone/>
            <wp:docPr id="19" name="Picture 19" descr="The Behavioural Insights Team" title="Logo"/>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0" cstate="print">
                      <a:extLst>
                        <a:ext uri="{28A0092B-C50C-407E-A947-70E740481C1C}">
                          <a14:useLocalDpi xmlns:a14="http://schemas.microsoft.com/office/drawing/2010/main" val="0"/>
                        </a:ext>
                      </a:extLst>
                    </a:blip>
                    <a:srcRect t="-1" b="-40407"/>
                    <a:stretch/>
                  </pic:blipFill>
                  <pic:spPr bwMode="auto">
                    <a:xfrm>
                      <a:off x="0" y="0"/>
                      <a:ext cx="177990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0F962E" w14:textId="1C49ACD8" w:rsidR="003B476D" w:rsidRDefault="003B476D" w:rsidP="005A2A67">
      <w:pPr>
        <w:jc w:val="both"/>
        <w:rPr>
          <w:rFonts w:eastAsia="Helvetica"/>
        </w:rPr>
      </w:pPr>
      <w:r>
        <w:rPr>
          <w:noProof/>
        </w:rPr>
        <w:drawing>
          <wp:anchor distT="0" distB="0" distL="114300" distR="114300" simplePos="0" relativeHeight="251778560" behindDoc="0" locked="0" layoutInCell="1" allowOverlap="1" wp14:anchorId="7C9A9C81" wp14:editId="5763CFF1">
            <wp:simplePos x="0" y="0"/>
            <wp:positionH relativeFrom="page">
              <wp:posOffset>4975742</wp:posOffset>
            </wp:positionH>
            <wp:positionV relativeFrom="paragraph">
              <wp:posOffset>160876</wp:posOffset>
            </wp:positionV>
            <wp:extent cx="1804670" cy="467995"/>
            <wp:effectExtent l="0" t="0" r="5080" b="8255"/>
            <wp:wrapNone/>
            <wp:docPr id="25" name="Picture 25" descr="Allianz"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wiryakuc\AppData\Local\Temp\OBJECTIVE\Allianz_svg.pn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4670" cy="467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CA72E" w14:textId="61FD4428" w:rsidR="005A2A67" w:rsidRPr="005A2A67" w:rsidRDefault="005A2A67" w:rsidP="005A2A67">
      <w:pPr>
        <w:jc w:val="both"/>
        <w:rPr>
          <w:rFonts w:eastAsia="Helvetica"/>
        </w:rPr>
      </w:pPr>
    </w:p>
    <w:p w14:paraId="0D5D7B27" w14:textId="6783349E" w:rsidR="00251049" w:rsidRDefault="00251049" w:rsidP="00D33213">
      <w:pPr>
        <w:pStyle w:val="h4"/>
      </w:pPr>
      <w:r>
        <w:lastRenderedPageBreak/>
        <w:t xml:space="preserve">The policy problem </w:t>
      </w:r>
    </w:p>
    <w:p w14:paraId="3A42124A" w14:textId="26736424" w:rsidR="00A27BFB" w:rsidRDefault="00A27BFB" w:rsidP="00BE15B4">
      <w:pPr>
        <w:rPr>
          <w:rFonts w:eastAsia="Helvetica"/>
        </w:rPr>
      </w:pPr>
      <w:r>
        <w:rPr>
          <w:rFonts w:eastAsia="Helvetica"/>
        </w:rPr>
        <w:t>The safe and quick return of injured employers to work benefits everyone. For injured employees, prolonged recovery periods and extended absences from work can harm their physical and mental wellbeing. It also negatively affects family members who care for them and/or rely on them financially. Employers also lose a skilled staff member during such absences. Additionally, delayed recovery and associated costs affect the broader sustainability of the workplace compensation system.</w:t>
      </w:r>
    </w:p>
    <w:p w14:paraId="7911B99A" w14:textId="77777777" w:rsidR="00251049" w:rsidRDefault="00251049" w:rsidP="00D33213">
      <w:pPr>
        <w:pStyle w:val="h4"/>
      </w:pPr>
      <w:r>
        <w:t>Our findings and learnings</w:t>
      </w:r>
    </w:p>
    <w:p w14:paraId="7EB1BBCA" w14:textId="34383B40" w:rsidR="0028525A" w:rsidRDefault="0028525A" w:rsidP="00BE15B4">
      <w:pPr>
        <w:rPr>
          <w:rFonts w:eastAsia="Helvetica"/>
        </w:rPr>
      </w:pPr>
      <w:r>
        <w:rPr>
          <w:rFonts w:eastAsia="Helvetica"/>
        </w:rPr>
        <w:t>We applied a number of behaviourally-informed tools for case workers and injured employees</w:t>
      </w:r>
      <w:r w:rsidR="00E908AC">
        <w:rPr>
          <w:rFonts w:eastAsia="Helvetica"/>
        </w:rPr>
        <w:t xml:space="preserve"> of the Department of Education</w:t>
      </w:r>
      <w:r>
        <w:rPr>
          <w:rFonts w:eastAsia="Helvetica"/>
        </w:rPr>
        <w:t xml:space="preserve">. </w:t>
      </w:r>
    </w:p>
    <w:p w14:paraId="5395A8F6" w14:textId="77777777" w:rsidR="000933C6" w:rsidRDefault="000933C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0912AC58" w14:textId="77777777" w:rsidTr="008C083D">
        <w:trPr>
          <w:trHeight w:val="1"/>
        </w:trPr>
        <w:tc>
          <w:tcPr>
            <w:tcW w:w="5000" w:type="pct"/>
            <w:shd w:val="clear" w:color="auto" w:fill="F2F2F2"/>
            <w:tcMar>
              <w:left w:w="108" w:type="dxa"/>
              <w:right w:w="108" w:type="dxa"/>
            </w:tcMar>
          </w:tcPr>
          <w:p w14:paraId="7BADFF1B" w14:textId="78ACB856" w:rsidR="00251049" w:rsidRDefault="00E702C3" w:rsidP="00D33213">
            <w:pPr>
              <w:spacing w:line="259" w:lineRule="auto"/>
              <w:jc w:val="both"/>
              <w:outlineLvl w:val="4"/>
              <w:rPr>
                <w:rFonts w:ascii="Helvetica" w:eastAsia="Helvetica" w:hAnsi="Helvetica" w:cs="Helvetica"/>
                <w:b/>
                <w:color w:val="142E3B"/>
                <w:sz w:val="24"/>
              </w:rPr>
            </w:pPr>
            <w:r>
              <w:rPr>
                <w:i/>
                <w:iCs/>
                <w:noProof/>
                <w:color w:val="142E3B" w:themeColor="accent6"/>
                <w:sz w:val="28"/>
              </w:rPr>
              <w:drawing>
                <wp:anchor distT="0" distB="0" distL="0" distR="114300" simplePos="0" relativeHeight="251609600" behindDoc="1" locked="0" layoutInCell="1" allowOverlap="1" wp14:anchorId="32D4C2C2" wp14:editId="3596D1FB">
                  <wp:simplePos x="0" y="0"/>
                  <wp:positionH relativeFrom="margin">
                    <wp:posOffset>-14283</wp:posOffset>
                  </wp:positionH>
                  <wp:positionV relativeFrom="paragraph">
                    <wp:posOffset>40735</wp:posOffset>
                  </wp:positionV>
                  <wp:extent cx="370800" cy="370800"/>
                  <wp:effectExtent l="0" t="0" r="0" b="0"/>
                  <wp:wrapTight wrapText="bothSides">
                    <wp:wrapPolygon edited="0">
                      <wp:start x="0" y="0"/>
                      <wp:lineTo x="0" y="20007"/>
                      <wp:lineTo x="20007" y="20007"/>
                      <wp:lineTo x="20007" y="0"/>
                      <wp:lineTo x="0" y="0"/>
                    </wp:wrapPolygon>
                  </wp:wrapTight>
                  <wp:docPr id="29" name="Picture 29"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r w:rsidR="0028525A">
              <w:rPr>
                <w:rFonts w:ascii="Helvetica" w:eastAsia="Helvetica" w:hAnsi="Helvetica" w:cs="Helvetica"/>
                <w:b/>
                <w:color w:val="142E3B"/>
                <w:sz w:val="24"/>
              </w:rPr>
              <w:t>s</w:t>
            </w:r>
          </w:p>
          <w:p w14:paraId="239BE30E" w14:textId="42880FC5" w:rsidR="00A27BFB" w:rsidRPr="0028525A" w:rsidRDefault="00A27BFB" w:rsidP="00BE15B4">
            <w:pPr>
              <w:jc w:val="both"/>
              <w:rPr>
                <w:rFonts w:ascii="Helvetica" w:eastAsia="Helvetica" w:hAnsi="Helvetica" w:cs="Helvetica"/>
                <w:color w:val="3F3F3F"/>
              </w:rPr>
            </w:pPr>
            <w:r w:rsidRPr="00E702C3">
              <w:rPr>
                <w:rFonts w:ascii="Helvetica" w:eastAsia="Helvetica" w:hAnsi="Helvetica" w:cs="Helvetica"/>
                <w:b/>
                <w:color w:val="auto"/>
              </w:rPr>
              <w:t>Simplification</w:t>
            </w:r>
            <w:r w:rsidRPr="00E702C3">
              <w:rPr>
                <w:rFonts w:ascii="Helvetica" w:eastAsia="Helvetica" w:hAnsi="Helvetica" w:cs="Helvetica"/>
                <w:color w:val="auto"/>
              </w:rPr>
              <w:t xml:space="preserve"> </w:t>
            </w:r>
            <w:r>
              <w:rPr>
                <w:rFonts w:eastAsia="Helvetica"/>
              </w:rPr>
              <w:t>can be powerful, as people are more likely to take action when it is easy to do so, and it is clear what is being asked.</w:t>
            </w:r>
            <w:r>
              <w:rPr>
                <w:rStyle w:val="FootnoteReference"/>
                <w:iCs/>
              </w:rPr>
              <w:footnoteReference w:id="17"/>
            </w:r>
            <w:r>
              <w:rPr>
                <w:rFonts w:eastAsia="Helvetica"/>
              </w:rPr>
              <w:t xml:space="preserve"> For example, simplification could include reducing the information contained in a letter to the key items that people need to know to take action.</w:t>
            </w:r>
          </w:p>
          <w:p w14:paraId="2E62686E" w14:textId="77777777" w:rsidR="00A27BFB" w:rsidRDefault="00A27BFB" w:rsidP="00BE15B4">
            <w:pPr>
              <w:rPr>
                <w:rFonts w:eastAsia="Helvetica"/>
              </w:rPr>
            </w:pPr>
            <w:r>
              <w:rPr>
                <w:rFonts w:eastAsia="Helvetica"/>
                <w:b/>
                <w:color w:val="auto"/>
              </w:rPr>
              <w:t>Re-framing</w:t>
            </w:r>
            <w:r>
              <w:rPr>
                <w:rFonts w:eastAsia="Helvetica"/>
                <w:color w:val="auto"/>
              </w:rPr>
              <w:t xml:space="preserve"> </w:t>
            </w:r>
            <w:r>
              <w:rPr>
                <w:rFonts w:eastAsia="Helvetica"/>
              </w:rPr>
              <w:t>can help prime a mindset to shift behaviours. Framing information positively rather than negatively (or vice versa) can affect how people respond to and act on information.</w:t>
            </w:r>
          </w:p>
          <w:p w14:paraId="43FAD6E3" w14:textId="104CFD5C" w:rsidR="0028525A" w:rsidRDefault="00A27BFB" w:rsidP="00BE15B4">
            <w:r>
              <w:rPr>
                <w:rFonts w:eastAsia="Helvetica"/>
                <w:b/>
                <w:color w:val="auto"/>
              </w:rPr>
              <w:t>Personal commitments</w:t>
            </w:r>
            <w:r>
              <w:rPr>
                <w:rFonts w:eastAsia="Helvetica"/>
                <w:color w:val="auto"/>
              </w:rPr>
              <w:t xml:space="preserve"> </w:t>
            </w:r>
            <w:r>
              <w:rPr>
                <w:rFonts w:eastAsia="Helvetica"/>
              </w:rPr>
              <w:t>can provide active ownership of goals (encouraging people to try harder and longer) and can promote self-efficacy in relation to the actions taken.</w:t>
            </w:r>
            <w:r>
              <w:rPr>
                <w:rStyle w:val="FootnoteReference"/>
              </w:rPr>
              <w:footnoteReference w:id="18"/>
            </w:r>
            <w:r>
              <w:rPr>
                <w:rStyle w:val="FootnoteReference"/>
              </w:rPr>
              <w:t xml:space="preserve"> </w:t>
            </w:r>
            <w:r>
              <w:rPr>
                <w:rStyle w:val="FootnoteReference"/>
              </w:rPr>
              <w:footnoteReference w:id="19"/>
            </w:r>
            <w:r>
              <w:rPr>
                <w:rFonts w:eastAsia="Helvetica"/>
              </w:rPr>
              <w:t xml:space="preserve"> The use of commitment devices,</w:t>
            </w:r>
            <w:r>
              <w:rPr>
                <w:rStyle w:val="FootnoteReference"/>
              </w:rPr>
              <w:footnoteReference w:id="20"/>
            </w:r>
            <w:r>
              <w:rPr>
                <w:rFonts w:eastAsia="Helvetica"/>
              </w:rPr>
              <w:t xml:space="preserve"> such as writing personal goals and articulating three necessary actions, can help people to achieve their goals.</w:t>
            </w:r>
          </w:p>
        </w:tc>
      </w:tr>
    </w:tbl>
    <w:p w14:paraId="0C57CE49" w14:textId="77777777" w:rsidR="000933C6" w:rsidRDefault="000933C6" w:rsidP="00BE15B4">
      <w:pPr>
        <w:rPr>
          <w:rFonts w:eastAsia="Helvetica"/>
        </w:rPr>
      </w:pPr>
    </w:p>
    <w:p w14:paraId="5C7BF237" w14:textId="76686A3B" w:rsidR="00E908AC" w:rsidRDefault="00E908AC" w:rsidP="00BE15B4">
      <w:pPr>
        <w:rPr>
          <w:rFonts w:eastAsia="Helvetica"/>
        </w:rPr>
      </w:pPr>
      <w:r>
        <w:rPr>
          <w:rFonts w:eastAsia="Helvetica"/>
        </w:rPr>
        <w:t>In the first 30 days</w:t>
      </w:r>
      <w:r w:rsidR="003C1688">
        <w:rPr>
          <w:rFonts w:eastAsia="Helvetica"/>
        </w:rPr>
        <w:t xml:space="preserve"> after a workplace incident</w:t>
      </w:r>
      <w:r>
        <w:rPr>
          <w:rFonts w:eastAsia="Helvetica"/>
        </w:rPr>
        <w:t>, an injured employe</w:t>
      </w:r>
      <w:r w:rsidR="002F3E5C">
        <w:rPr>
          <w:rFonts w:eastAsia="Helvetica"/>
        </w:rPr>
        <w:t>e</w:t>
      </w:r>
      <w:r>
        <w:rPr>
          <w:rFonts w:eastAsia="Helvetica"/>
        </w:rPr>
        <w:t xml:space="preserve"> is sent multiple communications to obtain details about their injury, with references to legislation which </w:t>
      </w:r>
      <w:r w:rsidR="003C1688">
        <w:rPr>
          <w:rFonts w:eastAsia="Helvetica"/>
        </w:rPr>
        <w:t xml:space="preserve">are </w:t>
      </w:r>
      <w:r>
        <w:rPr>
          <w:rFonts w:eastAsia="Helvetica"/>
        </w:rPr>
        <w:t xml:space="preserve">not easily understood. We reduced and simplified the communications to </w:t>
      </w:r>
      <w:r w:rsidR="00C16D12">
        <w:rPr>
          <w:rFonts w:eastAsia="Helvetica"/>
        </w:rPr>
        <w:t xml:space="preserve">injured </w:t>
      </w:r>
      <w:r>
        <w:rPr>
          <w:rFonts w:eastAsia="Helvetica"/>
        </w:rPr>
        <w:t xml:space="preserve">employees, </w:t>
      </w:r>
      <w:r w:rsidR="00C16D12">
        <w:rPr>
          <w:rFonts w:eastAsia="Helvetica"/>
        </w:rPr>
        <w:t>to be clearer</w:t>
      </w:r>
      <w:r>
        <w:rPr>
          <w:rFonts w:eastAsia="Helvetica"/>
        </w:rPr>
        <w:t xml:space="preserve"> about their responsibilities as well as those of their employer and insurer. </w:t>
      </w:r>
    </w:p>
    <w:p w14:paraId="1A082065" w14:textId="6DB88164" w:rsidR="00E908AC" w:rsidRDefault="00E908AC" w:rsidP="00BE15B4">
      <w:pPr>
        <w:rPr>
          <w:rFonts w:eastAsia="Helvetica"/>
        </w:rPr>
      </w:pPr>
      <w:r>
        <w:rPr>
          <w:rFonts w:eastAsia="Helvetica"/>
        </w:rPr>
        <w:t>Additionally, we used positive priming and re-framed messages to be about ‘recovery’ and ‘returning to work’ and used a commitment device, with injured employees writing down a personal recovery goal and three actions to help them achieve it.</w:t>
      </w:r>
    </w:p>
    <w:p w14:paraId="4BB39FBB" w14:textId="77777777" w:rsidR="00A27BFB" w:rsidRDefault="00A27BFB" w:rsidP="00BE15B4">
      <w:pPr>
        <w:rPr>
          <w:rFonts w:eastAsia="Helvetica"/>
        </w:rPr>
      </w:pPr>
      <w:r>
        <w:rPr>
          <w:rFonts w:eastAsia="Helvetica"/>
        </w:rPr>
        <w:t>As a result of our trial, injured employees in the intervention group returned to work more safely and 27 per cent faster in the first 90 days of the trial than those in the control group.</w:t>
      </w:r>
    </w:p>
    <w:p w14:paraId="4503AADD" w14:textId="4509444C" w:rsidR="00A27BFB" w:rsidRDefault="00A27BFB" w:rsidP="00BE15B4">
      <w:pPr>
        <w:rPr>
          <w:rFonts w:eastAsia="Helvetica"/>
        </w:rPr>
      </w:pPr>
      <w:r>
        <w:rPr>
          <w:rFonts w:eastAsia="Helvetica"/>
        </w:rPr>
        <w:t>Additionally, injured employees were nearly three times more likely to complete their claims within 30 days. This reduces the costs incurred by the workers</w:t>
      </w:r>
      <w:r w:rsidR="00C16D12">
        <w:rPr>
          <w:rFonts w:eastAsia="Helvetica"/>
        </w:rPr>
        <w:t xml:space="preserve">’ </w:t>
      </w:r>
      <w:r>
        <w:rPr>
          <w:rFonts w:eastAsia="Helvetica"/>
        </w:rPr>
        <w:t>compensation system and increases the ability of case workers to focus on more complex claims.</w:t>
      </w:r>
    </w:p>
    <w:p w14:paraId="38BEC9A3" w14:textId="5BD8625D" w:rsidR="00A27BFB" w:rsidRDefault="00A27BFB" w:rsidP="00BE15B4">
      <w:pPr>
        <w:rPr>
          <w:rFonts w:eastAsia="Helvetica"/>
        </w:rPr>
      </w:pPr>
      <w:r>
        <w:rPr>
          <w:rFonts w:eastAsia="Helvetica"/>
        </w:rPr>
        <w:lastRenderedPageBreak/>
        <w:t xml:space="preserve">Notably, both case workers and injured employees provided feedback stating </w:t>
      </w:r>
      <w:r w:rsidR="00AB7F22">
        <w:rPr>
          <w:rFonts w:eastAsia="Helvetica"/>
        </w:rPr>
        <w:t>the</w:t>
      </w:r>
      <w:r>
        <w:rPr>
          <w:rFonts w:eastAsia="Helvetica"/>
        </w:rPr>
        <w:t xml:space="preserve"> new approach was more helpful and engaging than previous approaches.</w:t>
      </w:r>
    </w:p>
    <w:p w14:paraId="4BBC4484" w14:textId="64A017B9" w:rsidR="00251049" w:rsidRDefault="00251049" w:rsidP="00BE15B4">
      <w:pPr>
        <w:rPr>
          <w:rFonts w:eastAsia="Helvetica"/>
        </w:rPr>
      </w:pPr>
    </w:p>
    <w:p w14:paraId="121FE6CB" w14:textId="2456AB11" w:rsidR="0012095D" w:rsidRDefault="0012095D" w:rsidP="0012095D">
      <w:pPr>
        <w:rPr>
          <w:rStyle w:val="Emphasis"/>
        </w:rPr>
      </w:pPr>
    </w:p>
    <w:tbl>
      <w:tblPr>
        <w:tblStyle w:val="TableGrid"/>
        <w:tblW w:w="0" w:type="auto"/>
        <w:tblLook w:val="04A0" w:firstRow="1" w:lastRow="0" w:firstColumn="1" w:lastColumn="0" w:noHBand="0" w:noVBand="1"/>
      </w:tblPr>
      <w:tblGrid>
        <w:gridCol w:w="8493"/>
      </w:tblGrid>
      <w:tr w:rsidR="0012095D" w14:paraId="7C7A9A55" w14:textId="77777777" w:rsidTr="0012095D">
        <w:tc>
          <w:tcPr>
            <w:tcW w:w="8493" w:type="dxa"/>
            <w:tcBorders>
              <w:left w:val="nil"/>
              <w:right w:val="nil"/>
            </w:tcBorders>
            <w:shd w:val="clear" w:color="auto" w:fill="F2F2F2" w:themeFill="background1" w:themeFillShade="F2"/>
          </w:tcPr>
          <w:p w14:paraId="7637ED5A" w14:textId="77777777" w:rsidR="0012095D" w:rsidRPr="0012095D" w:rsidRDefault="0012095D" w:rsidP="0012095D">
            <w:pPr>
              <w:jc w:val="center"/>
              <w:rPr>
                <w:rStyle w:val="Emphasis"/>
                <w:b/>
                <w:i w:val="0"/>
                <w:sz w:val="48"/>
              </w:rPr>
            </w:pPr>
            <w:r w:rsidRPr="0012095D">
              <w:rPr>
                <w:rStyle w:val="Emphasis"/>
                <w:b/>
                <w:sz w:val="48"/>
              </w:rPr>
              <w:t>“</w:t>
            </w:r>
          </w:p>
          <w:p w14:paraId="59A72671" w14:textId="5A99876F" w:rsidR="0012095D" w:rsidRDefault="0012095D" w:rsidP="0012095D">
            <w:pPr>
              <w:rPr>
                <w:rStyle w:val="Emphasis"/>
                <w:iCs w:val="0"/>
              </w:rPr>
            </w:pPr>
            <w:r w:rsidRPr="0012095D">
              <w:rPr>
                <w:rStyle w:val="Emphasis"/>
                <w:b/>
              </w:rPr>
              <w:t>‘The new process has really opened my mind and ears up to what these workers say and how we can work with them’. - Case manager</w:t>
            </w:r>
          </w:p>
        </w:tc>
      </w:tr>
    </w:tbl>
    <w:p w14:paraId="52C618E1" w14:textId="77777777" w:rsidR="0012095D" w:rsidRPr="00500CAF" w:rsidRDefault="0012095D" w:rsidP="0012095D">
      <w:pPr>
        <w:rPr>
          <w:rStyle w:val="Emphasis"/>
          <w:iCs w:val="0"/>
        </w:rPr>
      </w:pPr>
    </w:p>
    <w:p w14:paraId="1153A354" w14:textId="77777777" w:rsidR="00AD7F28" w:rsidRDefault="00AD7F28" w:rsidP="00AD7F28"/>
    <w:p w14:paraId="6D824CEA" w14:textId="343CF0B1" w:rsidR="00251049" w:rsidRPr="00AC0233" w:rsidRDefault="00AC0233" w:rsidP="004E3FC0">
      <w:pPr>
        <w:pStyle w:val="Caption"/>
        <w:jc w:val="both"/>
        <w:rPr>
          <w:rFonts w:ascii="Helvetica" w:eastAsia="Helvetica" w:hAnsi="Helvetica"/>
          <w:color w:val="117479"/>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4</w:t>
      </w:r>
      <w:r w:rsidR="003035A6">
        <w:rPr>
          <w:noProof/>
        </w:rPr>
        <w:fldChar w:fldCharType="end"/>
      </w:r>
      <w:r>
        <w:t xml:space="preserve">: </w:t>
      </w:r>
      <w:r w:rsidR="00251049" w:rsidRPr="00AC0233">
        <w:rPr>
          <w:rFonts w:ascii="Helvetica" w:eastAsia="Helvetica" w:hAnsi="Helvetica"/>
          <w:color w:val="117479"/>
        </w:rPr>
        <w:t>Return to work rates between treatment and control groups</w:t>
      </w:r>
    </w:p>
    <w:p w14:paraId="3ACD9F6D" w14:textId="07EC77EF" w:rsidR="00251049" w:rsidRDefault="00F94364" w:rsidP="004E3FC0">
      <w:pPr>
        <w:spacing w:line="260" w:lineRule="auto"/>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15C1B5C9" wp14:editId="6C92A8A6">
            <wp:extent cx="5384800" cy="2311400"/>
            <wp:effectExtent l="0" t="0" r="0" b="0"/>
            <wp:docPr id="119" name="Picture 119" descr="As a result of our trial, injured employees in the intervention group returned to work more safely and 27 per cent faster in the first 90 days of the trial than those in the control group.&#10;Additionally, injured employees were nearly three times more likely to complete their claims within 30 days. This reduces the costs incurred by the workers’ compensation system and increases the ability of case workers to focus on more complex claims."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Fig4.png"/>
                    <pic:cNvPicPr/>
                  </pic:nvPicPr>
                  <pic:blipFill>
                    <a:blip r:embed="rId42">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7D69DA28" w14:textId="77777777" w:rsidR="00251049" w:rsidRDefault="00251049" w:rsidP="00D33213">
      <w:pPr>
        <w:pStyle w:val="h4"/>
      </w:pPr>
      <w:r>
        <w:t xml:space="preserve">Future opportunities </w:t>
      </w:r>
    </w:p>
    <w:p w14:paraId="6BF11982" w14:textId="22CAE4EE" w:rsidR="00940F99" w:rsidRDefault="00940F99" w:rsidP="00BE15B4">
      <w:pPr>
        <w:rPr>
          <w:rFonts w:eastAsia="Helvetica"/>
        </w:rPr>
      </w:pPr>
      <w:r>
        <w:rPr>
          <w:rFonts w:eastAsia="Helvetica"/>
        </w:rPr>
        <w:t>One unintended benefit of the trial was case workers’ performance measures shifted from focusing on compliance to client outcomes. This not only led to improved engagement between case workers and injured employees, but also improved case workers’ quality of work and lifted employees’ morale within a system ordinarily focused on assessing and processing insurance claims. The results of this trial can be widely applied to many customer service areas in Australia in both the public and private sectors.</w:t>
      </w:r>
    </w:p>
    <w:p w14:paraId="5CBD4651" w14:textId="0997A722" w:rsidR="001A05C3" w:rsidRDefault="001A05C3" w:rsidP="00BE15B4">
      <w:pPr>
        <w:rPr>
          <w:rFonts w:eastAsia="Helvetica"/>
        </w:rPr>
      </w:pPr>
    </w:p>
    <w:p w14:paraId="19F36778" w14:textId="680CBFA3" w:rsidR="001A05C3" w:rsidRDefault="001A05C3" w:rsidP="00BE15B4">
      <w:pPr>
        <w:rPr>
          <w:rFonts w:eastAsia="Helvetica"/>
        </w:rPr>
      </w:pPr>
    </w:p>
    <w:p w14:paraId="4C20BDAF" w14:textId="3174AA3F" w:rsidR="001A05C3" w:rsidRDefault="001A05C3" w:rsidP="001A05C3">
      <w:pPr>
        <w:pStyle w:val="Heading3"/>
        <w:framePr w:w="9209" w:wrap="around"/>
        <w:spacing w:after="240"/>
        <w:ind w:right="-851"/>
        <w:rPr>
          <w:bCs/>
        </w:rPr>
      </w:pPr>
      <w:bookmarkStart w:id="21" w:name="_Toc516827443"/>
      <w:r w:rsidRPr="001A05C3">
        <w:rPr>
          <w:bCs/>
        </w:rPr>
        <w:lastRenderedPageBreak/>
        <w:t>Let’s get physical personal: Encouraging physical activity in a large organisation</w:t>
      </w:r>
      <w:bookmarkEnd w:id="21"/>
    </w:p>
    <w:p w14:paraId="19E4E445" w14:textId="77777777" w:rsidR="009E4B24" w:rsidRDefault="009E4B24" w:rsidP="009E4B24">
      <w:pPr>
        <w:jc w:val="both"/>
        <w:rPr>
          <w:rFonts w:ascii="Helvetica" w:hAnsi="Helvetica" w:cs="Helvetica"/>
          <w:b/>
          <w:color w:val="0E6064"/>
          <w:sz w:val="32"/>
          <w:szCs w:val="32"/>
        </w:rPr>
      </w:pPr>
    </w:p>
    <w:p w14:paraId="2FF0F191" w14:textId="77777777" w:rsidR="009E4B24" w:rsidRDefault="009E4B24" w:rsidP="009E4B24">
      <w:pPr>
        <w:jc w:val="both"/>
        <w:rPr>
          <w:rFonts w:ascii="Helvetica" w:hAnsi="Helvetica" w:cs="Helvetica"/>
          <w:b/>
          <w:color w:val="0E6064"/>
          <w:sz w:val="32"/>
          <w:szCs w:val="32"/>
        </w:rPr>
      </w:pPr>
    </w:p>
    <w:p w14:paraId="63B3F20D" w14:textId="2B164F7B" w:rsidR="009E4B24" w:rsidRDefault="009E4B24" w:rsidP="005A2A67">
      <w:pPr>
        <w:pStyle w:val="h4"/>
      </w:pPr>
      <w:r w:rsidRPr="004E3FC0">
        <w:t>Abstract</w:t>
      </w:r>
    </w:p>
    <w:p w14:paraId="271FEF2C" w14:textId="17955187" w:rsidR="003B476D" w:rsidRDefault="003B476D" w:rsidP="003B476D">
      <w:pPr>
        <w:rPr>
          <w:rFonts w:ascii="Helvetica" w:hAnsi="Helvetica" w:cs="Helvetica"/>
          <w:b/>
          <w:color w:val="0E6064"/>
          <w:sz w:val="32"/>
          <w:szCs w:val="32"/>
        </w:rPr>
      </w:pPr>
    </w:p>
    <w:p w14:paraId="7C8E8581" w14:textId="2EB72253" w:rsidR="003B476D" w:rsidRDefault="003B476D" w:rsidP="003B476D">
      <w:pPr>
        <w:pStyle w:val="h4"/>
      </w:pPr>
      <w:r w:rsidRPr="00642AEC">
        <w:rPr>
          <w:noProof/>
        </w:rPr>
        <w:drawing>
          <wp:anchor distT="0" distB="0" distL="114300" distR="114300" simplePos="0" relativeHeight="251784704" behindDoc="0" locked="0" layoutInCell="1" allowOverlap="1" wp14:anchorId="70BCC781" wp14:editId="7C348B15">
            <wp:simplePos x="0" y="0"/>
            <wp:positionH relativeFrom="column">
              <wp:posOffset>4182745</wp:posOffset>
            </wp:positionH>
            <wp:positionV relativeFrom="paragraph">
              <wp:posOffset>340833</wp:posOffset>
            </wp:positionV>
            <wp:extent cx="1475740" cy="1055370"/>
            <wp:effectExtent l="0" t="0" r="0" b="0"/>
            <wp:wrapNone/>
            <wp:docPr id="2" name="Picture 2" descr="Lendlease" title="Logo"/>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3">
                      <a:extLst>
                        <a:ext uri="{28A0092B-C50C-407E-A947-70E740481C1C}">
                          <a14:useLocalDpi xmlns:a14="http://schemas.microsoft.com/office/drawing/2010/main" val="0"/>
                        </a:ext>
                      </a:extLst>
                    </a:blip>
                    <a:stretch>
                      <a:fillRect/>
                    </a:stretch>
                  </pic:blipFill>
                  <pic:spPr>
                    <a:xfrm>
                      <a:off x="0" y="0"/>
                      <a:ext cx="1475740" cy="1055370"/>
                    </a:xfrm>
                    <a:prstGeom prst="rect">
                      <a:avLst/>
                    </a:prstGeom>
                  </pic:spPr>
                </pic:pic>
              </a:graphicData>
            </a:graphic>
            <wp14:sizeRelH relativeFrom="page">
              <wp14:pctWidth>0</wp14:pctWidth>
            </wp14:sizeRelH>
            <wp14:sizeRelV relativeFrom="page">
              <wp14:pctHeight>0</wp14:pctHeight>
            </wp14:sizeRelV>
          </wp:anchor>
        </w:drawing>
      </w:r>
      <w:r w:rsidRPr="00573712">
        <w:t>Project by</w:t>
      </w:r>
    </w:p>
    <w:p w14:paraId="02A4AD0A" w14:textId="20E9E532" w:rsidR="003B476D" w:rsidRDefault="003B476D" w:rsidP="003B476D">
      <w:r w:rsidRPr="00642AEC">
        <w:rPr>
          <w:noProof/>
        </w:rPr>
        <w:drawing>
          <wp:anchor distT="0" distB="0" distL="114300" distR="114300" simplePos="0" relativeHeight="251783680" behindDoc="0" locked="0" layoutInCell="1" allowOverlap="1" wp14:anchorId="6EFE88E1" wp14:editId="2F29DFEC">
            <wp:simplePos x="0" y="0"/>
            <wp:positionH relativeFrom="column">
              <wp:posOffset>2491253</wp:posOffset>
            </wp:positionH>
            <wp:positionV relativeFrom="paragraph">
              <wp:posOffset>18843</wp:posOffset>
            </wp:positionV>
            <wp:extent cx="1055370" cy="1055370"/>
            <wp:effectExtent l="0" t="0" r="0" b="0"/>
            <wp:wrapNone/>
            <wp:docPr id="1" name="Picture 1" descr="November Foundation" title="Logo"/>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4">
                      <a:extLst>
                        <a:ext uri="{28A0092B-C50C-407E-A947-70E740481C1C}">
                          <a14:useLocalDpi xmlns:a14="http://schemas.microsoft.com/office/drawing/2010/main" val="0"/>
                        </a:ext>
                      </a:extLst>
                    </a:blip>
                    <a:stretch>
                      <a:fillRect/>
                    </a:stretch>
                  </pic:blipFill>
                  <pic:spPr>
                    <a:xfrm>
                      <a:off x="0" y="0"/>
                      <a:ext cx="1055370" cy="1055370"/>
                    </a:xfrm>
                    <a:prstGeom prst="rect">
                      <a:avLst/>
                    </a:prstGeom>
                  </pic:spPr>
                </pic:pic>
              </a:graphicData>
            </a:graphic>
            <wp14:sizeRelH relativeFrom="page">
              <wp14:pctWidth>0</wp14:pctWidth>
            </wp14:sizeRelH>
            <wp14:sizeRelV relativeFrom="page">
              <wp14:pctHeight>0</wp14:pctHeight>
            </wp14:sizeRelV>
          </wp:anchor>
        </w:drawing>
      </w:r>
    </w:p>
    <w:p w14:paraId="2953B2E3" w14:textId="1CB2D002" w:rsidR="003B476D" w:rsidRPr="009E4B24" w:rsidRDefault="003B476D" w:rsidP="003B476D">
      <w:r w:rsidRPr="00642AEC">
        <w:rPr>
          <w:noProof/>
        </w:rPr>
        <w:drawing>
          <wp:anchor distT="0" distB="0" distL="114300" distR="114300" simplePos="0" relativeHeight="251782656" behindDoc="0" locked="0" layoutInCell="1" allowOverlap="1" wp14:anchorId="63DDFBC9" wp14:editId="3E208FB8">
            <wp:simplePos x="0" y="0"/>
            <wp:positionH relativeFrom="column">
              <wp:posOffset>199390</wp:posOffset>
            </wp:positionH>
            <wp:positionV relativeFrom="paragraph">
              <wp:posOffset>10160</wp:posOffset>
            </wp:positionV>
            <wp:extent cx="1779905" cy="885825"/>
            <wp:effectExtent l="0" t="0" r="0" b="0"/>
            <wp:wrapNone/>
            <wp:docPr id="10" name="Picture 10" descr="The Behavioural Insights Team" title="Logo"/>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0" cstate="print">
                      <a:extLst>
                        <a:ext uri="{28A0092B-C50C-407E-A947-70E740481C1C}">
                          <a14:useLocalDpi xmlns:a14="http://schemas.microsoft.com/office/drawing/2010/main" val="0"/>
                        </a:ext>
                      </a:extLst>
                    </a:blip>
                    <a:srcRect t="-1" b="-40407"/>
                    <a:stretch/>
                  </pic:blipFill>
                  <pic:spPr bwMode="auto">
                    <a:xfrm>
                      <a:off x="0" y="0"/>
                      <a:ext cx="177990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page" w:horzAnchor="margin" w:tblpY="6867"/>
        <w:tblW w:w="9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et’s get physical personal: Encouraging physical activity in a large organisation"/>
        <w:tblDescription w:val="Text box descripion of a trial to address inactivity in men in a large organisation. "/>
      </w:tblPr>
      <w:tblGrid>
        <w:gridCol w:w="9162"/>
      </w:tblGrid>
      <w:tr w:rsidR="00AD7F28" w14:paraId="007DD8BB" w14:textId="77777777" w:rsidTr="00EC4EFD">
        <w:trPr>
          <w:trHeight w:val="5094"/>
        </w:trPr>
        <w:tc>
          <w:tcPr>
            <w:tcW w:w="9162" w:type="dxa"/>
            <w:shd w:val="clear" w:color="auto" w:fill="D9D9D9" w:themeFill="background1" w:themeFillShade="D9"/>
          </w:tcPr>
          <w:p w14:paraId="3B59D645" w14:textId="78445D0A" w:rsidR="00AD7F28" w:rsidRPr="004E3FC0" w:rsidRDefault="00AD7F28" w:rsidP="009E4B24">
            <w:pPr>
              <w:spacing w:after="240" w:line="320" w:lineRule="auto"/>
              <w:rPr>
                <w:rFonts w:ascii="Helvetica" w:eastAsia="Helvetica" w:hAnsi="Helvetica" w:cs="Helvetica"/>
                <w:color w:val="3F3F3F"/>
                <w:sz w:val="24"/>
              </w:rPr>
            </w:pPr>
            <w:bookmarkStart w:id="22" w:name="_Toc515874431"/>
            <w:bookmarkStart w:id="23" w:name="_Toc515874502"/>
            <w:bookmarkStart w:id="24" w:name="_Toc515874672"/>
            <w:r w:rsidRPr="00AD7F28">
              <w:rPr>
                <w:rFonts w:ascii="Helvetica" w:eastAsia="Helvetica" w:hAnsi="Helvetica" w:cs="Helvetica"/>
                <w:color w:val="3F3F3F"/>
                <w:sz w:val="24"/>
              </w:rPr>
              <w:t>To address one of the biggest killers of men, inactivity, we tested whether small changes to a leaderboard in a large organisation could increase physical activity of employees. We found these changes did increase physical activity by 8 per cent, especially among those who were previously less physically active.</w:t>
            </w:r>
          </w:p>
        </w:tc>
      </w:tr>
    </w:tbl>
    <w:bookmarkEnd w:id="22"/>
    <w:bookmarkEnd w:id="23"/>
    <w:bookmarkEnd w:id="24"/>
    <w:p w14:paraId="4AC3009D" w14:textId="67AC8E55" w:rsidR="00251049" w:rsidRDefault="00251049" w:rsidP="00D33213">
      <w:pPr>
        <w:pStyle w:val="h4"/>
      </w:pPr>
      <w:r>
        <w:lastRenderedPageBreak/>
        <w:t xml:space="preserve">The policy problem </w:t>
      </w:r>
    </w:p>
    <w:p w14:paraId="5007136A" w14:textId="17EA4CCB" w:rsidR="00A27BFB" w:rsidRDefault="00A27BFB" w:rsidP="00BE15B4">
      <w:pPr>
        <w:rPr>
          <w:rFonts w:ascii="Times New Roman" w:hAnsi="Times New Roman"/>
        </w:rPr>
      </w:pPr>
      <w:r>
        <w:rPr>
          <w:rFonts w:eastAsia="Helvetica"/>
        </w:rPr>
        <w:t>Physical inactivity is a risk factor associated with many diseases. An additional 15 minutes of brisk walking five days per week can reduce the disease burden associated with inactivity by an estimated 13 per cent.</w:t>
      </w:r>
      <w:r>
        <w:rPr>
          <w:vertAlign w:val="superscript"/>
        </w:rPr>
        <w:footnoteReference w:id="21"/>
      </w:r>
      <w:r>
        <w:rPr>
          <w:rFonts w:eastAsia="Helvetica"/>
        </w:rPr>
        <w:t xml:space="preserve"> However, very little is known about the differential effects of physical activity interventions. It may be that attempts to encourage individuals to be more physically active merely increase the physical activity of those who are already active.</w:t>
      </w:r>
      <w:r>
        <w:rPr>
          <w:vertAlign w:val="superscript"/>
        </w:rPr>
        <w:footnoteReference w:id="22"/>
      </w:r>
      <w:r>
        <w:rPr>
          <w:rFonts w:ascii="Times New Roman" w:hAnsi="Times New Roman"/>
        </w:rPr>
        <w:t xml:space="preserve"> </w:t>
      </w:r>
      <w:r>
        <w:rPr>
          <w:rFonts w:eastAsia="Helvetica"/>
        </w:rPr>
        <w:t xml:space="preserve">Our trial targeted individuals at moments when they were most likely to be physically inactive (i.e., at work) and thus sought to increase the physical activity of those who would benefit most. </w:t>
      </w:r>
    </w:p>
    <w:p w14:paraId="0AE51ED7" w14:textId="7B407ADA" w:rsidR="00251049" w:rsidRDefault="00251049" w:rsidP="00D33213">
      <w:pPr>
        <w:pStyle w:val="h4"/>
      </w:pPr>
      <w:r>
        <w:t xml:space="preserve">Our findings and learnings </w:t>
      </w:r>
    </w:p>
    <w:p w14:paraId="24409139" w14:textId="1FCAE3F2" w:rsidR="00A27BFB" w:rsidRDefault="00A27BFB" w:rsidP="00BE15B4">
      <w:pPr>
        <w:rPr>
          <w:rFonts w:eastAsia="Helvetica"/>
        </w:rPr>
      </w:pPr>
      <w:r>
        <w:rPr>
          <w:rFonts w:eastAsia="Helvetica"/>
        </w:rPr>
        <w:t>Prior to our trial, 50 teams (totalling 646 individuals) had been competing in a step challenge organised by Lendlease. We changed the challenge to ascertain whether providing certain information to participants could increase the amount of physical activity undertaken by the participants.</w:t>
      </w:r>
    </w:p>
    <w:p w14:paraId="5C0FFB5E" w14:textId="500B26A3" w:rsidR="00A27BFB" w:rsidRDefault="00A27BFB" w:rsidP="00BE15B4">
      <w:pPr>
        <w:rPr>
          <w:rFonts w:eastAsia="Helvetica"/>
        </w:rPr>
      </w:pPr>
      <w:r>
        <w:rPr>
          <w:rFonts w:eastAsia="Helvetica"/>
        </w:rPr>
        <w:t xml:space="preserve">We randomly assigned the teams to two groups to receive different types of feedback. The control group received generic leaderboard information, advising which teams were in the lead. As most people focus on the top of a leaderboard, </w:t>
      </w:r>
      <w:r w:rsidR="00253FDA">
        <w:rPr>
          <w:rFonts w:eastAsia="Helvetica"/>
        </w:rPr>
        <w:t xml:space="preserve">their </w:t>
      </w:r>
      <w:r>
        <w:rPr>
          <w:rFonts w:eastAsia="Helvetica"/>
        </w:rPr>
        <w:t>attention is directed to the most physically active people. Conversely, for those at the bottom of the leaderboard, seeing others at the top causes them to perceive an unreachable goal and may lead to their disengaging from the competition.</w:t>
      </w:r>
    </w:p>
    <w:p w14:paraId="6CF46A51" w14:textId="77777777" w:rsidR="000933C6" w:rsidRDefault="000933C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2327A95F" w14:textId="77777777" w:rsidTr="008C083D">
        <w:trPr>
          <w:trHeight w:val="1"/>
        </w:trPr>
        <w:tc>
          <w:tcPr>
            <w:tcW w:w="5000" w:type="pct"/>
            <w:shd w:val="clear" w:color="auto" w:fill="F2F2F2"/>
            <w:tcMar>
              <w:left w:w="108" w:type="dxa"/>
              <w:right w:w="108" w:type="dxa"/>
            </w:tcMar>
          </w:tcPr>
          <w:p w14:paraId="227414E5" w14:textId="627EEE83" w:rsidR="00251049" w:rsidRDefault="000F413E"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0624" behindDoc="1" locked="0" layoutInCell="1" allowOverlap="1" wp14:anchorId="035966C5" wp14:editId="74BAC8C6">
                  <wp:simplePos x="0" y="0"/>
                  <wp:positionH relativeFrom="margin">
                    <wp:posOffset>-27305</wp:posOffset>
                  </wp:positionH>
                  <wp:positionV relativeFrom="paragraph">
                    <wp:posOffset>40650</wp:posOffset>
                  </wp:positionV>
                  <wp:extent cx="370800" cy="370800"/>
                  <wp:effectExtent l="0" t="0" r="0" b="0"/>
                  <wp:wrapTight wrapText="bothSides">
                    <wp:wrapPolygon edited="0">
                      <wp:start x="0" y="0"/>
                      <wp:lineTo x="0" y="20007"/>
                      <wp:lineTo x="20007" y="20007"/>
                      <wp:lineTo x="20007" y="0"/>
                      <wp:lineTo x="0" y="0"/>
                    </wp:wrapPolygon>
                  </wp:wrapTight>
                  <wp:docPr id="45" name="Picture 45"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5A52522F" w14:textId="335973C0" w:rsidR="00C913C3" w:rsidRPr="00C913C3" w:rsidRDefault="00251049" w:rsidP="00BE15B4">
            <w:pPr>
              <w:rPr>
                <w:rFonts w:ascii="Times New Roman" w:eastAsiaTheme="minorHAnsi" w:hAnsi="Times New Roman"/>
                <w:color w:val="auto"/>
                <w:sz w:val="24"/>
                <w:szCs w:val="24"/>
              </w:rPr>
            </w:pPr>
            <w:r w:rsidRPr="000F413E">
              <w:rPr>
                <w:rFonts w:ascii="Helvetica" w:eastAsia="Helvetica" w:hAnsi="Helvetica" w:cs="Helvetica"/>
                <w:b/>
                <w:color w:val="auto"/>
              </w:rPr>
              <w:t>Leaderboards</w:t>
            </w:r>
            <w:r w:rsidRPr="000F413E">
              <w:rPr>
                <w:rFonts w:ascii="Helvetica" w:eastAsia="Helvetica" w:hAnsi="Helvetica" w:cs="Helvetica"/>
                <w:color w:val="auto"/>
              </w:rPr>
              <w:t xml:space="preserve"> </w:t>
            </w:r>
            <w:r>
              <w:rPr>
                <w:rFonts w:ascii="Helvetica" w:eastAsia="Helvetica" w:hAnsi="Helvetica" w:cs="Helvetica"/>
                <w:color w:val="3F3F3F"/>
              </w:rPr>
              <w:t xml:space="preserve">can be </w:t>
            </w:r>
            <w:r w:rsidR="00C913C3">
              <w:rPr>
                <w:rFonts w:eastAsia="Helvetica"/>
              </w:rPr>
              <w:t>used to motivate people to strive to achieve first place. However, leaderboards must be used carefully, as winning first place may not result in high levels of satisfaction and may even have unintended negative effects that impede participants’ progress.</w:t>
            </w:r>
            <w:r w:rsidR="00C913C3">
              <w:rPr>
                <w:rStyle w:val="FootnoteReference"/>
                <w:iCs/>
              </w:rPr>
              <w:footnoteReference w:id="23"/>
            </w:r>
            <w:r w:rsidR="00C913C3">
              <w:rPr>
                <w:rFonts w:ascii="Times New Roman" w:eastAsiaTheme="minorHAnsi" w:hAnsi="Times New Roman"/>
                <w:color w:val="auto"/>
                <w:sz w:val="24"/>
                <w:szCs w:val="24"/>
              </w:rPr>
              <w:t xml:space="preserve"> </w:t>
            </w:r>
          </w:p>
        </w:tc>
      </w:tr>
    </w:tbl>
    <w:p w14:paraId="6331BE3F" w14:textId="75FEB118" w:rsidR="00251049" w:rsidRPr="00F17DD8" w:rsidRDefault="00A27BFB" w:rsidP="004E3FC0">
      <w:pPr>
        <w:pStyle w:val="Caption"/>
        <w:jc w:val="both"/>
        <w:rPr>
          <w:rStyle w:val="1GREEN"/>
        </w:rPr>
      </w:pPr>
      <w:bookmarkStart w:id="25" w:name="_Ref511652453"/>
      <w:r>
        <w:rPr>
          <w:noProof/>
        </w:rPr>
        <w:drawing>
          <wp:anchor distT="0" distB="0" distL="114300" distR="114300" simplePos="0" relativeHeight="251631104" behindDoc="0" locked="0" layoutInCell="1" allowOverlap="1" wp14:anchorId="2C200083" wp14:editId="75B75A6C">
            <wp:simplePos x="0" y="0"/>
            <wp:positionH relativeFrom="margin">
              <wp:align>left</wp:align>
            </wp:positionH>
            <wp:positionV relativeFrom="paragraph">
              <wp:posOffset>367665</wp:posOffset>
            </wp:positionV>
            <wp:extent cx="2211033" cy="1908000"/>
            <wp:effectExtent l="0" t="0" r="0" b="0"/>
            <wp:wrapThrough wrapText="bothSides">
              <wp:wrapPolygon edited="0">
                <wp:start x="0" y="0"/>
                <wp:lineTo x="0" y="21356"/>
                <wp:lineTo x="21408" y="21356"/>
                <wp:lineTo x="21408" y="0"/>
                <wp:lineTo x="0" y="0"/>
              </wp:wrapPolygon>
            </wp:wrapThrough>
            <wp:docPr id="3" name="Picture 3" descr="Well done to Nicky Tindall, who has contributed the most steps to the team so far, and well done to Cam Dutta who has had the greatest increase in steps since last week."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tBit.png"/>
                    <pic:cNvPicPr/>
                  </pic:nvPicPr>
                  <pic:blipFill>
                    <a:blip r:embed="rId45">
                      <a:extLst>
                        <a:ext uri="{28A0092B-C50C-407E-A947-70E740481C1C}">
                          <a14:useLocalDpi xmlns:a14="http://schemas.microsoft.com/office/drawing/2010/main" val="0"/>
                        </a:ext>
                      </a:extLst>
                    </a:blip>
                    <a:stretch>
                      <a:fillRect/>
                    </a:stretch>
                  </pic:blipFill>
                  <pic:spPr>
                    <a:xfrm>
                      <a:off x="0" y="0"/>
                      <a:ext cx="2211033" cy="1908000"/>
                    </a:xfrm>
                    <a:prstGeom prst="rect">
                      <a:avLst/>
                    </a:prstGeom>
                  </pic:spPr>
                </pic:pic>
              </a:graphicData>
            </a:graphic>
            <wp14:sizeRelH relativeFrom="page">
              <wp14:pctWidth>0</wp14:pctWidth>
            </wp14:sizeRelH>
            <wp14:sizeRelV relativeFrom="page">
              <wp14:pctHeight>0</wp14:pctHeight>
            </wp14:sizeRelV>
          </wp:anchor>
        </w:drawing>
      </w:r>
      <w:r w:rsidR="00251049" w:rsidRPr="00F17DD8">
        <w:rPr>
          <w:rStyle w:val="1GREEN"/>
        </w:rPr>
        <w:t xml:space="preserve">Figure </w:t>
      </w:r>
      <w:r w:rsidR="00251049" w:rsidRPr="00F17DD8">
        <w:rPr>
          <w:rStyle w:val="1GREEN"/>
        </w:rPr>
        <w:fldChar w:fldCharType="begin"/>
      </w:r>
      <w:r w:rsidR="00251049" w:rsidRPr="00F17DD8">
        <w:rPr>
          <w:rStyle w:val="1GREEN"/>
        </w:rPr>
        <w:instrText xml:space="preserve"> SEQ Figure \* ARABIC </w:instrText>
      </w:r>
      <w:r w:rsidR="00251049" w:rsidRPr="00F17DD8">
        <w:rPr>
          <w:rStyle w:val="1GREEN"/>
        </w:rPr>
        <w:fldChar w:fldCharType="separate"/>
      </w:r>
      <w:r w:rsidR="00B01953">
        <w:rPr>
          <w:rStyle w:val="1GREEN"/>
          <w:noProof/>
        </w:rPr>
        <w:t>5</w:t>
      </w:r>
      <w:r w:rsidR="00251049" w:rsidRPr="00F17DD8">
        <w:rPr>
          <w:rStyle w:val="1GREEN"/>
        </w:rPr>
        <w:fldChar w:fldCharType="end"/>
      </w:r>
      <w:bookmarkEnd w:id="25"/>
      <w:r w:rsidR="00251049" w:rsidRPr="00F17DD8">
        <w:rPr>
          <w:rStyle w:val="1GREEN"/>
        </w:rPr>
        <w:t xml:space="preserve">: The leaderboard </w:t>
      </w:r>
      <w:r w:rsidR="00C913C3">
        <w:rPr>
          <w:rStyle w:val="1GREEN"/>
        </w:rPr>
        <w:t xml:space="preserve">posting </w:t>
      </w:r>
      <w:r w:rsidR="00251049" w:rsidRPr="00F17DD8">
        <w:rPr>
          <w:rStyle w:val="1GREEN"/>
        </w:rPr>
        <w:t xml:space="preserve">shown </w:t>
      </w:r>
      <w:r w:rsidR="00C913C3">
        <w:rPr>
          <w:rStyle w:val="1GREEN"/>
        </w:rPr>
        <w:t>to participants in the treatment</w:t>
      </w:r>
      <w:r w:rsidR="00251049" w:rsidRPr="00F17DD8">
        <w:rPr>
          <w:rStyle w:val="1GREEN"/>
        </w:rPr>
        <w:t xml:space="preserve"> group</w:t>
      </w:r>
    </w:p>
    <w:p w14:paraId="3391B503" w14:textId="66EE57D4" w:rsidR="00C913C3" w:rsidRDefault="00C913C3" w:rsidP="00AB7F22">
      <w:r>
        <w:t xml:space="preserve">Conversely, in the treatment group the focus was shifted to what participants could achieve. We highlighted the distance of a team from first place </w:t>
      </w:r>
      <w:r>
        <w:rPr>
          <w:b/>
        </w:rPr>
        <w:t>and</w:t>
      </w:r>
      <w:r>
        <w:t xml:space="preserve"> the team’s closest competitor. </w:t>
      </w:r>
    </w:p>
    <w:p w14:paraId="17367C0A" w14:textId="3EEF25B5" w:rsidR="00C913C3" w:rsidRDefault="00C913C3" w:rsidP="00AB7F22">
      <w:r>
        <w:t>The latter was highlighted, as the likelihood of surpassing the closest competitor is more achievable than placing first and thus provides extra motivation.</w:t>
      </w:r>
    </w:p>
    <w:p w14:paraId="25039E9F" w14:textId="2E34D5EF" w:rsidR="00C913C3" w:rsidRDefault="00C913C3" w:rsidP="00AB7F22">
      <w:r>
        <w:t xml:space="preserve">We also designed the competition to increase participants’ motivation to compete, by designing groups to be evenly matched. </w:t>
      </w:r>
    </w:p>
    <w:p w14:paraId="16E902E5" w14:textId="7349532A" w:rsidR="00C913C3" w:rsidRPr="00321671" w:rsidRDefault="00C913C3" w:rsidP="00BE15B4">
      <w:r w:rsidRPr="00321671">
        <w:lastRenderedPageBreak/>
        <w:t xml:space="preserve">Finally, we highlighted the individuals who represented star performers during the week to provide role models and mentioned those who had improved the most (see </w:t>
      </w:r>
      <w:r w:rsidRPr="00321671">
        <w:fldChar w:fldCharType="begin"/>
      </w:r>
      <w:r w:rsidRPr="00321671">
        <w:instrText xml:space="preserve"> REF _Ref511652453 \h  \* MERGEFORMAT </w:instrText>
      </w:r>
      <w:r w:rsidRPr="00321671">
        <w:fldChar w:fldCharType="separate"/>
      </w:r>
      <w:r w:rsidR="00B01953" w:rsidRPr="00B01953">
        <w:t>Figure 5</w:t>
      </w:r>
      <w:r w:rsidRPr="00321671">
        <w:fldChar w:fldCharType="end"/>
      </w:r>
      <w:r w:rsidRPr="00321671">
        <w:t>).</w:t>
      </w:r>
    </w:p>
    <w:p w14:paraId="0420C976" w14:textId="77777777" w:rsidR="00C913C3" w:rsidRDefault="00C913C3" w:rsidP="00BE15B4">
      <w:r>
        <w:t>Both groups were sent messages at the beginning of each week. Participants’ progress was monitored over three weeks.</w:t>
      </w:r>
    </w:p>
    <w:p w14:paraId="4DE059F6" w14:textId="4F43054B" w:rsidR="00C913C3" w:rsidRDefault="00C913C3" w:rsidP="00BE15B4">
      <w:pPr>
        <w:rPr>
          <w:rFonts w:eastAsia="Helvetica"/>
        </w:rPr>
      </w:pPr>
      <w:r>
        <w:rPr>
          <w:rFonts w:eastAsia="Helvetica"/>
        </w:rPr>
        <w:t xml:space="preserve">At the end of the three weeks, the leaderboard shown to the treatment group had positive and significant effect on participants’ physical activity. The improvement occurred across all four outcome measures: total steps, the number of days taken to reach 10,000 steps, calories expended and active minutes (see </w:t>
      </w:r>
      <w:r>
        <w:rPr>
          <w:rFonts w:eastAsia="Helvetica"/>
        </w:rPr>
        <w:fldChar w:fldCharType="begin"/>
      </w:r>
      <w:r>
        <w:rPr>
          <w:rFonts w:eastAsia="Helvetica"/>
        </w:rPr>
        <w:instrText xml:space="preserve"> REF _Ref513791044 \h  \* MERGEFORMAT </w:instrText>
      </w:r>
      <w:r>
        <w:rPr>
          <w:rFonts w:eastAsia="Helvetica"/>
        </w:rPr>
      </w:r>
      <w:r>
        <w:rPr>
          <w:rFonts w:eastAsia="Helvetica"/>
        </w:rPr>
        <w:fldChar w:fldCharType="separate"/>
      </w:r>
      <w:r w:rsidR="00B01953">
        <w:t>Figure 6</w:t>
      </w:r>
      <w:r>
        <w:rPr>
          <w:rFonts w:eastAsia="Helvetica"/>
        </w:rPr>
        <w:fldChar w:fldCharType="end"/>
      </w:r>
      <w:r>
        <w:rPr>
          <w:rFonts w:eastAsia="Helvetica"/>
        </w:rPr>
        <w:t>).</w:t>
      </w:r>
    </w:p>
    <w:p w14:paraId="32E80DC8" w14:textId="47DBD872" w:rsidR="00C913C3" w:rsidRDefault="00C913C3" w:rsidP="00BE15B4">
      <w:pPr>
        <w:rPr>
          <w:rFonts w:eastAsia="Helvetica"/>
        </w:rPr>
      </w:pPr>
      <w:r>
        <w:rPr>
          <w:rFonts w:eastAsia="Helvetica"/>
        </w:rPr>
        <w:t>As the trial was funded by the Movember Foundation (a foundation seeking to improve men’s health), the results were segmented by men and women. We found a significant improvement in the number of days it took men to reach</w:t>
      </w:r>
      <w:r w:rsidR="00253FDA">
        <w:rPr>
          <w:rFonts w:eastAsia="Helvetica"/>
        </w:rPr>
        <w:t xml:space="preserve"> </w:t>
      </w:r>
      <w:r>
        <w:rPr>
          <w:rFonts w:eastAsia="Helvetica"/>
        </w:rPr>
        <w:t>10,000 steps compared to those in the control group. We also found men who viewed the new leaderboard expended more calories. Conversely, women who viewed the new leaderboard demonstrated significant improvements across all four outcome measures.</w:t>
      </w:r>
    </w:p>
    <w:p w14:paraId="2D59573C" w14:textId="51587932" w:rsidR="00251049" w:rsidRPr="00AC0233" w:rsidRDefault="00AC0233" w:rsidP="004E3FC0">
      <w:pPr>
        <w:pStyle w:val="Caption"/>
        <w:jc w:val="both"/>
        <w:rPr>
          <w:rFonts w:ascii="Helvetica" w:eastAsia="Helvetica" w:hAnsi="Helvetica" w:cs="Helvetica"/>
          <w:color w:val="117479"/>
        </w:rPr>
      </w:pPr>
      <w:bookmarkStart w:id="26" w:name="_Ref513791044"/>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6</w:t>
      </w:r>
      <w:r w:rsidR="003035A6">
        <w:rPr>
          <w:noProof/>
        </w:rPr>
        <w:fldChar w:fldCharType="end"/>
      </w:r>
      <w:bookmarkEnd w:id="26"/>
      <w:r w:rsidR="00251049" w:rsidRPr="00AC0233">
        <w:rPr>
          <w:rFonts w:ascii="Helvetica" w:eastAsia="Helvetica" w:hAnsi="Helvetica" w:cs="Helvetica"/>
          <w:color w:val="117479"/>
        </w:rPr>
        <w:t xml:space="preserve">: </w:t>
      </w:r>
      <w:r w:rsidR="00C913C3">
        <w:rPr>
          <w:rFonts w:ascii="Helvetica" w:eastAsia="Helvetica" w:hAnsi="Helvetica" w:cs="Helvetica"/>
          <w:color w:val="117479"/>
        </w:rPr>
        <w:t>Average steps per day across the two groups</w:t>
      </w:r>
    </w:p>
    <w:p w14:paraId="57746154" w14:textId="3C05FF7A" w:rsidR="00251049" w:rsidRDefault="0014372D" w:rsidP="004E3FC0">
      <w:pPr>
        <w:spacing w:line="260" w:lineRule="auto"/>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4D26AD42" wp14:editId="6DF3217E">
            <wp:extent cx="5384800" cy="2819400"/>
            <wp:effectExtent l="0" t="0" r="0" b="0"/>
            <wp:docPr id="120" name="Picture 120" descr="Figure 6 shows a significant difference (p &lt; 0.001) between average number of steps between the new leaderboard (9,051 steps) and the generic leaderboard (8,431 steps). This represents an 8 per cent increase, or an extra 620 steps per day."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ig6.png"/>
                    <pic:cNvPicPr/>
                  </pic:nvPicPr>
                  <pic:blipFill>
                    <a:blip r:embed="rId46">
                      <a:extLst>
                        <a:ext uri="{28A0092B-C50C-407E-A947-70E740481C1C}">
                          <a14:useLocalDpi xmlns:a14="http://schemas.microsoft.com/office/drawing/2010/main" val="0"/>
                        </a:ext>
                      </a:extLst>
                    </a:blip>
                    <a:stretch>
                      <a:fillRect/>
                    </a:stretch>
                  </pic:blipFill>
                  <pic:spPr>
                    <a:xfrm>
                      <a:off x="0" y="0"/>
                      <a:ext cx="5384800" cy="2819400"/>
                    </a:xfrm>
                    <a:prstGeom prst="rect">
                      <a:avLst/>
                    </a:prstGeom>
                  </pic:spPr>
                </pic:pic>
              </a:graphicData>
            </a:graphic>
          </wp:inline>
        </w:drawing>
      </w:r>
    </w:p>
    <w:p w14:paraId="6FC58C1A" w14:textId="77777777" w:rsidR="00C913C3" w:rsidRDefault="00C913C3" w:rsidP="00BE15B4">
      <w:pPr>
        <w:rPr>
          <w:rFonts w:eastAsia="Helvetica"/>
        </w:rPr>
      </w:pPr>
      <w:r>
        <w:rPr>
          <w:rFonts w:eastAsia="Helvetica"/>
        </w:rPr>
        <w:t>As stated above, the focus of this study was to reduce physical inactivity rather than to simply increase physical activity. The greatest increase occurred among those who had previously been the least active (i.e., among the individuals who would benefit the most from physical activity).</w:t>
      </w:r>
    </w:p>
    <w:p w14:paraId="089CC21A" w14:textId="17DD6036" w:rsidR="00C913C3" w:rsidRDefault="00C913C3" w:rsidP="00BE15B4">
      <w:pPr>
        <w:rPr>
          <w:rFonts w:eastAsia="Helvetica"/>
        </w:rPr>
      </w:pPr>
      <w:r>
        <w:rPr>
          <w:rFonts w:eastAsia="Helvetica"/>
        </w:rPr>
        <w:t>The competition lasted for three weeks; however, we wished to examine whether the effects of the competition would persist. A follow-up of people some three months later showed the overall effect continued.</w:t>
      </w:r>
    </w:p>
    <w:p w14:paraId="2B7F71F2" w14:textId="41AD2D27" w:rsidR="00251049" w:rsidRDefault="00966AF1" w:rsidP="00BE15B4">
      <w:pPr>
        <w:rPr>
          <w:rFonts w:eastAsia="Helvetica"/>
        </w:rPr>
      </w:pPr>
      <w:r>
        <w:rPr>
          <w:rFonts w:eastAsia="Helvetica"/>
        </w:rPr>
        <w:t xml:space="preserve">Visit the </w:t>
      </w:r>
      <w:hyperlink r:id="rId47">
        <w:r>
          <w:rPr>
            <w:rFonts w:eastAsia="Helvetica"/>
            <w:color w:val="2158A8"/>
            <w:u w:val="single"/>
          </w:rPr>
          <w:t>UK Behavioural Insights Team website</w:t>
        </w:r>
      </w:hyperlink>
      <w:r w:rsidR="00C913C3" w:rsidRPr="00C913C3">
        <w:rPr>
          <w:rFonts w:eastAsia="Helvetica"/>
        </w:rPr>
        <w:t xml:space="preserve"> to access the full report</w:t>
      </w:r>
      <w:r w:rsidR="00251049">
        <w:rPr>
          <w:rFonts w:eastAsia="Helvetica"/>
        </w:rPr>
        <w:t>.</w:t>
      </w:r>
    </w:p>
    <w:p w14:paraId="53432488" w14:textId="77777777" w:rsidR="00251049" w:rsidRDefault="00251049" w:rsidP="00D33213">
      <w:pPr>
        <w:pStyle w:val="h4"/>
      </w:pPr>
      <w:r>
        <w:t xml:space="preserve">Future opportunities </w:t>
      </w:r>
    </w:p>
    <w:p w14:paraId="4F12CFAA" w14:textId="2BD3A38A" w:rsidR="00A27BFB" w:rsidRDefault="00C913C3" w:rsidP="00BE15B4">
      <w:pPr>
        <w:rPr>
          <w:rFonts w:eastAsia="Helvetica"/>
        </w:rPr>
      </w:pPr>
      <w:r>
        <w:rPr>
          <w:rFonts w:eastAsia="Helvetica"/>
        </w:rPr>
        <w:t xml:space="preserve">The design of leaderboards can significantly affect people’s behaviours. The insights of this trial have been replicated in other projects. For example, </w:t>
      </w:r>
      <w:r w:rsidR="00C144BF">
        <w:rPr>
          <w:rFonts w:eastAsia="Helvetica"/>
        </w:rPr>
        <w:t xml:space="preserve">see </w:t>
      </w:r>
      <w:r w:rsidR="00A27BFB">
        <w:rPr>
          <w:rFonts w:eastAsia="Helvetica"/>
        </w:rPr>
        <w:t>the</w:t>
      </w:r>
      <w:r>
        <w:rPr>
          <w:rFonts w:eastAsia="Helvetica"/>
        </w:rPr>
        <w:t xml:space="preserve"> flexible work project (</w:t>
      </w:r>
      <w:r w:rsidR="00C144BF">
        <w:rPr>
          <w:rFonts w:eastAsia="Helvetica"/>
        </w:rPr>
        <w:t>at</w:t>
      </w:r>
      <w:r>
        <w:rPr>
          <w:rFonts w:eastAsia="Helvetica"/>
        </w:rPr>
        <w:t xml:space="preserve"> </w:t>
      </w:r>
      <w:r w:rsidR="00C144BF">
        <w:rPr>
          <w:rFonts w:eastAsia="Helvetica"/>
        </w:rPr>
        <w:t xml:space="preserve">page </w:t>
      </w:r>
      <w:r w:rsidR="00C144BF">
        <w:rPr>
          <w:rFonts w:eastAsia="Helvetica"/>
        </w:rPr>
        <w:fldChar w:fldCharType="begin"/>
      </w:r>
      <w:r w:rsidR="00C144BF">
        <w:rPr>
          <w:rFonts w:eastAsia="Helvetica"/>
        </w:rPr>
        <w:instrText xml:space="preserve"> PAGEREF _Ref515182386 \h </w:instrText>
      </w:r>
      <w:r w:rsidR="00C144BF">
        <w:rPr>
          <w:rFonts w:eastAsia="Helvetica"/>
        </w:rPr>
      </w:r>
      <w:r w:rsidR="00C144BF">
        <w:rPr>
          <w:rFonts w:eastAsia="Helvetica"/>
        </w:rPr>
        <w:fldChar w:fldCharType="separate"/>
      </w:r>
      <w:r w:rsidR="00B01953">
        <w:rPr>
          <w:rFonts w:eastAsia="Helvetica"/>
          <w:noProof/>
        </w:rPr>
        <w:t>55</w:t>
      </w:r>
      <w:r w:rsidR="00C144BF">
        <w:rPr>
          <w:rFonts w:eastAsia="Helvetica"/>
        </w:rPr>
        <w:fldChar w:fldCharType="end"/>
      </w:r>
      <w:r>
        <w:rPr>
          <w:rFonts w:eastAsia="Helvetica"/>
        </w:rPr>
        <w:t>).</w:t>
      </w:r>
    </w:p>
    <w:p w14:paraId="06B2DD78" w14:textId="1F2B02B1" w:rsidR="00BE15B4" w:rsidRDefault="00BE15B4">
      <w:pPr>
        <w:keepLines w:val="0"/>
        <w:spacing w:before="0" w:after="0" w:line="240" w:lineRule="auto"/>
        <w:rPr>
          <w:rFonts w:ascii="Helvetica" w:eastAsia="Helvetica" w:hAnsi="Helvetica" w:cs="Helvetica"/>
          <w:color w:val="3F3F3F"/>
        </w:rPr>
      </w:pPr>
      <w:r>
        <w:rPr>
          <w:rFonts w:ascii="Helvetica" w:eastAsia="Helvetica" w:hAnsi="Helvetica" w:cs="Helvetica"/>
          <w:color w:val="3F3F3F"/>
        </w:rPr>
        <w:br w:type="page"/>
      </w:r>
    </w:p>
    <w:p w14:paraId="5013114C" w14:textId="2A8A1C25" w:rsidR="001A05C3" w:rsidRPr="001A05C3" w:rsidRDefault="001A05C3" w:rsidP="001A05C3">
      <w:pPr>
        <w:pStyle w:val="Heading3"/>
        <w:framePr w:wrap="around"/>
        <w:spacing w:after="240"/>
        <w:ind w:right="-851"/>
        <w:rPr>
          <w:rFonts w:ascii="Helvetica" w:hAnsi="Helvetica" w:cs="Helvetica"/>
          <w:bCs/>
          <w:color w:val="3F3F3F"/>
        </w:rPr>
      </w:pPr>
      <w:bookmarkStart w:id="27" w:name="_Toc516827444"/>
      <w:r w:rsidRPr="001A05C3">
        <w:rPr>
          <w:bCs/>
        </w:rPr>
        <w:lastRenderedPageBreak/>
        <w:t>Supporting doctors to claim correctly using peer comparison and loss aversion</w:t>
      </w:r>
      <w:bookmarkEnd w:id="27"/>
    </w:p>
    <w:tbl>
      <w:tblPr>
        <w:tblStyle w:val="TableGrid"/>
        <w:tblpPr w:leftFromText="180" w:rightFromText="180" w:vertAnchor="page" w:horzAnchor="margin" w:tblpY="5828"/>
        <w:tblW w:w="9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upporting doctors to claim correctly using peer comparison and loss aversion"/>
        <w:tblDescription w:val="Text box description to improve reporting of hours worked by doctors."/>
      </w:tblPr>
      <w:tblGrid>
        <w:gridCol w:w="9162"/>
      </w:tblGrid>
      <w:tr w:rsidR="00AD7F28" w14:paraId="7F3EE354" w14:textId="77777777" w:rsidTr="00EC4EFD">
        <w:trPr>
          <w:trHeight w:val="5520"/>
        </w:trPr>
        <w:tc>
          <w:tcPr>
            <w:tcW w:w="9162" w:type="dxa"/>
            <w:shd w:val="clear" w:color="auto" w:fill="D9D9D9" w:themeFill="background1" w:themeFillShade="D9"/>
          </w:tcPr>
          <w:p w14:paraId="0DC898A9" w14:textId="77777777" w:rsidR="00AD7F28" w:rsidRPr="00AD7F28"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The cost to the Australian Government of subsidising after-hours services by health professionals grew rapidly from 2005–06 to 2014–15. The highest growth occurred in claims for urgent after-hours services which receive a higher rebate, raising a concern that these items were not always being claimed correctly.</w:t>
            </w:r>
          </w:p>
          <w:p w14:paraId="63953F05" w14:textId="77777777" w:rsidR="00AD7F28" w:rsidRPr="00AD7F28"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We targeted the top 1,200 health professionals making urgent after-hours claims and conducted a letter-based randomised controlled trial, testing peer comparison and loss aversion.</w:t>
            </w:r>
          </w:p>
          <w:p w14:paraId="5776AFB0" w14:textId="4F0AFF15" w:rsidR="00AD7F28" w:rsidRPr="004E3FC0" w:rsidRDefault="00AD7F28" w:rsidP="001A05C3">
            <w:pPr>
              <w:spacing w:after="240" w:line="320" w:lineRule="auto"/>
              <w:rPr>
                <w:rFonts w:ascii="Helvetica" w:eastAsia="Helvetica" w:hAnsi="Helvetica" w:cs="Helvetica"/>
                <w:color w:val="3F3F3F"/>
                <w:sz w:val="24"/>
              </w:rPr>
            </w:pPr>
            <w:r w:rsidRPr="00AD7F28">
              <w:rPr>
                <w:rFonts w:ascii="Helvetica" w:eastAsia="Helvetica" w:hAnsi="Helvetica" w:cs="Helvetica"/>
                <w:color w:val="3F3F3F"/>
                <w:sz w:val="24"/>
              </w:rPr>
              <w:t>Health professionals in all of the trial groups significantly reduced their claiming of urgent after-hours items. The trial delivered an estimated $11.7 million in savings to the Australian Government after six months (i.e., $9,750 per letter sent). The peer comparison letter produced the largest reduction of 24 per cent (i.e., a saving of $4.7 million which was $2.1 million more than that reached in the control study).</w:t>
            </w:r>
          </w:p>
        </w:tc>
      </w:tr>
    </w:tbl>
    <w:p w14:paraId="7F3D9433" w14:textId="77777777" w:rsidR="009E4B24" w:rsidRPr="005A2A67" w:rsidRDefault="009E4B24" w:rsidP="005A2A67">
      <w:pPr>
        <w:pStyle w:val="h4"/>
      </w:pPr>
      <w:r w:rsidRPr="005A2A67">
        <w:t>Abstract</w:t>
      </w:r>
    </w:p>
    <w:p w14:paraId="313FF018" w14:textId="77777777" w:rsidR="003B476D" w:rsidRDefault="003B476D" w:rsidP="004E3FC0">
      <w:pPr>
        <w:jc w:val="both"/>
        <w:rPr>
          <w:rFonts w:eastAsia="Helvetica"/>
        </w:rPr>
      </w:pPr>
    </w:p>
    <w:p w14:paraId="5911FDC3" w14:textId="1ECD141C" w:rsidR="003B476D" w:rsidRDefault="003B476D" w:rsidP="003B476D">
      <w:pPr>
        <w:pStyle w:val="h4"/>
      </w:pPr>
      <w:r w:rsidRPr="00573712">
        <w:t>Project by</w:t>
      </w:r>
    </w:p>
    <w:p w14:paraId="224102B9" w14:textId="57B0DDB2" w:rsidR="003B476D" w:rsidRDefault="003B476D" w:rsidP="003B476D"/>
    <w:p w14:paraId="55AB11C3" w14:textId="3735C9E2" w:rsidR="00251049" w:rsidRDefault="003B476D" w:rsidP="003B476D">
      <w:pPr>
        <w:jc w:val="both"/>
        <w:rPr>
          <w:rFonts w:eastAsia="Helvetica"/>
        </w:rPr>
      </w:pPr>
      <w:r w:rsidRPr="00642AEC">
        <w:rPr>
          <w:noProof/>
        </w:rPr>
        <w:drawing>
          <wp:anchor distT="0" distB="0" distL="114300" distR="114300" simplePos="0" relativeHeight="251786752" behindDoc="0" locked="0" layoutInCell="1" allowOverlap="1" wp14:anchorId="331247BA" wp14:editId="20A5C820">
            <wp:simplePos x="0" y="0"/>
            <wp:positionH relativeFrom="column">
              <wp:posOffset>2265960</wp:posOffset>
            </wp:positionH>
            <wp:positionV relativeFrom="paragraph">
              <wp:posOffset>94659</wp:posOffset>
            </wp:positionV>
            <wp:extent cx="1102360" cy="1008380"/>
            <wp:effectExtent l="0" t="0" r="2540" b="1270"/>
            <wp:wrapNone/>
            <wp:docPr id="14" name="Picture 14" descr="Behavioural Economics Research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rt Log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02360" cy="1008380"/>
                    </a:xfrm>
                    <a:prstGeom prst="rect">
                      <a:avLst/>
                    </a:prstGeom>
                    <a:noFill/>
                  </pic:spPr>
                </pic:pic>
              </a:graphicData>
            </a:graphic>
            <wp14:sizeRelH relativeFrom="page">
              <wp14:pctWidth>0</wp14:pctWidth>
            </wp14:sizeRelH>
            <wp14:sizeRelV relativeFrom="page">
              <wp14:pctHeight>0</wp14:pctHeight>
            </wp14:sizeRelV>
          </wp:anchor>
        </w:drawing>
      </w:r>
      <w:r>
        <w:rPr>
          <w:rFonts w:eastAsia="Helvetica"/>
        </w:rPr>
        <w:t xml:space="preserve"> </w:t>
      </w:r>
      <w:r w:rsidR="00251049">
        <w:rPr>
          <w:rFonts w:eastAsia="Helvetica"/>
        </w:rPr>
        <w:br w:type="page"/>
      </w:r>
    </w:p>
    <w:p w14:paraId="5DF5A2E3" w14:textId="7A1D6B52" w:rsidR="00251049" w:rsidRDefault="00251049" w:rsidP="00D33213">
      <w:pPr>
        <w:pStyle w:val="h4"/>
      </w:pPr>
      <w:r>
        <w:lastRenderedPageBreak/>
        <w:t>The policy problem</w:t>
      </w:r>
    </w:p>
    <w:p w14:paraId="101BBF16" w14:textId="61C3AF38" w:rsidR="00CA3324" w:rsidRDefault="00CA3324" w:rsidP="00BE15B4">
      <w:pPr>
        <w:rPr>
          <w:rFonts w:eastAsia="Helvetica"/>
        </w:rPr>
      </w:pPr>
      <w:r>
        <w:rPr>
          <w:rFonts w:eastAsia="Helvetica"/>
        </w:rPr>
        <w:t xml:space="preserve">Under the Medicare Benefits Schedule, the Australian Government subsidises health services for Australians. Health professionals working ‘after-hours’ can claim monetary benefits for services provided outside </w:t>
      </w:r>
      <w:r w:rsidR="006A23A0">
        <w:rPr>
          <w:rFonts w:eastAsia="Helvetica"/>
        </w:rPr>
        <w:t xml:space="preserve">normal </w:t>
      </w:r>
      <w:r>
        <w:rPr>
          <w:rFonts w:eastAsia="Helvetica"/>
        </w:rPr>
        <w:t xml:space="preserve">clinic hours. </w:t>
      </w:r>
      <w:r w:rsidR="00ED0364">
        <w:rPr>
          <w:rFonts w:eastAsia="Helvetica"/>
        </w:rPr>
        <w:t>These d</w:t>
      </w:r>
      <w:r w:rsidR="006A23A0">
        <w:rPr>
          <w:rFonts w:eastAsia="Helvetica"/>
        </w:rPr>
        <w:t>octors can claim either an</w:t>
      </w:r>
      <w:r>
        <w:rPr>
          <w:rFonts w:eastAsia="Helvetica"/>
        </w:rPr>
        <w:t xml:space="preserve"> ‘urgent’ or ‘standard’</w:t>
      </w:r>
      <w:r w:rsidR="006A23A0">
        <w:rPr>
          <w:rFonts w:eastAsia="Helvetica"/>
        </w:rPr>
        <w:t xml:space="preserve"> item for </w:t>
      </w:r>
      <w:r w:rsidR="00ED0364">
        <w:rPr>
          <w:rFonts w:eastAsia="Helvetica"/>
        </w:rPr>
        <w:t>a patient</w:t>
      </w:r>
      <w:r>
        <w:rPr>
          <w:rFonts w:eastAsia="Helvetica"/>
        </w:rPr>
        <w:t xml:space="preserve">, with the ‘urgent’ </w:t>
      </w:r>
      <w:r w:rsidR="006A23A0">
        <w:rPr>
          <w:rFonts w:eastAsia="Helvetica"/>
        </w:rPr>
        <w:t>item</w:t>
      </w:r>
      <w:r>
        <w:rPr>
          <w:rFonts w:eastAsia="Helvetica"/>
        </w:rPr>
        <w:t xml:space="preserve"> attracting higher monetary benefits.</w:t>
      </w:r>
    </w:p>
    <w:p w14:paraId="137E5A74" w14:textId="03F478EF" w:rsidR="00CA3324" w:rsidRDefault="00CA3324" w:rsidP="00BE15B4">
      <w:pPr>
        <w:rPr>
          <w:rFonts w:eastAsia="Helvetica"/>
        </w:rPr>
      </w:pPr>
      <w:r>
        <w:rPr>
          <w:rFonts w:eastAsia="Helvetica"/>
        </w:rPr>
        <w:t>The cost of after-hours services grew by 140</w:t>
      </w:r>
      <w:r w:rsidR="001D6EFD">
        <w:rPr>
          <w:rFonts w:eastAsia="Helvetica"/>
        </w:rPr>
        <w:t> </w:t>
      </w:r>
      <w:r>
        <w:rPr>
          <w:rFonts w:eastAsia="Helvetica"/>
        </w:rPr>
        <w:t>per</w:t>
      </w:r>
      <w:r w:rsidR="001D6EFD">
        <w:rPr>
          <w:rFonts w:eastAsia="Helvetica"/>
        </w:rPr>
        <w:t> </w:t>
      </w:r>
      <w:r>
        <w:rPr>
          <w:rFonts w:eastAsia="Helvetica"/>
        </w:rPr>
        <w:t xml:space="preserve">cent between 2005–06 and 2014–15, with the growth in urgent items exceeding the growth in standard items. </w:t>
      </w:r>
      <w:r w:rsidR="006A23A0">
        <w:rPr>
          <w:rFonts w:eastAsia="Helvetica"/>
        </w:rPr>
        <w:t xml:space="preserve">The significant growth in urgent items may have been due to incorrect claiming of these items by health professionals or those companies that employ them. </w:t>
      </w:r>
      <w:r>
        <w:rPr>
          <w:rFonts w:eastAsia="Helvetica"/>
        </w:rPr>
        <w:t xml:space="preserve">Our trial sought to reduce urgent after-hours claims </w:t>
      </w:r>
      <w:r w:rsidR="006A23A0">
        <w:rPr>
          <w:rFonts w:eastAsia="Helvetica"/>
        </w:rPr>
        <w:t>which may</w:t>
      </w:r>
      <w:r>
        <w:rPr>
          <w:rFonts w:eastAsia="Helvetica"/>
        </w:rPr>
        <w:t xml:space="preserve"> be incorrectly claimed.</w:t>
      </w:r>
    </w:p>
    <w:p w14:paraId="5200C8E5" w14:textId="77777777" w:rsidR="00251049" w:rsidRDefault="00251049" w:rsidP="00D33213">
      <w:pPr>
        <w:pStyle w:val="h4"/>
      </w:pPr>
      <w:r>
        <w:t>Our findings and learnings</w:t>
      </w:r>
    </w:p>
    <w:p w14:paraId="0327E1B8" w14:textId="70959C32" w:rsidR="00251049" w:rsidRDefault="00251049" w:rsidP="00BE15B4">
      <w:pPr>
        <w:rPr>
          <w:rFonts w:eastAsia="Helvetica"/>
        </w:rPr>
      </w:pPr>
      <w:r>
        <w:rPr>
          <w:rFonts w:eastAsia="Helvetica"/>
        </w:rPr>
        <w:t>In April 2016, we targeted the top 1</w:t>
      </w:r>
      <w:r w:rsidR="00E32588">
        <w:rPr>
          <w:rFonts w:eastAsia="Helvetica"/>
        </w:rPr>
        <w:t>,</w:t>
      </w:r>
      <w:r>
        <w:rPr>
          <w:rFonts w:eastAsia="Helvetica"/>
        </w:rPr>
        <w:t>200 health professionals who claimed urgent after-hours items. Our randomised controlled trial aime</w:t>
      </w:r>
      <w:r w:rsidRPr="004B1837">
        <w:rPr>
          <w:rFonts w:eastAsia="Helvetica"/>
        </w:rPr>
        <w:t xml:space="preserve">d to encourage health professionals to </w:t>
      </w:r>
      <w:r w:rsidR="006A23A0" w:rsidRPr="004B1837">
        <w:rPr>
          <w:rFonts w:eastAsia="Helvetica"/>
        </w:rPr>
        <w:t>voluntarily acknowledge incorrect claiming of urgent items</w:t>
      </w:r>
      <w:r w:rsidR="006E151A">
        <w:rPr>
          <w:rFonts w:eastAsia="Helvetica"/>
        </w:rPr>
        <w:t>.</w:t>
      </w:r>
      <w:r w:rsidR="0078069A">
        <w:rPr>
          <w:rFonts w:eastAsia="Helvetica"/>
        </w:rPr>
        <w:t xml:space="preserve"> </w:t>
      </w:r>
      <w:r w:rsidR="0078069A" w:rsidRPr="0078069A">
        <w:rPr>
          <w:rFonts w:eastAsia="Helvetica"/>
        </w:rPr>
        <w:t xml:space="preserve">We trialled two behavioural interventions and provided information to assist providers to review their claiming, including a visual aid (checklist) to help providers understand </w:t>
      </w:r>
      <w:r w:rsidR="0078069A">
        <w:rPr>
          <w:rFonts w:eastAsia="Helvetica"/>
        </w:rPr>
        <w:t>correct claiming of</w:t>
      </w:r>
      <w:r w:rsidR="0078069A" w:rsidRPr="0078069A">
        <w:rPr>
          <w:rFonts w:eastAsia="Helvetica"/>
        </w:rPr>
        <w:t xml:space="preserve"> </w:t>
      </w:r>
      <w:r w:rsidR="0078069A">
        <w:rPr>
          <w:rFonts w:eastAsia="Helvetica"/>
        </w:rPr>
        <w:t xml:space="preserve">urgent </w:t>
      </w:r>
      <w:r w:rsidR="0078069A" w:rsidRPr="00E32588">
        <w:rPr>
          <w:rFonts w:eastAsia="Helvetica"/>
        </w:rPr>
        <w:t>after-hour</w:t>
      </w:r>
      <w:r w:rsidR="007973D7" w:rsidRPr="00E32588">
        <w:rPr>
          <w:rFonts w:eastAsia="Helvetica"/>
        </w:rPr>
        <w:t>s</w:t>
      </w:r>
      <w:r w:rsidR="0078069A">
        <w:rPr>
          <w:rFonts w:eastAsia="Helvetica"/>
        </w:rPr>
        <w:t xml:space="preserve"> items. </w:t>
      </w:r>
    </w:p>
    <w:p w14:paraId="2C0B123B" w14:textId="2352BBEF" w:rsidR="00251049" w:rsidRDefault="0078069A" w:rsidP="00BE15B4">
      <w:pPr>
        <w:rPr>
          <w:rFonts w:eastAsia="Helvetica"/>
        </w:rPr>
      </w:pPr>
      <w:r>
        <w:rPr>
          <w:rFonts w:eastAsia="Helvetica"/>
        </w:rPr>
        <w:t>H</w:t>
      </w:r>
      <w:r w:rsidR="00251049">
        <w:rPr>
          <w:rFonts w:eastAsia="Helvetica"/>
        </w:rPr>
        <w:t>ealth professionals were randomly divided into three groups</w:t>
      </w:r>
      <w:r w:rsidR="00017603">
        <w:rPr>
          <w:rFonts w:eastAsia="Helvetica"/>
        </w:rPr>
        <w:t>, each receiving a different letter</w:t>
      </w:r>
      <w:r w:rsidR="00251049">
        <w:rPr>
          <w:rFonts w:eastAsia="Helvetica"/>
        </w:rPr>
        <w:t>:</w:t>
      </w:r>
    </w:p>
    <w:p w14:paraId="3FC738BA" w14:textId="37F71D1F" w:rsidR="00251049" w:rsidRDefault="00251049" w:rsidP="003A373A">
      <w:pPr>
        <w:numPr>
          <w:ilvl w:val="0"/>
          <w:numId w:val="10"/>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control group</w:t>
      </w:r>
      <w:r>
        <w:rPr>
          <w:rFonts w:ascii="Helvetica" w:eastAsia="Helvetica" w:hAnsi="Helvetica" w:cs="Helvetica"/>
          <w:color w:val="3F3F3F"/>
        </w:rPr>
        <w:t xml:space="preserve"> letter was based on a standard compliance targeted feedback letter.</w:t>
      </w:r>
    </w:p>
    <w:p w14:paraId="1EE70D3A" w14:textId="60597223" w:rsidR="00017603" w:rsidRDefault="00017603" w:rsidP="003A373A">
      <w:pPr>
        <w:numPr>
          <w:ilvl w:val="0"/>
          <w:numId w:val="10"/>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peer comparison group</w:t>
      </w:r>
      <w:r>
        <w:rPr>
          <w:rFonts w:ascii="Helvetica" w:eastAsia="Helvetica" w:hAnsi="Helvetica" w:cs="Helvetica"/>
          <w:color w:val="3F3F3F"/>
        </w:rPr>
        <w:t xml:space="preserve"> letter </w:t>
      </w:r>
      <w:r w:rsidR="0078069A">
        <w:rPr>
          <w:rFonts w:ascii="Helvetica" w:eastAsia="Helvetica" w:hAnsi="Helvetica" w:cs="Helvetica"/>
          <w:color w:val="3F3F3F"/>
        </w:rPr>
        <w:t xml:space="preserve">examined peer comparison by presenting a visually compelling graph of </w:t>
      </w:r>
      <w:r w:rsidR="00ED0364">
        <w:rPr>
          <w:rFonts w:ascii="Helvetica" w:eastAsia="Helvetica" w:hAnsi="Helvetica" w:cs="Helvetica"/>
          <w:color w:val="3F3F3F"/>
        </w:rPr>
        <w:t>an individual’s</w:t>
      </w:r>
      <w:r>
        <w:rPr>
          <w:rFonts w:ascii="Helvetica" w:eastAsia="Helvetica" w:hAnsi="Helvetica" w:cs="Helvetica"/>
          <w:color w:val="3F3F3F"/>
        </w:rPr>
        <w:t xml:space="preserve"> billing compared to their peers. </w:t>
      </w:r>
    </w:p>
    <w:p w14:paraId="20F31D8C" w14:textId="516C35CC" w:rsidR="00017603" w:rsidRDefault="00017603" w:rsidP="003A373A">
      <w:pPr>
        <w:numPr>
          <w:ilvl w:val="0"/>
          <w:numId w:val="10"/>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firm messaging</w:t>
      </w:r>
      <w:r>
        <w:rPr>
          <w:rFonts w:ascii="Helvetica" w:eastAsia="Helvetica" w:hAnsi="Helvetica" w:cs="Helvetica"/>
          <w:color w:val="3F3F3F"/>
        </w:rPr>
        <w:t xml:space="preserve"> </w:t>
      </w:r>
      <w:r>
        <w:rPr>
          <w:rFonts w:ascii="Helvetica" w:eastAsia="Helvetica" w:hAnsi="Helvetica" w:cs="Helvetica"/>
          <w:b/>
          <w:color w:val="3F3F3F"/>
        </w:rPr>
        <w:t>group</w:t>
      </w:r>
      <w:r>
        <w:rPr>
          <w:rFonts w:ascii="Helvetica" w:eastAsia="Helvetica" w:hAnsi="Helvetica" w:cs="Helvetica"/>
          <w:color w:val="3F3F3F"/>
        </w:rPr>
        <w:t xml:space="preserve"> letter examined loss aversion by emphasising the consequences of non-compliance (e.g., </w:t>
      </w:r>
      <w:r w:rsidR="0078069A">
        <w:rPr>
          <w:rFonts w:ascii="Helvetica" w:eastAsia="Helvetica" w:hAnsi="Helvetica" w:cs="Helvetica"/>
          <w:color w:val="3F3F3F"/>
        </w:rPr>
        <w:t>administrative pen</w:t>
      </w:r>
      <w:r w:rsidR="00A11B95">
        <w:rPr>
          <w:rFonts w:ascii="Helvetica" w:eastAsia="Helvetica" w:hAnsi="Helvetica" w:cs="Helvetica"/>
          <w:color w:val="3F3F3F"/>
        </w:rPr>
        <w:t>al</w:t>
      </w:r>
      <w:r w:rsidR="0078069A">
        <w:rPr>
          <w:rFonts w:ascii="Helvetica" w:eastAsia="Helvetica" w:hAnsi="Helvetica" w:cs="Helvetica"/>
          <w:color w:val="3F3F3F"/>
        </w:rPr>
        <w:t>ties and legal action</w:t>
      </w:r>
      <w:r>
        <w:rPr>
          <w:rFonts w:ascii="Helvetica" w:eastAsia="Helvetica" w:hAnsi="Helvetica" w:cs="Helvetica"/>
          <w:color w:val="3F3F3F"/>
        </w:rPr>
        <w:t>).</w:t>
      </w:r>
    </w:p>
    <w:p w14:paraId="169154A0" w14:textId="77777777" w:rsidR="000933C6" w:rsidRDefault="000933C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41F5D300" w14:textId="77777777" w:rsidTr="000F413E">
        <w:trPr>
          <w:trHeight w:val="1"/>
        </w:trPr>
        <w:tc>
          <w:tcPr>
            <w:tcW w:w="5000" w:type="pct"/>
            <w:shd w:val="clear" w:color="auto" w:fill="F2F2F2"/>
            <w:tcMar>
              <w:left w:w="108" w:type="dxa"/>
              <w:right w:w="108" w:type="dxa"/>
            </w:tcMar>
          </w:tcPr>
          <w:p w14:paraId="09BC70A1" w14:textId="0D2F457B" w:rsidR="00251049" w:rsidRDefault="000F413E"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1648" behindDoc="1" locked="0" layoutInCell="1" allowOverlap="1" wp14:anchorId="60CB948C" wp14:editId="5200D8D1">
                  <wp:simplePos x="0" y="0"/>
                  <wp:positionH relativeFrom="margin">
                    <wp:posOffset>-635</wp:posOffset>
                  </wp:positionH>
                  <wp:positionV relativeFrom="paragraph">
                    <wp:posOffset>56591</wp:posOffset>
                  </wp:positionV>
                  <wp:extent cx="370800" cy="370800"/>
                  <wp:effectExtent l="0" t="0" r="0" b="0"/>
                  <wp:wrapTight wrapText="bothSides">
                    <wp:wrapPolygon edited="0">
                      <wp:start x="0" y="0"/>
                      <wp:lineTo x="0" y="20007"/>
                      <wp:lineTo x="20007" y="20007"/>
                      <wp:lineTo x="20007" y="0"/>
                      <wp:lineTo x="0" y="0"/>
                    </wp:wrapPolygon>
                  </wp:wrapTight>
                  <wp:docPr id="50" name="Picture 50"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1B5105E5" w14:textId="4FA9BCDA" w:rsidR="00251049" w:rsidRDefault="0078069A" w:rsidP="00BE15B4">
            <w:pPr>
              <w:rPr>
                <w:rFonts w:eastAsia="Helvetica"/>
              </w:rPr>
            </w:pPr>
            <w:r>
              <w:rPr>
                <w:rFonts w:eastAsia="Helvetica"/>
                <w:b/>
                <w:color w:val="auto"/>
              </w:rPr>
              <w:t>Peer comparison feedback</w:t>
            </w:r>
            <w:r w:rsidR="00251049" w:rsidRPr="000F413E">
              <w:rPr>
                <w:rFonts w:eastAsia="Helvetica"/>
                <w:color w:val="auto"/>
              </w:rPr>
              <w:t xml:space="preserve"> </w:t>
            </w:r>
            <w:r>
              <w:rPr>
                <w:rFonts w:eastAsia="Helvetica"/>
              </w:rPr>
              <w:t>relies on showing individuals how their behaviour compares to their peers</w:t>
            </w:r>
            <w:r w:rsidR="00251049">
              <w:rPr>
                <w:rFonts w:eastAsia="Helvetica"/>
              </w:rPr>
              <w:t>.</w:t>
            </w:r>
            <w:r>
              <w:t xml:space="preserve"> </w:t>
            </w:r>
            <w:r>
              <w:rPr>
                <w:rFonts w:eastAsia="Helvetica"/>
              </w:rPr>
              <w:t>Research suggests individuals given peer comparison feedback will be motivated to change their behaviour to reflect what is normal among their peer group.</w:t>
            </w:r>
            <w:r>
              <w:rPr>
                <w:rStyle w:val="FootnoteReference"/>
              </w:rPr>
              <w:footnoteReference w:id="24"/>
            </w:r>
            <w:r>
              <w:rPr>
                <w:rFonts w:eastAsia="Helvetica"/>
              </w:rPr>
              <w:t xml:space="preserve"> </w:t>
            </w:r>
          </w:p>
          <w:p w14:paraId="1D398025" w14:textId="1A80EF6C" w:rsidR="00ED0364" w:rsidRPr="00ED0364" w:rsidRDefault="00ED0364" w:rsidP="00CA20BC">
            <w:pPr>
              <w:rPr>
                <w:rFonts w:ascii="Times New Roman" w:hAnsi="Times New Roman"/>
                <w:color w:val="auto"/>
                <w:sz w:val="24"/>
                <w:szCs w:val="24"/>
              </w:rPr>
            </w:pPr>
            <w:r>
              <w:rPr>
                <w:rFonts w:eastAsia="Helvetica"/>
                <w:b/>
                <w:color w:val="auto"/>
              </w:rPr>
              <w:t>Loss aversion</w:t>
            </w:r>
            <w:r>
              <w:rPr>
                <w:rFonts w:eastAsia="Helvetica"/>
                <w:color w:val="auto"/>
              </w:rPr>
              <w:t xml:space="preserve"> </w:t>
            </w:r>
            <w:r>
              <w:rPr>
                <w:rFonts w:eastAsia="Helvetica"/>
              </w:rPr>
              <w:t>refers to people’s tendency to try to avoid losses. Research suggests people are more likely to change their behaviour if potential penalties are highlighted rather than potential rewards.</w:t>
            </w:r>
            <w:r>
              <w:rPr>
                <w:rStyle w:val="FootnoteReference"/>
                <w:rFonts w:eastAsia="Helvetica"/>
                <w:color w:val="3F3F3F"/>
              </w:rPr>
              <w:footnoteReference w:id="25"/>
            </w:r>
            <w:r>
              <w:rPr>
                <w:rFonts w:ascii="Times New Roman" w:hAnsi="Times New Roman"/>
                <w:color w:val="auto"/>
                <w:sz w:val="24"/>
                <w:szCs w:val="24"/>
              </w:rPr>
              <w:t xml:space="preserve"> </w:t>
            </w:r>
          </w:p>
        </w:tc>
      </w:tr>
    </w:tbl>
    <w:p w14:paraId="0EAC6C63" w14:textId="63BFA6BC" w:rsidR="00251049" w:rsidRPr="00AC0233" w:rsidRDefault="00251049" w:rsidP="00D25C08">
      <w:pPr>
        <w:rPr>
          <w:rFonts w:eastAsia="Helvetica"/>
        </w:rPr>
      </w:pPr>
    </w:p>
    <w:tbl>
      <w:tblPr>
        <w:tblStyle w:val="TableGrid"/>
        <w:tblW w:w="8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 and Figure 8 - showing effects of the trial on claims and benefits"/>
        <w:tblDescription w:val="Figure 7 is a graph showing the effect of the trial on claims lodged. The control group showed a decrease of 14%, Treatment 1 saw a 21% reduction, and Treatment 2 saw a 24% reduction. &#10;Figure 8 is a graph showing the effect of the trial on benefits claimed. Before $75.7 million in benefits were claimed, which dropped to $61 million after the trial."/>
      </w:tblPr>
      <w:tblGrid>
        <w:gridCol w:w="4111"/>
        <w:gridCol w:w="4397"/>
      </w:tblGrid>
      <w:tr w:rsidR="00D25C08" w14:paraId="00547D8E" w14:textId="77777777" w:rsidTr="00AA221E">
        <w:trPr>
          <w:tblHeader/>
        </w:trPr>
        <w:tc>
          <w:tcPr>
            <w:tcW w:w="4184" w:type="dxa"/>
          </w:tcPr>
          <w:p w14:paraId="285B03E1" w14:textId="1D4A963F" w:rsidR="00D25C08" w:rsidRDefault="00D25C08" w:rsidP="00D25C08">
            <w:pPr>
              <w:pStyle w:val="Caption"/>
              <w:rPr>
                <w:rFonts w:eastAsia="Helvetica"/>
              </w:rPr>
            </w:pPr>
            <w:r>
              <w:lastRenderedPageBreak/>
              <w:t xml:space="preserve">Figure </w:t>
            </w:r>
            <w:r>
              <w:rPr>
                <w:noProof/>
              </w:rPr>
              <w:fldChar w:fldCharType="begin"/>
            </w:r>
            <w:r>
              <w:rPr>
                <w:noProof/>
              </w:rPr>
              <w:instrText xml:space="preserve"> SEQ Figure \* ARABIC </w:instrText>
            </w:r>
            <w:r>
              <w:rPr>
                <w:noProof/>
              </w:rPr>
              <w:fldChar w:fldCharType="separate"/>
            </w:r>
            <w:r w:rsidR="00B01953">
              <w:rPr>
                <w:noProof/>
              </w:rPr>
              <w:t>7</w:t>
            </w:r>
            <w:r>
              <w:rPr>
                <w:noProof/>
              </w:rPr>
              <w:fldChar w:fldCharType="end"/>
            </w:r>
            <w:r>
              <w:t xml:space="preserve">: </w:t>
            </w:r>
            <w:r>
              <w:rPr>
                <w:rFonts w:ascii="Helvetica" w:eastAsia="Helvetica" w:hAnsi="Helvetica" w:cs="Helvetica"/>
                <w:color w:val="117479"/>
              </w:rPr>
              <w:t xml:space="preserve">Effect on </w:t>
            </w:r>
            <w:r w:rsidRPr="00AC0233">
              <w:rPr>
                <w:rFonts w:ascii="Helvetica" w:eastAsia="Helvetica" w:hAnsi="Helvetica" w:cs="Helvetica"/>
                <w:color w:val="117479"/>
              </w:rPr>
              <w:t xml:space="preserve">claims </w:t>
            </w:r>
            <w:r>
              <w:rPr>
                <w:rFonts w:ascii="Helvetica" w:eastAsia="Helvetica" w:hAnsi="Helvetica" w:cs="Helvetica"/>
                <w:color w:val="117479"/>
              </w:rPr>
              <w:t>lodged</w:t>
            </w:r>
            <w:r w:rsidRPr="00AC0233">
              <w:rPr>
                <w:rFonts w:ascii="Helvetica" w:eastAsia="Helvetica" w:hAnsi="Helvetica" w:cs="Helvetica"/>
                <w:color w:val="117479"/>
              </w:rPr>
              <w:t xml:space="preserve"> </w:t>
            </w:r>
            <w:r>
              <w:rPr>
                <w:rFonts w:ascii="Helvetica" w:eastAsia="Helvetica" w:hAnsi="Helvetica" w:cs="Helvetica"/>
                <w:color w:val="117479"/>
              </w:rPr>
              <w:t xml:space="preserve"> </w:t>
            </w:r>
          </w:p>
        </w:tc>
        <w:tc>
          <w:tcPr>
            <w:tcW w:w="4319" w:type="dxa"/>
          </w:tcPr>
          <w:p w14:paraId="46B09BC4" w14:textId="4E9149BD" w:rsidR="00D25C08" w:rsidRPr="00D25C08" w:rsidRDefault="00DF0EA7" w:rsidP="00DF0EA7">
            <w:pPr>
              <w:pStyle w:val="Caption"/>
              <w:rPr>
                <w:rFonts w:ascii="Helvetica" w:eastAsia="Helvetica" w:hAnsi="Helvetica" w:cs="Helvetica"/>
                <w:color w:val="117479"/>
                <w:szCs w:val="20"/>
                <w:highlight w:val="yellow"/>
              </w:rPr>
            </w:pPr>
            <w:r>
              <w:t xml:space="preserve">Figure </w:t>
            </w:r>
            <w:r w:rsidR="003A3A38">
              <w:rPr>
                <w:noProof/>
              </w:rPr>
              <w:fldChar w:fldCharType="begin"/>
            </w:r>
            <w:r w:rsidR="003A3A38">
              <w:rPr>
                <w:noProof/>
              </w:rPr>
              <w:instrText xml:space="preserve"> SEQ Figure \* ARABIC </w:instrText>
            </w:r>
            <w:r w:rsidR="003A3A38">
              <w:rPr>
                <w:noProof/>
              </w:rPr>
              <w:fldChar w:fldCharType="separate"/>
            </w:r>
            <w:r w:rsidR="00B01953">
              <w:rPr>
                <w:noProof/>
              </w:rPr>
              <w:t>8</w:t>
            </w:r>
            <w:r w:rsidR="003A3A38">
              <w:rPr>
                <w:noProof/>
              </w:rPr>
              <w:fldChar w:fldCharType="end"/>
            </w:r>
            <w:r>
              <w:t xml:space="preserve">: </w:t>
            </w:r>
            <w:r w:rsidRPr="00D25C08">
              <w:rPr>
                <w:rFonts w:ascii="Helvetica" w:eastAsia="Helvetica" w:hAnsi="Helvetica" w:cs="Helvetica"/>
                <w:color w:val="117479"/>
              </w:rPr>
              <w:t xml:space="preserve"> </w:t>
            </w:r>
            <w:r w:rsidR="00D25C08" w:rsidRPr="00D25C08">
              <w:rPr>
                <w:rFonts w:ascii="Helvetica" w:eastAsia="Helvetica" w:hAnsi="Helvetica" w:cs="Helvetica"/>
                <w:color w:val="117479"/>
              </w:rPr>
              <w:t>Effect on benefits claimed</w:t>
            </w:r>
          </w:p>
        </w:tc>
      </w:tr>
      <w:tr w:rsidR="00D25C08" w14:paraId="3971ADD1" w14:textId="77777777" w:rsidTr="00DF0EA7">
        <w:tc>
          <w:tcPr>
            <w:tcW w:w="4184" w:type="dxa"/>
          </w:tcPr>
          <w:p w14:paraId="446171C6" w14:textId="033FB2C8" w:rsidR="00D25C08" w:rsidRDefault="008D7DCF" w:rsidP="00BE15B4">
            <w:pPr>
              <w:rPr>
                <w:rFonts w:eastAsia="Helvetica"/>
              </w:rPr>
            </w:pPr>
            <w:r>
              <w:rPr>
                <w:rFonts w:eastAsia="Helvetica"/>
                <w:noProof/>
              </w:rPr>
              <w:drawing>
                <wp:inline distT="0" distB="0" distL="0" distR="0" wp14:anchorId="3DBA51C9" wp14:editId="035D0391">
                  <wp:extent cx="2501900" cy="2755900"/>
                  <wp:effectExtent l="0" t="0" r="0" b="0"/>
                  <wp:docPr id="122" name="Picture 122"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ig7.png"/>
                          <pic:cNvPicPr/>
                        </pic:nvPicPr>
                        <pic:blipFill>
                          <a:blip r:embed="rId48">
                            <a:extLst>
                              <a:ext uri="{28A0092B-C50C-407E-A947-70E740481C1C}">
                                <a14:useLocalDpi xmlns:a14="http://schemas.microsoft.com/office/drawing/2010/main" val="0"/>
                              </a:ext>
                            </a:extLst>
                          </a:blip>
                          <a:stretch>
                            <a:fillRect/>
                          </a:stretch>
                        </pic:blipFill>
                        <pic:spPr>
                          <a:xfrm>
                            <a:off x="0" y="0"/>
                            <a:ext cx="2501900" cy="2755900"/>
                          </a:xfrm>
                          <a:prstGeom prst="rect">
                            <a:avLst/>
                          </a:prstGeom>
                        </pic:spPr>
                      </pic:pic>
                    </a:graphicData>
                  </a:graphic>
                </wp:inline>
              </w:drawing>
            </w:r>
          </w:p>
        </w:tc>
        <w:tc>
          <w:tcPr>
            <w:tcW w:w="4319" w:type="dxa"/>
          </w:tcPr>
          <w:p w14:paraId="695693D1" w14:textId="006CAEC3" w:rsidR="00D25C08" w:rsidRDefault="008D7DCF" w:rsidP="00DF0EA7">
            <w:pPr>
              <w:keepNext/>
              <w:rPr>
                <w:rFonts w:eastAsia="Helvetica"/>
              </w:rPr>
            </w:pPr>
            <w:r>
              <w:rPr>
                <w:rFonts w:eastAsia="Helvetica"/>
                <w:noProof/>
              </w:rPr>
              <w:drawing>
                <wp:inline distT="0" distB="0" distL="0" distR="0" wp14:anchorId="64792EE7" wp14:editId="2B9D27F6">
                  <wp:extent cx="2679700" cy="2755900"/>
                  <wp:effectExtent l="0" t="0" r="6350" b="6350"/>
                  <wp:docPr id="123" name="Picture 123" descr="Figure 8 is a graph showing the effect of the trial on benefits claimed. Before $75.7 million in benefits were claimed, which dropped to $61 million after the trial." title="Figure 8 - Effects on benefits clai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Fig8.png"/>
                          <pic:cNvPicPr/>
                        </pic:nvPicPr>
                        <pic:blipFill>
                          <a:blip r:embed="rId49">
                            <a:extLst>
                              <a:ext uri="{28A0092B-C50C-407E-A947-70E740481C1C}">
                                <a14:useLocalDpi xmlns:a14="http://schemas.microsoft.com/office/drawing/2010/main" val="0"/>
                              </a:ext>
                            </a:extLst>
                          </a:blip>
                          <a:stretch>
                            <a:fillRect/>
                          </a:stretch>
                        </pic:blipFill>
                        <pic:spPr>
                          <a:xfrm>
                            <a:off x="0" y="0"/>
                            <a:ext cx="2679700" cy="2755900"/>
                          </a:xfrm>
                          <a:prstGeom prst="rect">
                            <a:avLst/>
                          </a:prstGeom>
                        </pic:spPr>
                      </pic:pic>
                    </a:graphicData>
                  </a:graphic>
                </wp:inline>
              </w:drawing>
            </w:r>
          </w:p>
        </w:tc>
      </w:tr>
    </w:tbl>
    <w:p w14:paraId="0586E966" w14:textId="5CADB678" w:rsidR="00017603" w:rsidRDefault="00017603" w:rsidP="00BE15B4">
      <w:pPr>
        <w:rPr>
          <w:rFonts w:eastAsia="Helvetica"/>
        </w:rPr>
      </w:pPr>
      <w:r>
        <w:rPr>
          <w:rFonts w:eastAsia="Helvetica"/>
        </w:rPr>
        <w:t xml:space="preserve">Six months after the first letter was sent, all of the health professionals in the trial significantly reduced their urgent item claims </w:t>
      </w:r>
      <w:r w:rsidR="00F61913">
        <w:rPr>
          <w:rFonts w:eastAsia="Helvetica"/>
        </w:rPr>
        <w:t>by an average of 19.5</w:t>
      </w:r>
      <w:r w:rsidR="001D6EFD">
        <w:rPr>
          <w:rFonts w:eastAsia="Helvetica"/>
        </w:rPr>
        <w:t> </w:t>
      </w:r>
      <w:r w:rsidR="00F61913">
        <w:rPr>
          <w:rFonts w:eastAsia="Helvetica"/>
        </w:rPr>
        <w:t>per</w:t>
      </w:r>
      <w:r w:rsidR="001D6EFD">
        <w:rPr>
          <w:rFonts w:eastAsia="Helvetica"/>
        </w:rPr>
        <w:t> </w:t>
      </w:r>
      <w:r w:rsidR="00F61913">
        <w:rPr>
          <w:rFonts w:eastAsia="Helvetica"/>
        </w:rPr>
        <w:t>cent. This reduction equated to an estimated $11.7</w:t>
      </w:r>
      <w:r w:rsidR="001D6EFD">
        <w:rPr>
          <w:rFonts w:eastAsia="Helvetica"/>
        </w:rPr>
        <w:t> </w:t>
      </w:r>
      <w:r w:rsidR="00F61913">
        <w:rPr>
          <w:rFonts w:eastAsia="Helvetica"/>
        </w:rPr>
        <w:t>million in savings, a</w:t>
      </w:r>
      <w:r>
        <w:rPr>
          <w:rFonts w:eastAsia="Helvetica"/>
        </w:rPr>
        <w:t>fter taking into account the shift in claims to sta</w:t>
      </w:r>
      <w:r w:rsidR="0078069A">
        <w:rPr>
          <w:rFonts w:eastAsia="Helvetica"/>
        </w:rPr>
        <w:t>ndard items. In relation to results after six months</w:t>
      </w:r>
      <w:r>
        <w:rPr>
          <w:rFonts w:eastAsia="Helvetica"/>
        </w:rPr>
        <w:t>:</w:t>
      </w:r>
    </w:p>
    <w:p w14:paraId="23B4AB33" w14:textId="664F2FD6" w:rsidR="00017603" w:rsidRDefault="00017603" w:rsidP="003A373A">
      <w:pPr>
        <w:numPr>
          <w:ilvl w:val="0"/>
          <w:numId w:val="1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control group</w:t>
      </w:r>
      <w:r>
        <w:rPr>
          <w:rFonts w:ascii="Helvetica" w:eastAsia="Helvetica" w:hAnsi="Helvetica" w:cs="Helvetica"/>
          <w:color w:val="3F3F3F"/>
        </w:rPr>
        <w:t xml:space="preserve"> reduced their urgent item claims by 14</w:t>
      </w:r>
      <w:r w:rsidR="001D6EFD">
        <w:rPr>
          <w:rFonts w:ascii="Helvetica" w:eastAsia="Helvetica" w:hAnsi="Helvetica" w:cs="Helvetica"/>
          <w:color w:val="3F3F3F"/>
        </w:rPr>
        <w:t> </w:t>
      </w:r>
      <w:r>
        <w:rPr>
          <w:rFonts w:ascii="Helvetica" w:eastAsia="Helvetica" w:hAnsi="Helvetica" w:cs="Helvetica"/>
          <w:color w:val="3F3F3F"/>
        </w:rPr>
        <w:t>per</w:t>
      </w:r>
      <w:r w:rsidR="001D6EFD">
        <w:rPr>
          <w:rFonts w:ascii="Helvetica" w:eastAsia="Helvetica" w:hAnsi="Helvetica" w:cs="Helvetica"/>
          <w:color w:val="3F3F3F"/>
        </w:rPr>
        <w:t> </w:t>
      </w:r>
      <w:r>
        <w:rPr>
          <w:rFonts w:ascii="Helvetica" w:eastAsia="Helvetica" w:hAnsi="Helvetica" w:cs="Helvetica"/>
          <w:color w:val="3F3F3F"/>
        </w:rPr>
        <w:t>cent (i.e., $2.6</w:t>
      </w:r>
      <w:r w:rsidR="001D6EFD">
        <w:rPr>
          <w:rFonts w:ascii="Helvetica" w:eastAsia="Helvetica" w:hAnsi="Helvetica" w:cs="Helvetica"/>
          <w:color w:val="3F3F3F"/>
        </w:rPr>
        <w:t> </w:t>
      </w:r>
      <w:r>
        <w:rPr>
          <w:rFonts w:ascii="Helvetica" w:eastAsia="Helvetica" w:hAnsi="Helvetica" w:cs="Helvetica"/>
          <w:color w:val="3F3F3F"/>
        </w:rPr>
        <w:t>million).</w:t>
      </w:r>
    </w:p>
    <w:p w14:paraId="65187F65" w14:textId="1F6CDA29" w:rsidR="00017603" w:rsidRDefault="00017603" w:rsidP="003A373A">
      <w:pPr>
        <w:numPr>
          <w:ilvl w:val="0"/>
          <w:numId w:val="1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peer comparison group</w:t>
      </w:r>
      <w:r>
        <w:rPr>
          <w:rFonts w:ascii="Helvetica" w:eastAsia="Helvetica" w:hAnsi="Helvetica" w:cs="Helvetica"/>
          <w:color w:val="3F3F3F"/>
        </w:rPr>
        <w:t xml:space="preserve"> reduced their claiming of benefits by 24</w:t>
      </w:r>
      <w:r w:rsidR="001D6EFD">
        <w:rPr>
          <w:rFonts w:ascii="Helvetica" w:eastAsia="Helvetica" w:hAnsi="Helvetica" w:cs="Helvetica"/>
          <w:color w:val="3F3F3F"/>
        </w:rPr>
        <w:t> </w:t>
      </w:r>
      <w:r>
        <w:rPr>
          <w:rFonts w:ascii="Helvetica" w:eastAsia="Helvetica" w:hAnsi="Helvetica" w:cs="Helvetica"/>
          <w:color w:val="3F3F3F"/>
        </w:rPr>
        <w:t>per</w:t>
      </w:r>
      <w:r w:rsidR="001D6EFD">
        <w:rPr>
          <w:rFonts w:ascii="Helvetica" w:eastAsia="Helvetica" w:hAnsi="Helvetica" w:cs="Helvetica"/>
          <w:color w:val="3F3F3F"/>
        </w:rPr>
        <w:t> </w:t>
      </w:r>
      <w:r>
        <w:rPr>
          <w:rFonts w:ascii="Helvetica" w:eastAsia="Helvetica" w:hAnsi="Helvetica" w:cs="Helvetica"/>
          <w:color w:val="3F3F3F"/>
        </w:rPr>
        <w:t>cent (i.e., $4.7</w:t>
      </w:r>
      <w:r w:rsidR="001D6EFD">
        <w:rPr>
          <w:rFonts w:ascii="Helvetica" w:eastAsia="Helvetica" w:hAnsi="Helvetica" w:cs="Helvetica"/>
          <w:color w:val="3F3F3F"/>
        </w:rPr>
        <w:t> </w:t>
      </w:r>
      <w:r>
        <w:rPr>
          <w:rFonts w:ascii="Helvetica" w:eastAsia="Helvetica" w:hAnsi="Helvetica" w:cs="Helvetica"/>
          <w:color w:val="3F3F3F"/>
        </w:rPr>
        <w:t>million; a saving of $2.1</w:t>
      </w:r>
      <w:r w:rsidR="001D6EFD">
        <w:rPr>
          <w:rFonts w:ascii="Helvetica" w:eastAsia="Helvetica" w:hAnsi="Helvetica" w:cs="Helvetica"/>
          <w:color w:val="3F3F3F"/>
        </w:rPr>
        <w:t> </w:t>
      </w:r>
      <w:r>
        <w:rPr>
          <w:rFonts w:ascii="Helvetica" w:eastAsia="Helvetica" w:hAnsi="Helvetica" w:cs="Helvetica"/>
          <w:color w:val="3F3F3F"/>
        </w:rPr>
        <w:t>million more than that achieved by the control group).</w:t>
      </w:r>
    </w:p>
    <w:p w14:paraId="77DC248C" w14:textId="4E0E087D" w:rsidR="00017603" w:rsidRDefault="00017603" w:rsidP="003A373A">
      <w:pPr>
        <w:numPr>
          <w:ilvl w:val="0"/>
          <w:numId w:val="1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The </w:t>
      </w:r>
      <w:r>
        <w:rPr>
          <w:rFonts w:ascii="Helvetica" w:eastAsia="Helvetica" w:hAnsi="Helvetica" w:cs="Helvetica"/>
          <w:b/>
          <w:color w:val="3F3F3F"/>
        </w:rPr>
        <w:t>firm messaging group</w:t>
      </w:r>
      <w:r>
        <w:rPr>
          <w:rFonts w:ascii="Helvetica" w:eastAsia="Helvetica" w:hAnsi="Helvetica" w:cs="Helvetica"/>
          <w:color w:val="3F3F3F"/>
        </w:rPr>
        <w:t xml:space="preserve"> reduced their claiming of benefits by 21</w:t>
      </w:r>
      <w:r w:rsidR="001D6EFD">
        <w:rPr>
          <w:rFonts w:ascii="Helvetica" w:eastAsia="Helvetica" w:hAnsi="Helvetica" w:cs="Helvetica"/>
          <w:color w:val="3F3F3F"/>
        </w:rPr>
        <w:t> </w:t>
      </w:r>
      <w:r>
        <w:rPr>
          <w:rFonts w:ascii="Helvetica" w:eastAsia="Helvetica" w:hAnsi="Helvetica" w:cs="Helvetica"/>
          <w:color w:val="3F3F3F"/>
        </w:rPr>
        <w:t>per</w:t>
      </w:r>
      <w:r w:rsidR="001D6EFD">
        <w:rPr>
          <w:rFonts w:ascii="Helvetica" w:eastAsia="Helvetica" w:hAnsi="Helvetica" w:cs="Helvetica"/>
          <w:color w:val="3F3F3F"/>
        </w:rPr>
        <w:t> </w:t>
      </w:r>
      <w:r>
        <w:rPr>
          <w:rFonts w:ascii="Helvetica" w:eastAsia="Helvetica" w:hAnsi="Helvetica" w:cs="Helvetica"/>
          <w:color w:val="3F3F3F"/>
        </w:rPr>
        <w:t>cent (i.e., $4.3</w:t>
      </w:r>
      <w:r w:rsidR="001D6EFD">
        <w:rPr>
          <w:rFonts w:ascii="Helvetica" w:eastAsia="Helvetica" w:hAnsi="Helvetica" w:cs="Helvetica"/>
          <w:color w:val="3F3F3F"/>
        </w:rPr>
        <w:t> </w:t>
      </w:r>
      <w:r>
        <w:rPr>
          <w:rFonts w:ascii="Helvetica" w:eastAsia="Helvetica" w:hAnsi="Helvetica" w:cs="Helvetica"/>
          <w:color w:val="3F3F3F"/>
        </w:rPr>
        <w:t>million; a saving of $1.7</w:t>
      </w:r>
      <w:r w:rsidR="001D6EFD">
        <w:rPr>
          <w:rFonts w:ascii="Helvetica" w:eastAsia="Helvetica" w:hAnsi="Helvetica" w:cs="Helvetica"/>
          <w:color w:val="3F3F3F"/>
        </w:rPr>
        <w:t> </w:t>
      </w:r>
      <w:r>
        <w:rPr>
          <w:rFonts w:ascii="Helvetica" w:eastAsia="Helvetica" w:hAnsi="Helvetica" w:cs="Helvetica"/>
          <w:color w:val="3F3F3F"/>
        </w:rPr>
        <w:t>million more than that achieved by the control group).</w:t>
      </w:r>
    </w:p>
    <w:p w14:paraId="53730D6A" w14:textId="2AEC2D9B" w:rsidR="00017603" w:rsidRDefault="00017603" w:rsidP="00BE15B4">
      <w:pPr>
        <w:rPr>
          <w:rFonts w:eastAsia="Helvetica"/>
        </w:rPr>
      </w:pPr>
      <w:r>
        <w:rPr>
          <w:rFonts w:eastAsia="Helvetica"/>
        </w:rPr>
        <w:t>Additionally, during the trial, 18 health professionals voluntarily acknowledged a total of $1.</w:t>
      </w:r>
      <w:r w:rsidR="001648A4">
        <w:rPr>
          <w:rFonts w:eastAsia="Helvetica"/>
        </w:rPr>
        <w:t>1</w:t>
      </w:r>
      <w:r w:rsidR="001D6EFD">
        <w:rPr>
          <w:rFonts w:eastAsia="Helvetica"/>
        </w:rPr>
        <w:t> </w:t>
      </w:r>
      <w:r>
        <w:rPr>
          <w:rFonts w:eastAsia="Helvetica"/>
        </w:rPr>
        <w:t>million in incorrect claims.</w:t>
      </w:r>
    </w:p>
    <w:p w14:paraId="7FD66D67" w14:textId="7B8505DB" w:rsidR="00017603" w:rsidRDefault="00017603" w:rsidP="00BE15B4">
      <w:pPr>
        <w:rPr>
          <w:rFonts w:eastAsia="Helvetica"/>
        </w:rPr>
      </w:pPr>
      <w:r>
        <w:rPr>
          <w:rFonts w:eastAsia="Helvetica"/>
        </w:rPr>
        <w:t xml:space="preserve">We suspect the </w:t>
      </w:r>
      <w:r w:rsidR="00F61913">
        <w:rPr>
          <w:rFonts w:eastAsia="Helvetica"/>
        </w:rPr>
        <w:t xml:space="preserve">unexpectedly </w:t>
      </w:r>
      <w:r>
        <w:rPr>
          <w:rFonts w:eastAsia="Helvetica"/>
        </w:rPr>
        <w:t xml:space="preserve">large reduction in the control group was the result of ‘spill-over’. </w:t>
      </w:r>
      <w:r w:rsidR="004F3B80">
        <w:rPr>
          <w:rFonts w:eastAsia="Helvetica"/>
        </w:rPr>
        <w:br/>
      </w:r>
      <w:r>
        <w:rPr>
          <w:rFonts w:eastAsia="Helvetica"/>
        </w:rPr>
        <w:t xml:space="preserve">A number of companies employ after-hours health professionals. During the trial, </w:t>
      </w:r>
      <w:r w:rsidR="00F61913">
        <w:rPr>
          <w:rFonts w:eastAsia="Helvetica"/>
        </w:rPr>
        <w:t>t</w:t>
      </w:r>
      <w:r>
        <w:rPr>
          <w:rFonts w:eastAsia="Helvetica"/>
        </w:rPr>
        <w:t>hese companies communicated with health professionals about the letters sent out during the trial</w:t>
      </w:r>
      <w:r w:rsidR="0078069A">
        <w:rPr>
          <w:rFonts w:eastAsia="Helvetica"/>
        </w:rPr>
        <w:t>, and health professionals also communicated with each other about the letters</w:t>
      </w:r>
      <w:r>
        <w:rPr>
          <w:rFonts w:eastAsia="Helvetica"/>
        </w:rPr>
        <w:t xml:space="preserve">. Consequently, </w:t>
      </w:r>
      <w:r w:rsidR="004F3B80">
        <w:rPr>
          <w:rFonts w:eastAsia="Helvetica"/>
        </w:rPr>
        <w:br/>
      </w:r>
      <w:r>
        <w:rPr>
          <w:rFonts w:eastAsia="Helvetica"/>
        </w:rPr>
        <w:t xml:space="preserve">it is likely the letters received by the </w:t>
      </w:r>
      <w:r>
        <w:rPr>
          <w:rFonts w:eastAsia="Helvetica"/>
          <w:i/>
        </w:rPr>
        <w:t>peer comparison</w:t>
      </w:r>
      <w:r>
        <w:rPr>
          <w:rFonts w:eastAsia="Helvetica"/>
        </w:rPr>
        <w:t xml:space="preserve"> and </w:t>
      </w:r>
      <w:r>
        <w:rPr>
          <w:rFonts w:eastAsia="Helvetica"/>
          <w:i/>
        </w:rPr>
        <w:t>firm messaging</w:t>
      </w:r>
      <w:r>
        <w:rPr>
          <w:rFonts w:eastAsia="Helvetica"/>
        </w:rPr>
        <w:t xml:space="preserve"> groups also affected the behaviours of participants in the control group.</w:t>
      </w:r>
    </w:p>
    <w:p w14:paraId="148BFC34" w14:textId="77777777" w:rsidR="00251049" w:rsidRDefault="00251049" w:rsidP="00D33213">
      <w:pPr>
        <w:pStyle w:val="h4"/>
      </w:pPr>
      <w:r>
        <w:t>Future opportunities</w:t>
      </w:r>
    </w:p>
    <w:p w14:paraId="6DC4A157" w14:textId="7739DAAB" w:rsidR="00F61913" w:rsidRDefault="00F61913" w:rsidP="00BE15B4">
      <w:pPr>
        <w:rPr>
          <w:rFonts w:eastAsia="Helvetica"/>
        </w:rPr>
      </w:pPr>
      <w:r>
        <w:rPr>
          <w:rFonts w:eastAsia="Helvetica"/>
        </w:rPr>
        <w:t>The results suggest behavioural insights can be successfully applied to health compliance issues. The degree of behavioural change depends on the particular issue and the health practitioner cohort.</w:t>
      </w:r>
    </w:p>
    <w:p w14:paraId="2B6E6D09" w14:textId="00BF3FBA" w:rsidR="00F61913" w:rsidRDefault="00F61913" w:rsidP="00BE15B4">
      <w:pPr>
        <w:rPr>
          <w:rFonts w:eastAsia="Helvetica"/>
        </w:rPr>
      </w:pPr>
      <w:r>
        <w:rPr>
          <w:rFonts w:eastAsia="Helvetica"/>
        </w:rPr>
        <w:t xml:space="preserve">The most successful letter comprised peer comparison feedback. The effects of this type of feedback should be explored further in the future. Peer comparison feedback was also used successfully in our antibiotic prescription trial (see </w:t>
      </w:r>
      <w:r w:rsidR="001648A4">
        <w:rPr>
          <w:rFonts w:eastAsia="Helvetica"/>
        </w:rPr>
        <w:t xml:space="preserve">page </w:t>
      </w:r>
      <w:r w:rsidR="001648A4">
        <w:rPr>
          <w:rFonts w:eastAsia="Helvetica"/>
        </w:rPr>
        <w:fldChar w:fldCharType="begin"/>
      </w:r>
      <w:r w:rsidR="001648A4">
        <w:rPr>
          <w:rFonts w:eastAsia="Helvetica"/>
        </w:rPr>
        <w:instrText xml:space="preserve"> PAGEREF _Ref515183726 \h </w:instrText>
      </w:r>
      <w:r w:rsidR="001648A4">
        <w:rPr>
          <w:rFonts w:eastAsia="Helvetica"/>
        </w:rPr>
      </w:r>
      <w:r w:rsidR="001648A4">
        <w:rPr>
          <w:rFonts w:eastAsia="Helvetica"/>
        </w:rPr>
        <w:fldChar w:fldCharType="separate"/>
      </w:r>
      <w:r w:rsidR="00B01953">
        <w:rPr>
          <w:rFonts w:eastAsia="Helvetica"/>
          <w:noProof/>
        </w:rPr>
        <w:t>2</w:t>
      </w:r>
      <w:r w:rsidR="001648A4">
        <w:rPr>
          <w:rFonts w:eastAsia="Helvetica"/>
        </w:rPr>
        <w:fldChar w:fldCharType="end"/>
      </w:r>
      <w:r>
        <w:rPr>
          <w:rFonts w:eastAsia="Helvetica"/>
        </w:rPr>
        <w:t>) and has been used in other international trials involving health professionals.</w:t>
      </w:r>
    </w:p>
    <w:p w14:paraId="2BCE6640" w14:textId="77777777" w:rsidR="000F413E" w:rsidRPr="00B52690" w:rsidRDefault="000F413E" w:rsidP="004E3FC0">
      <w:pPr>
        <w:spacing w:before="0" w:after="0" w:line="240" w:lineRule="auto"/>
        <w:jc w:val="both"/>
        <w:rPr>
          <w:rFonts w:eastAsia="Helvetica"/>
          <w:sz w:val="4"/>
          <w:szCs w:val="4"/>
        </w:rPr>
        <w:sectPr w:rsidR="000F413E" w:rsidRPr="00B52690" w:rsidSect="00873964">
          <w:headerReference w:type="even" r:id="rId50"/>
          <w:headerReference w:type="default" r:id="rId51"/>
          <w:footerReference w:type="default" r:id="rId52"/>
          <w:headerReference w:type="first" r:id="rId53"/>
          <w:footerReference w:type="first" r:id="rId54"/>
          <w:pgSz w:w="11906" w:h="16838" w:code="9"/>
          <w:pgMar w:top="1474" w:right="1985" w:bottom="1247" w:left="1418" w:header="680" w:footer="680" w:gutter="0"/>
          <w:pgNumType w:start="1"/>
          <w:cols w:space="708"/>
          <w:titlePg/>
          <w:docGrid w:linePitch="360"/>
        </w:sectPr>
      </w:pPr>
    </w:p>
    <w:p w14:paraId="503A8EC8" w14:textId="0E3F9E55" w:rsidR="00CE3925" w:rsidRPr="00394950" w:rsidRDefault="00CE3925" w:rsidP="004E3FC0">
      <w:pPr>
        <w:ind w:left="567"/>
        <w:jc w:val="both"/>
      </w:pPr>
      <w:r w:rsidRPr="00394950">
        <w:rPr>
          <w:noProof/>
        </w:rPr>
        <w:lastRenderedPageBreak/>
        <w:drawing>
          <wp:inline distT="0" distB="0" distL="0" distR="0" wp14:anchorId="029D9FCD" wp14:editId="7E112881">
            <wp:extent cx="1259280" cy="1259280"/>
            <wp:effectExtent l="0" t="0" r="0" b="0"/>
            <wp:docPr id="55" name="Picture 55" descr="Protection"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59280" cy="1259280"/>
                    </a:xfrm>
                    <a:prstGeom prst="rect">
                      <a:avLst/>
                    </a:prstGeom>
                  </pic:spPr>
                </pic:pic>
              </a:graphicData>
            </a:graphic>
          </wp:inline>
        </w:drawing>
      </w:r>
    </w:p>
    <w:p w14:paraId="71847C33" w14:textId="63AA97F5" w:rsidR="00CE3925" w:rsidRDefault="00CE3925" w:rsidP="000C7425">
      <w:pPr>
        <w:pStyle w:val="Heading2"/>
      </w:pPr>
      <w:bookmarkStart w:id="28" w:name="_Toc515874433"/>
      <w:bookmarkStart w:id="29" w:name="_Toc515874504"/>
      <w:bookmarkStart w:id="30" w:name="_Toc515874674"/>
      <w:bookmarkStart w:id="31" w:name="_Toc516827445"/>
      <w:r>
        <w:t>Protecting Australians</w:t>
      </w:r>
      <w:r>
        <w:br/>
        <w:t>from domestic violence</w:t>
      </w:r>
      <w:bookmarkEnd w:id="28"/>
      <w:bookmarkEnd w:id="29"/>
      <w:bookmarkEnd w:id="30"/>
      <w:bookmarkEnd w:id="31"/>
    </w:p>
    <w:p w14:paraId="36D5922B" w14:textId="2FF752EF" w:rsidR="00251049" w:rsidRDefault="00251049" w:rsidP="004E3FC0">
      <w:pPr>
        <w:jc w:val="both"/>
        <w:rPr>
          <w:rFonts w:eastAsia="Helvetica"/>
        </w:rPr>
      </w:pPr>
      <w:r>
        <w:rPr>
          <w:rFonts w:eastAsia="Helvetica"/>
        </w:rPr>
        <w:br w:type="page"/>
      </w:r>
    </w:p>
    <w:p w14:paraId="0ADD64AA" w14:textId="77777777" w:rsidR="005A2A67" w:rsidRPr="001A05C3" w:rsidRDefault="005A2A67" w:rsidP="005A2A67">
      <w:pPr>
        <w:pStyle w:val="Heading3"/>
        <w:framePr w:wrap="around" w:x="1377" w:y="1490"/>
        <w:tabs>
          <w:tab w:val="left" w:pos="8222"/>
        </w:tabs>
        <w:spacing w:after="240"/>
        <w:ind w:right="-13"/>
        <w:rPr>
          <w:bCs/>
        </w:rPr>
      </w:pPr>
      <w:bookmarkStart w:id="32" w:name="_Toc516827446"/>
      <w:r w:rsidRPr="001A05C3">
        <w:rPr>
          <w:bCs/>
        </w:rPr>
        <w:lastRenderedPageBreak/>
        <w:t>Improving domestic violence court attendance</w:t>
      </w:r>
      <w:bookmarkEnd w:id="32"/>
    </w:p>
    <w:p w14:paraId="3E356AD9" w14:textId="603A7D38" w:rsidR="001A05C3" w:rsidRDefault="005A2A67" w:rsidP="005A2A67">
      <w:pPr>
        <w:pStyle w:val="h4"/>
      </w:pPr>
      <w:r w:rsidRPr="004E3FC0">
        <w:t>Abstract</w:t>
      </w:r>
    </w:p>
    <w:tbl>
      <w:tblPr>
        <w:tblStyle w:val="TableGrid"/>
        <w:tblpPr w:leftFromText="180" w:rightFromText="180" w:vertAnchor="page" w:horzAnchor="margin" w:tblpY="5410"/>
        <w:tblW w:w="9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proving domestic violence court attendance"/>
        <w:tblDescription w:val="Text box description of a trial to improve court attendance at domestic violence hearings. "/>
      </w:tblPr>
      <w:tblGrid>
        <w:gridCol w:w="9650"/>
      </w:tblGrid>
      <w:tr w:rsidR="003B476D" w14:paraId="4387A5B8" w14:textId="77777777" w:rsidTr="00EC4EFD">
        <w:trPr>
          <w:trHeight w:val="6123"/>
        </w:trPr>
        <w:tc>
          <w:tcPr>
            <w:tcW w:w="9650" w:type="dxa"/>
            <w:shd w:val="clear" w:color="auto" w:fill="D9D9D9" w:themeFill="background1" w:themeFillShade="D9"/>
          </w:tcPr>
          <w:p w14:paraId="00AB4CF3" w14:textId="7E78CE86" w:rsidR="003B476D" w:rsidRPr="00344692" w:rsidRDefault="003B476D" w:rsidP="003B476D">
            <w:pPr>
              <w:spacing w:after="240" w:line="320" w:lineRule="auto"/>
              <w:rPr>
                <w:rFonts w:ascii="Helvetica" w:eastAsia="Helvetica" w:hAnsi="Helvetica" w:cs="Helvetica"/>
                <w:color w:val="3F3F3F"/>
                <w:sz w:val="24"/>
              </w:rPr>
            </w:pPr>
            <w:bookmarkStart w:id="33" w:name="_Toc515874434"/>
            <w:bookmarkStart w:id="34" w:name="_Toc515874505"/>
            <w:bookmarkStart w:id="35" w:name="_Toc515874675"/>
            <w:r w:rsidRPr="00344692">
              <w:rPr>
                <w:rFonts w:ascii="Helvetica" w:eastAsia="Helvetica" w:hAnsi="Helvetica" w:cs="Helvetica"/>
                <w:color w:val="3F3F3F"/>
                <w:sz w:val="24"/>
              </w:rPr>
              <w:t xml:space="preserve">Australia is working to reduce the incidence of domestic and family violence. </w:t>
            </w:r>
          </w:p>
          <w:p w14:paraId="46B3BC9A" w14:textId="465CD843" w:rsidR="003B476D" w:rsidRPr="00344692" w:rsidRDefault="003B476D" w:rsidP="003B476D">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In NSW, a person can seek protection from domestic violence by applying to a court for an apprehended domestic violence order (ADVO). However, up to 25 per cent of domestic violence defendants fail to attend court.</w:t>
            </w:r>
          </w:p>
          <w:p w14:paraId="78572DDE" w14:textId="798C2A4D" w:rsidR="003B476D" w:rsidRPr="004E3FC0" w:rsidRDefault="003B476D" w:rsidP="003B476D">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We tested whether a timely text message reminder could increase court attendance by defendants. This simple solution reduced court non-attendance from 17.6 to 13.5 per cent.</w:t>
            </w:r>
          </w:p>
        </w:tc>
      </w:tr>
    </w:tbl>
    <w:bookmarkEnd w:id="33"/>
    <w:bookmarkEnd w:id="34"/>
    <w:bookmarkEnd w:id="35"/>
    <w:p w14:paraId="6D310635" w14:textId="241B3A42" w:rsidR="003B476D" w:rsidRDefault="003B476D" w:rsidP="003B476D">
      <w:pPr>
        <w:pStyle w:val="h4"/>
      </w:pPr>
      <w:r w:rsidRPr="00642AEC">
        <w:rPr>
          <w:noProof/>
        </w:rPr>
        <w:drawing>
          <wp:anchor distT="0" distB="0" distL="114300" distR="114300" simplePos="0" relativeHeight="251791872" behindDoc="0" locked="0" layoutInCell="1" allowOverlap="1" wp14:anchorId="77E80310" wp14:editId="7744F400">
            <wp:simplePos x="0" y="0"/>
            <wp:positionH relativeFrom="column">
              <wp:posOffset>4405984</wp:posOffset>
            </wp:positionH>
            <wp:positionV relativeFrom="paragraph">
              <wp:posOffset>4704139</wp:posOffset>
            </wp:positionV>
            <wp:extent cx="1779905" cy="885825"/>
            <wp:effectExtent l="0" t="0" r="0" b="0"/>
            <wp:wrapNone/>
            <wp:docPr id="28" name="Picture 28" descr="The Behavioural Insights Team" title="Logo"/>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0" cstate="print">
                      <a:extLst>
                        <a:ext uri="{28A0092B-C50C-407E-A947-70E740481C1C}">
                          <a14:useLocalDpi xmlns:a14="http://schemas.microsoft.com/office/drawing/2010/main" val="0"/>
                        </a:ext>
                      </a:extLst>
                    </a:blip>
                    <a:srcRect t="-1" b="-40407"/>
                    <a:stretch/>
                  </pic:blipFill>
                  <pic:spPr bwMode="auto">
                    <a:xfrm>
                      <a:off x="0" y="0"/>
                      <a:ext cx="177990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2AEC">
        <w:rPr>
          <w:noProof/>
        </w:rPr>
        <w:drawing>
          <wp:anchor distT="0" distB="0" distL="114300" distR="114300" simplePos="0" relativeHeight="251789824" behindDoc="0" locked="0" layoutInCell="1" allowOverlap="1" wp14:anchorId="414F79EF" wp14:editId="6EDFA406">
            <wp:simplePos x="0" y="0"/>
            <wp:positionH relativeFrom="column">
              <wp:posOffset>1561140</wp:posOffset>
            </wp:positionH>
            <wp:positionV relativeFrom="paragraph">
              <wp:posOffset>4671606</wp:posOffset>
            </wp:positionV>
            <wp:extent cx="2103755" cy="573405"/>
            <wp:effectExtent l="0" t="0" r="0" b="0"/>
            <wp:wrapNone/>
            <wp:docPr id="79" name="Picture 79" descr="NSW Government Department of Premier and Cabinet Behavioural Insights Uni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U.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03755" cy="573405"/>
                    </a:xfrm>
                    <a:prstGeom prst="rect">
                      <a:avLst/>
                    </a:prstGeom>
                  </pic:spPr>
                </pic:pic>
              </a:graphicData>
            </a:graphic>
            <wp14:sizeRelH relativeFrom="page">
              <wp14:pctWidth>0</wp14:pctWidth>
            </wp14:sizeRelH>
            <wp14:sizeRelV relativeFrom="page">
              <wp14:pctHeight>0</wp14:pctHeight>
            </wp14:sizeRelV>
          </wp:anchor>
        </w:drawing>
      </w:r>
      <w:r w:rsidRPr="00573712">
        <w:t>Project by</w:t>
      </w:r>
    </w:p>
    <w:p w14:paraId="0CC81725" w14:textId="40BBB62B" w:rsidR="003B476D" w:rsidRDefault="003B476D" w:rsidP="003B476D"/>
    <w:p w14:paraId="732C8B87" w14:textId="28D8EF9B" w:rsidR="003B476D" w:rsidRDefault="003B476D" w:rsidP="003B476D"/>
    <w:p w14:paraId="0EF1B6E0" w14:textId="5DB06AB7" w:rsidR="003B476D" w:rsidRDefault="003B476D" w:rsidP="003B476D"/>
    <w:p w14:paraId="6A017A87" w14:textId="53FADC66" w:rsidR="003B476D" w:rsidRDefault="003B476D" w:rsidP="003B476D">
      <w:r>
        <w:rPr>
          <w:noProof/>
        </w:rPr>
        <w:drawing>
          <wp:anchor distT="0" distB="0" distL="114300" distR="114300" simplePos="0" relativeHeight="251790848" behindDoc="0" locked="0" layoutInCell="1" allowOverlap="1" wp14:anchorId="6DA32742" wp14:editId="236C8ADA">
            <wp:simplePos x="0" y="0"/>
            <wp:positionH relativeFrom="column">
              <wp:posOffset>4372876</wp:posOffset>
            </wp:positionH>
            <wp:positionV relativeFrom="paragraph">
              <wp:posOffset>6128</wp:posOffset>
            </wp:positionV>
            <wp:extent cx="1799844" cy="914400"/>
            <wp:effectExtent l="0" t="0" r="0" b="0"/>
            <wp:wrapNone/>
            <wp:docPr id="5" name="Picture 5" descr="cid:image005.jpg@01D4049E.1F4D2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5.jpg@01D4049E.1F4D23C0"/>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1799844"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AEC">
        <w:rPr>
          <w:noProof/>
        </w:rPr>
        <w:drawing>
          <wp:anchor distT="0" distB="0" distL="114300" distR="114300" simplePos="0" relativeHeight="251788800" behindDoc="0" locked="0" layoutInCell="1" allowOverlap="1" wp14:anchorId="55C66E00" wp14:editId="58C5FA65">
            <wp:simplePos x="0" y="0"/>
            <wp:positionH relativeFrom="column">
              <wp:posOffset>3085849</wp:posOffset>
            </wp:positionH>
            <wp:positionV relativeFrom="paragraph">
              <wp:posOffset>202196</wp:posOffset>
            </wp:positionV>
            <wp:extent cx="1164590" cy="539750"/>
            <wp:effectExtent l="0" t="0" r="0" b="0"/>
            <wp:wrapNone/>
            <wp:docPr id="77" name="Picture 77" descr="NSW Government Department of Just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SW_Justice.jpg"/>
                    <pic:cNvPicPr/>
                  </pic:nvPicPr>
                  <pic:blipFill rotWithShape="1">
                    <a:blip r:embed="rId59" cstate="print">
                      <a:extLst>
                        <a:ext uri="{28A0092B-C50C-407E-A947-70E740481C1C}">
                          <a14:useLocalDpi xmlns:a14="http://schemas.microsoft.com/office/drawing/2010/main" val="0"/>
                        </a:ext>
                      </a:extLst>
                    </a:blip>
                    <a:srcRect b="-7326"/>
                    <a:stretch/>
                  </pic:blipFill>
                  <pic:spPr bwMode="auto">
                    <a:xfrm>
                      <a:off x="0" y="0"/>
                      <a:ext cx="1164590" cy="53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50A208" w14:textId="2ED12FB4" w:rsidR="00251049" w:rsidRDefault="00251049" w:rsidP="00D33213">
      <w:pPr>
        <w:pStyle w:val="h4"/>
      </w:pPr>
      <w:r w:rsidRPr="0004155D">
        <w:lastRenderedPageBreak/>
        <w:t xml:space="preserve">The policy problem </w:t>
      </w:r>
    </w:p>
    <w:p w14:paraId="0346E820" w14:textId="19AFAC68" w:rsidR="00544D75" w:rsidRPr="00544D75" w:rsidRDefault="00544D75" w:rsidP="00BE15B4">
      <w:pPr>
        <w:rPr>
          <w:rFonts w:eastAsia="Helvetica" w:cstheme="minorHAnsi"/>
        </w:rPr>
      </w:pPr>
      <w:r w:rsidRPr="00544D75">
        <w:rPr>
          <w:rFonts w:eastAsia="Helvetica" w:cstheme="minorHAnsi"/>
        </w:rPr>
        <w:t xml:space="preserve">In 2017, 30 people died as a result of domestic violence in </w:t>
      </w:r>
      <w:r>
        <w:rPr>
          <w:rFonts w:eastAsia="Helvetica" w:cstheme="minorHAnsi"/>
        </w:rPr>
        <w:t>NSW</w:t>
      </w:r>
      <w:r w:rsidRPr="00544D75">
        <w:rPr>
          <w:rFonts w:eastAsia="Helvetica" w:cstheme="minorHAnsi"/>
        </w:rPr>
        <w:t xml:space="preserve">; </w:t>
      </w:r>
      <w:r>
        <w:rPr>
          <w:rFonts w:eastAsia="Helvetica" w:cstheme="minorHAnsi"/>
        </w:rPr>
        <w:t>representing</w:t>
      </w:r>
      <w:r w:rsidRPr="00544D75">
        <w:rPr>
          <w:rFonts w:eastAsia="Helvetica" w:cstheme="minorHAnsi"/>
        </w:rPr>
        <w:t xml:space="preserve"> 40 per</w:t>
      </w:r>
      <w:r w:rsidR="001D6EFD">
        <w:rPr>
          <w:rFonts w:eastAsia="Helvetica" w:cstheme="minorHAnsi"/>
        </w:rPr>
        <w:t> </w:t>
      </w:r>
      <w:r w:rsidRPr="00544D75">
        <w:rPr>
          <w:rFonts w:eastAsia="Helvetica" w:cstheme="minorHAnsi"/>
        </w:rPr>
        <w:t>cent of the homicides that occurred during this period.</w:t>
      </w:r>
      <w:r w:rsidRPr="00544D75">
        <w:rPr>
          <w:rStyle w:val="FootnoteReference"/>
        </w:rPr>
        <w:footnoteReference w:id="26"/>
      </w:r>
    </w:p>
    <w:p w14:paraId="5243B8DD" w14:textId="5AAB1DC3" w:rsidR="00544D75" w:rsidRPr="00544D75" w:rsidRDefault="00544D75" w:rsidP="00BE15B4">
      <w:pPr>
        <w:rPr>
          <w:rFonts w:eastAsia="Helvetica" w:cstheme="minorHAnsi"/>
        </w:rPr>
      </w:pPr>
      <w:r w:rsidRPr="00544D75">
        <w:rPr>
          <w:rFonts w:eastAsia="Helvetica" w:cstheme="minorHAnsi"/>
        </w:rPr>
        <w:t>On average, 25</w:t>
      </w:r>
      <w:r w:rsidR="001D6EFD">
        <w:rPr>
          <w:rFonts w:eastAsia="Helvetica" w:cstheme="minorHAnsi"/>
        </w:rPr>
        <w:t> </w:t>
      </w:r>
      <w:r w:rsidRPr="00544D75">
        <w:rPr>
          <w:rFonts w:eastAsia="Helvetica" w:cstheme="minorHAnsi"/>
        </w:rPr>
        <w:t>per</w:t>
      </w:r>
      <w:r w:rsidR="001D6EFD">
        <w:rPr>
          <w:rFonts w:eastAsia="Helvetica" w:cstheme="minorHAnsi"/>
        </w:rPr>
        <w:t> </w:t>
      </w:r>
      <w:r w:rsidRPr="00544D75">
        <w:rPr>
          <w:rFonts w:eastAsia="Helvetica" w:cstheme="minorHAnsi"/>
        </w:rPr>
        <w:t>cent of domestic violence defendants fail to attend court on their appointed hearing day.</w:t>
      </w:r>
      <w:r w:rsidRPr="00544D75">
        <w:rPr>
          <w:rStyle w:val="FootnoteReference"/>
        </w:rPr>
        <w:footnoteReference w:id="27"/>
      </w:r>
      <w:r w:rsidRPr="00544D75">
        <w:rPr>
          <w:rFonts w:eastAsia="Helvetica" w:cstheme="minorHAnsi"/>
        </w:rPr>
        <w:t xml:space="preserve"> To ensure judicial efficiency and expedite the protection of victims, it is </w:t>
      </w:r>
      <w:r w:rsidR="00E908AC">
        <w:rPr>
          <w:rFonts w:eastAsia="Helvetica" w:cstheme="minorHAnsi"/>
        </w:rPr>
        <w:t>important</w:t>
      </w:r>
      <w:r w:rsidRPr="00544D75">
        <w:rPr>
          <w:rFonts w:eastAsia="Helvetica" w:cstheme="minorHAnsi"/>
        </w:rPr>
        <w:t xml:space="preserve"> that parties engage with the ADVO court process. Early intervention by the police and court officials can help defendants to understand and comply with ADVO conditions. This i</w:t>
      </w:r>
      <w:r w:rsidR="0023388C">
        <w:rPr>
          <w:rFonts w:eastAsia="Helvetica" w:cstheme="minorHAnsi"/>
        </w:rPr>
        <w:t>n</w:t>
      </w:r>
      <w:r w:rsidRPr="00544D75">
        <w:rPr>
          <w:rFonts w:eastAsia="Helvetica" w:cstheme="minorHAnsi"/>
        </w:rPr>
        <w:t xml:space="preserve"> turn </w:t>
      </w:r>
      <w:r w:rsidR="00E908AC">
        <w:rPr>
          <w:rFonts w:eastAsia="Helvetica" w:cstheme="minorHAnsi"/>
        </w:rPr>
        <w:t>supports</w:t>
      </w:r>
      <w:r w:rsidRPr="00544D75">
        <w:rPr>
          <w:rFonts w:eastAsia="Helvetica" w:cstheme="minorHAnsi"/>
        </w:rPr>
        <w:t xml:space="preserve"> the safety of victims and reduces the distress and harm that may otherwise result if defendants breach their ADVOs. </w:t>
      </w:r>
      <w:r>
        <w:rPr>
          <w:rFonts w:eastAsia="Helvetica" w:cstheme="minorHAnsi"/>
        </w:rPr>
        <w:t xml:space="preserve">Defendants </w:t>
      </w:r>
      <w:r w:rsidRPr="00544D75">
        <w:rPr>
          <w:rFonts w:eastAsia="Helvetica" w:cstheme="minorHAnsi"/>
        </w:rPr>
        <w:t xml:space="preserve">understanding their ADVOs and </w:t>
      </w:r>
      <w:r>
        <w:rPr>
          <w:rFonts w:eastAsia="Helvetica" w:cstheme="minorHAnsi"/>
        </w:rPr>
        <w:t>complying with</w:t>
      </w:r>
      <w:r w:rsidRPr="00544D75">
        <w:rPr>
          <w:rFonts w:eastAsia="Helvetica" w:cstheme="minorHAnsi"/>
        </w:rPr>
        <w:t xml:space="preserve"> their ADVO conditions can also increase the efficiency of the courts and improve the allocation of police resources.</w:t>
      </w:r>
    </w:p>
    <w:p w14:paraId="31276939" w14:textId="77777777" w:rsidR="00251049" w:rsidRPr="0004155D" w:rsidRDefault="00251049" w:rsidP="00D33213">
      <w:pPr>
        <w:pStyle w:val="h4"/>
      </w:pPr>
      <w:r w:rsidRPr="0004155D">
        <w:t xml:space="preserve">Our findings and learnings </w:t>
      </w:r>
    </w:p>
    <w:p w14:paraId="2B112E86" w14:textId="0DFF7D8F" w:rsidR="00544D75" w:rsidRDefault="00544D75" w:rsidP="00BE15B4">
      <w:pPr>
        <w:rPr>
          <w:rFonts w:eastAsia="Helvetica"/>
        </w:rPr>
      </w:pPr>
      <w:r>
        <w:rPr>
          <w:rFonts w:eastAsia="Helvetica"/>
        </w:rPr>
        <w:t xml:space="preserve">Our trial was informed by research </w:t>
      </w:r>
      <w:r w:rsidR="00AB7F22">
        <w:rPr>
          <w:rFonts w:eastAsia="Helvetica"/>
        </w:rPr>
        <w:t>showing</w:t>
      </w:r>
      <w:r>
        <w:rPr>
          <w:rFonts w:eastAsia="Helvetica"/>
        </w:rPr>
        <w:t xml:space="preserve"> text messages can be used as a simple and inexpensive medium to remind people to perform a particular action. Such text message reminders can be particularly valuable if they are effectively timed.</w:t>
      </w:r>
    </w:p>
    <w:p w14:paraId="04258601" w14:textId="77777777" w:rsidR="008043E6" w:rsidRDefault="008043E6"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4C410673" w14:textId="77777777" w:rsidTr="00CE3925">
        <w:trPr>
          <w:trHeight w:val="1"/>
        </w:trPr>
        <w:tc>
          <w:tcPr>
            <w:tcW w:w="5000" w:type="pct"/>
            <w:shd w:val="clear" w:color="auto" w:fill="F2F2F2"/>
            <w:tcMar>
              <w:left w:w="108" w:type="dxa"/>
              <w:right w:w="108" w:type="dxa"/>
            </w:tcMar>
          </w:tcPr>
          <w:p w14:paraId="250D7EDB" w14:textId="51CC79F2" w:rsidR="00251049" w:rsidRDefault="00CE3925"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2672" behindDoc="1" locked="0" layoutInCell="1" allowOverlap="1" wp14:anchorId="790D514C" wp14:editId="28584710">
                  <wp:simplePos x="0" y="0"/>
                  <wp:positionH relativeFrom="margin">
                    <wp:posOffset>-635</wp:posOffset>
                  </wp:positionH>
                  <wp:positionV relativeFrom="paragraph">
                    <wp:posOffset>54383</wp:posOffset>
                  </wp:positionV>
                  <wp:extent cx="370800" cy="370800"/>
                  <wp:effectExtent l="0" t="0" r="0" b="0"/>
                  <wp:wrapTight wrapText="bothSides">
                    <wp:wrapPolygon edited="0">
                      <wp:start x="0" y="0"/>
                      <wp:lineTo x="0" y="20007"/>
                      <wp:lineTo x="20007" y="20007"/>
                      <wp:lineTo x="20007" y="0"/>
                      <wp:lineTo x="0" y="0"/>
                    </wp:wrapPolygon>
                  </wp:wrapTight>
                  <wp:docPr id="40" name="Picture 40"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r w:rsidR="007B133B">
              <w:rPr>
                <w:rFonts w:ascii="Helvetica" w:eastAsia="Helvetica" w:hAnsi="Helvetica" w:cs="Helvetica"/>
                <w:b/>
                <w:color w:val="142E3B"/>
                <w:sz w:val="24"/>
              </w:rPr>
              <w:t>s</w:t>
            </w:r>
          </w:p>
          <w:p w14:paraId="414645C3" w14:textId="34BCEC0D" w:rsidR="00251049" w:rsidRDefault="00251049" w:rsidP="00BE15B4">
            <w:pPr>
              <w:rPr>
                <w:rFonts w:ascii="Helvetica" w:eastAsia="Helvetica" w:hAnsi="Helvetica" w:cs="Helvetica"/>
                <w:color w:val="3F3F3F"/>
              </w:rPr>
            </w:pPr>
            <w:r w:rsidRPr="005065DD">
              <w:rPr>
                <w:rFonts w:ascii="Helvetica" w:eastAsia="Helvetica" w:hAnsi="Helvetica" w:cs="Helvetica"/>
                <w:b/>
                <w:color w:val="auto"/>
              </w:rPr>
              <w:t>Timeliness</w:t>
            </w:r>
            <w:r w:rsidRPr="005065DD">
              <w:rPr>
                <w:rFonts w:ascii="Helvetica" w:eastAsia="Helvetica" w:hAnsi="Helvetica" w:cs="Helvetica"/>
                <w:color w:val="auto"/>
              </w:rPr>
              <w:t xml:space="preserve"> </w:t>
            </w:r>
            <w:r w:rsidR="007B133B">
              <w:rPr>
                <w:rFonts w:eastAsia="Helvetica"/>
                <w:color w:val="auto"/>
              </w:rPr>
              <w:t xml:space="preserve">is </w:t>
            </w:r>
            <w:r w:rsidR="007B133B">
              <w:rPr>
                <w:rFonts w:eastAsia="Helvetica"/>
              </w:rPr>
              <w:t>often overlooked in the behavioural change process; people respond differently to messages depending on when they are received. Reminders are most effective if they are sent when people are receptive, able to consider any costs and benefits and can plan their actions.</w:t>
            </w:r>
            <w:r w:rsidR="007B133B">
              <w:rPr>
                <w:rStyle w:val="FootnoteReference"/>
                <w:rFonts w:eastAsia="Helvetica" w:cs="Helvetica"/>
                <w:color w:val="3F3F3F"/>
              </w:rPr>
              <w:footnoteReference w:id="28"/>
            </w:r>
            <w:r w:rsidR="007B133B">
              <w:rPr>
                <w:rFonts w:ascii="Helvetica" w:eastAsia="Helvetica" w:hAnsi="Helvetica" w:cs="Helvetica"/>
                <w:color w:val="3F3F3F"/>
              </w:rPr>
              <w:t xml:space="preserve"> </w:t>
            </w:r>
          </w:p>
          <w:p w14:paraId="11C84D0F" w14:textId="2BB4043B" w:rsidR="007B133B" w:rsidRPr="007B133B" w:rsidRDefault="005065DD" w:rsidP="00BE15B4">
            <w:pPr>
              <w:rPr>
                <w:rFonts w:ascii="Helvetica" w:eastAsia="Helvetica" w:hAnsi="Helvetica" w:cs="Helvetica"/>
                <w:color w:val="3F3F3F"/>
              </w:rPr>
            </w:pPr>
            <w:r w:rsidRPr="005065DD">
              <w:rPr>
                <w:rFonts w:ascii="Helvetica" w:eastAsia="Helvetica" w:hAnsi="Helvetica" w:cs="Helvetica"/>
                <w:b/>
                <w:color w:val="auto"/>
              </w:rPr>
              <w:t>Messenger effect</w:t>
            </w:r>
            <w:r w:rsidRPr="005065DD">
              <w:rPr>
                <w:rFonts w:ascii="Helvetica" w:eastAsia="Helvetica" w:hAnsi="Helvetica" w:cs="Helvetica"/>
                <w:b/>
                <w:color w:val="3F3F3F"/>
              </w:rPr>
              <w:t>:</w:t>
            </w:r>
            <w:r w:rsidR="007B133B">
              <w:rPr>
                <w:rFonts w:ascii="Helvetica" w:eastAsia="Helvetica" w:hAnsi="Helvetica" w:cs="Helvetica"/>
                <w:color w:val="3F3F3F"/>
              </w:rPr>
              <w:t xml:space="preserve"> </w:t>
            </w:r>
            <w:r w:rsidR="007B133B">
              <w:rPr>
                <w:rFonts w:eastAsia="Helvetica"/>
              </w:rPr>
              <w:t>People are heavily influenced by who communicates information. For example, people may perceive messages as more credible depending on the age or stated qualifications of the message’s source.</w:t>
            </w:r>
          </w:p>
        </w:tc>
      </w:tr>
    </w:tbl>
    <w:p w14:paraId="2F5A9ADA" w14:textId="77777777" w:rsidR="008043E6" w:rsidRDefault="008043E6" w:rsidP="00BE15B4">
      <w:pPr>
        <w:rPr>
          <w:rFonts w:eastAsia="Helvetica"/>
        </w:rPr>
      </w:pPr>
    </w:p>
    <w:p w14:paraId="75A146FC" w14:textId="1575B729" w:rsidR="00251049" w:rsidRPr="007B133B" w:rsidRDefault="00673D2A" w:rsidP="00BE15B4">
      <w:pPr>
        <w:rPr>
          <w:iCs/>
          <w:noProof/>
          <w:color w:val="142E3B" w:themeColor="accent6"/>
        </w:rPr>
      </w:pPr>
      <w:r>
        <w:rPr>
          <w:noProof/>
        </w:rPr>
        <mc:AlternateContent>
          <mc:Choice Requires="wps">
            <w:drawing>
              <wp:anchor distT="0" distB="0" distL="114300" distR="114300" simplePos="0" relativeHeight="251629056" behindDoc="1" locked="0" layoutInCell="1" allowOverlap="1" wp14:anchorId="0ED1E073" wp14:editId="38751E0C">
                <wp:simplePos x="0" y="0"/>
                <wp:positionH relativeFrom="column">
                  <wp:posOffset>4063365</wp:posOffset>
                </wp:positionH>
                <wp:positionV relativeFrom="paragraph">
                  <wp:posOffset>599440</wp:posOffset>
                </wp:positionV>
                <wp:extent cx="1582420" cy="1859280"/>
                <wp:effectExtent l="0" t="0" r="0" b="102870"/>
                <wp:wrapTight wrapText="bothSides">
                  <wp:wrapPolygon edited="0">
                    <wp:start x="1820" y="0"/>
                    <wp:lineTo x="0" y="1107"/>
                    <wp:lineTo x="0" y="19918"/>
                    <wp:lineTo x="2080" y="22574"/>
                    <wp:lineTo x="2340" y="22574"/>
                    <wp:lineTo x="4421" y="22574"/>
                    <wp:lineTo x="8581" y="22574"/>
                    <wp:lineTo x="20543" y="21689"/>
                    <wp:lineTo x="20283" y="21246"/>
                    <wp:lineTo x="21323" y="20139"/>
                    <wp:lineTo x="21323" y="1107"/>
                    <wp:lineTo x="19502" y="0"/>
                    <wp:lineTo x="1820" y="0"/>
                  </wp:wrapPolygon>
                </wp:wrapTight>
                <wp:docPr id="24" name="Rounded Rectangular Callout 24" descr="Gary, this is a reminder that you have to attend Mount Druitt local court by 9.30am tomorrow. You must also follow the orders of your ADVO. For information on support programs, you can call the Men’s Referral Service on 1300 766 491. NSW Police" title="Figure 9"/>
                <wp:cNvGraphicFramePr/>
                <a:graphic xmlns:a="http://schemas.openxmlformats.org/drawingml/2006/main">
                  <a:graphicData uri="http://schemas.microsoft.com/office/word/2010/wordprocessingShape">
                    <wps:wsp>
                      <wps:cNvSpPr/>
                      <wps:spPr>
                        <a:xfrm>
                          <a:off x="0" y="0"/>
                          <a:ext cx="1582420" cy="1859280"/>
                        </a:xfrm>
                        <a:prstGeom prst="wedgeRoundRectCallout">
                          <a:avLst>
                            <a:gd name="adj1" fmla="val -36377"/>
                            <a:gd name="adj2" fmla="val 54902"/>
                            <a:gd name="adj3" fmla="val 166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B86697" w14:textId="4E5E23C0" w:rsidR="008424B3" w:rsidRPr="00673D2A" w:rsidRDefault="008424B3" w:rsidP="00673D2A">
                            <w:pPr>
                              <w:spacing w:before="0" w:after="0"/>
                              <w:rPr>
                                <w:rFonts w:ascii="Corbel" w:hAnsi="Corbel"/>
                                <w:color w:val="1F1F1F" w:themeColor="text1" w:themeShade="80"/>
                                <w:sz w:val="18"/>
                                <w:szCs w:val="18"/>
                                <w:lang w:val="en-US"/>
                              </w:rPr>
                            </w:pPr>
                            <w:r w:rsidRPr="00673D2A">
                              <w:rPr>
                                <w:rFonts w:ascii="Corbel" w:hAnsi="Corbel"/>
                                <w:color w:val="1F1F1F" w:themeColor="text1" w:themeShade="80"/>
                                <w:sz w:val="18"/>
                                <w:szCs w:val="18"/>
                                <w:lang w:val="en-US"/>
                              </w:rPr>
                              <w:t>Gary, this is a reminder that you have to attend Mount Druitt local court by 9.30am tomorrow. You must also follow the orders of your ADVO. For information on support programs, you can call the Men’s Referral Service on 1300 766 491. NSW Police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D1E07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4" o:spid="_x0000_s1026" type="#_x0000_t62" alt="Title: Figure 9 - Description: Gary, this is a reminder that you have to attend Mount Druitt local court by 9.30am tomorrow. You must also follow the orders of your ADVO. For information on support programs, you can call the Men’s Referral Service on 1300 766 491. NSW Police" style="position:absolute;margin-left:319.95pt;margin-top:47.2pt;width:124.6pt;height:146.4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" adj="2943,22659" fillcolor="#d8d8d8 [2732]" stroked="f" strokeweight="2pt">
                <v:textbox inset="1mm,0,1mm,0">
                  <w:txbxContent>
                    <w:p w14:paraId="2DB86697" w14:textId="4E5E23C0" w:rsidR="008424B3" w:rsidRPr="00673D2A" w:rsidRDefault="008424B3" w:rsidP="00673D2A">
                      <w:pPr>
                        <w:spacing w:before="0" w:after="0"/>
                        <w:rPr>
                          <w:rFonts w:ascii="Corbel" w:hAnsi="Corbel"/>
                          <w:color w:val="1F1F1F" w:themeColor="text1" w:themeShade="80"/>
                          <w:sz w:val="18"/>
                          <w:szCs w:val="18"/>
                          <w:lang w:val="en-US"/>
                        </w:rPr>
                      </w:pPr>
                      <w:r w:rsidRPr="00673D2A">
                        <w:rPr>
                          <w:rFonts w:ascii="Corbel" w:hAnsi="Corbel"/>
                          <w:color w:val="1F1F1F" w:themeColor="text1" w:themeShade="80"/>
                          <w:sz w:val="18"/>
                          <w:szCs w:val="18"/>
                          <w:lang w:val="en-US"/>
                        </w:rPr>
                        <w:t>Gary, this is a reminder that you have to attend Mount Druitt local court by 9.30am tomorrow. You must also follow the orders of your ADVO. For information on support programs, you can call the Men’s Referral Service on 1300 766 491. NSW Police</w:t>
                      </w:r>
                    </w:p>
                  </w:txbxContent>
                </v:textbox>
                <w10:wrap type="tight"/>
              </v:shape>
            </w:pict>
          </mc:Fallback>
        </mc:AlternateContent>
      </w:r>
      <w:r w:rsidR="004F4272">
        <w:rPr>
          <w:noProof/>
        </w:rPr>
        <mc:AlternateContent>
          <mc:Choice Requires="wps">
            <w:drawing>
              <wp:anchor distT="0" distB="0" distL="114300" distR="114300" simplePos="0" relativeHeight="251613696" behindDoc="1" locked="0" layoutInCell="1" allowOverlap="1" wp14:anchorId="0F283117" wp14:editId="6A1E2C27">
                <wp:simplePos x="0" y="0"/>
                <wp:positionH relativeFrom="margin">
                  <wp:posOffset>4140200</wp:posOffset>
                </wp:positionH>
                <wp:positionV relativeFrom="paragraph">
                  <wp:posOffset>395192</wp:posOffset>
                </wp:positionV>
                <wp:extent cx="1605915" cy="179705"/>
                <wp:effectExtent l="0" t="0" r="13335" b="10795"/>
                <wp:wrapTight wrapText="bothSides">
                  <wp:wrapPolygon edited="0">
                    <wp:start x="0" y="0"/>
                    <wp:lineTo x="0" y="20608"/>
                    <wp:lineTo x="21523" y="20608"/>
                    <wp:lineTo x="21523"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605915" cy="179705"/>
                        </a:xfrm>
                        <a:prstGeom prst="rect">
                          <a:avLst/>
                        </a:prstGeom>
                        <a:noFill/>
                        <a:ln>
                          <a:noFill/>
                        </a:ln>
                      </wps:spPr>
                      <wps:txbx>
                        <w:txbxContent>
                          <w:p w14:paraId="63D695DE" w14:textId="17C846DD" w:rsidR="008424B3" w:rsidRPr="004F4272" w:rsidRDefault="008424B3" w:rsidP="0075442D">
                            <w:pPr>
                              <w:pStyle w:val="Caption"/>
                              <w:spacing w:before="0" w:after="0"/>
                              <w:rPr>
                                <w:rFonts w:ascii="Helvetica" w:hAnsi="Helvetica"/>
                                <w:color w:val="117479"/>
                              </w:rPr>
                            </w:pPr>
                            <w:bookmarkStart w:id="36" w:name="_Ref513791734"/>
                            <w:r w:rsidRPr="004F4272">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36"/>
                            <w:r w:rsidRPr="004F4272">
                              <w:t>:</w:t>
                            </w:r>
                            <w:r w:rsidRPr="004F4272">
                              <w:rPr>
                                <w:rFonts w:ascii="Helvetica" w:hAnsi="Helvetica"/>
                                <w:color w:val="117479"/>
                              </w:rPr>
                              <w:t xml:space="preserve"> Example </w:t>
                            </w:r>
                            <w:r>
                              <w:rPr>
                                <w:rFonts w:ascii="Helvetica" w:hAnsi="Helvetica"/>
                                <w:color w:val="117479"/>
                              </w:rPr>
                              <w:t>SMS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283117" id="_x0000_t202" coordsize="21600,21600" o:spt="202" path="m,l,21600r21600,l21600,xe">
                <v:stroke joinstyle="miter"/>
                <v:path gradientshapeok="t" o:connecttype="rect"/>
              </v:shapetype>
              <v:shape id="Text Box 9" o:spid="_x0000_s1027" type="#_x0000_t202" style="position:absolute;margin-left:326pt;margin-top:31.1pt;width:126.45pt;height:14.1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" filled="f" stroked="f">
                <v:textbox inset="0,0,0,0">
                  <w:txbxContent>
                    <w:p w14:paraId="63D695DE" w14:textId="17C846DD" w:rsidR="008424B3" w:rsidRPr="004F4272" w:rsidRDefault="008424B3" w:rsidP="0075442D">
                      <w:pPr>
                        <w:pStyle w:val="Caption"/>
                        <w:spacing w:before="0" w:after="0"/>
                        <w:rPr>
                          <w:rFonts w:ascii="Helvetica" w:hAnsi="Helvetica"/>
                          <w:color w:val="117479"/>
                        </w:rPr>
                      </w:pPr>
                      <w:bookmarkStart w:id="37" w:name="_Ref513791734"/>
                      <w:r w:rsidRPr="004F4272">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37"/>
                      <w:r w:rsidRPr="004F4272">
                        <w:t>:</w:t>
                      </w:r>
                      <w:r w:rsidRPr="004F4272">
                        <w:rPr>
                          <w:rFonts w:ascii="Helvetica" w:hAnsi="Helvetica"/>
                          <w:color w:val="117479"/>
                        </w:rPr>
                        <w:t xml:space="preserve"> Example </w:t>
                      </w:r>
                      <w:r>
                        <w:rPr>
                          <w:rFonts w:ascii="Helvetica" w:hAnsi="Helvetica"/>
                          <w:color w:val="117479"/>
                        </w:rPr>
                        <w:t>SMS</w:t>
                      </w:r>
                    </w:p>
                  </w:txbxContent>
                </v:textbox>
                <w10:wrap type="tight" anchorx="margin"/>
              </v:shape>
            </w:pict>
          </mc:Fallback>
        </mc:AlternateContent>
      </w:r>
      <w:r w:rsidR="00251049">
        <w:rPr>
          <w:rFonts w:eastAsia="Helvetica"/>
        </w:rPr>
        <w:t xml:space="preserve">We found </w:t>
      </w:r>
      <w:r w:rsidR="007B133B">
        <w:rPr>
          <w:rFonts w:eastAsia="Helvetica"/>
        </w:rPr>
        <w:t xml:space="preserve">sending </w:t>
      </w:r>
      <w:r w:rsidR="00251049">
        <w:rPr>
          <w:rFonts w:eastAsia="Helvetica"/>
        </w:rPr>
        <w:t xml:space="preserve">a behaviourally-informed </w:t>
      </w:r>
      <w:r w:rsidR="007B133B">
        <w:rPr>
          <w:rFonts w:eastAsia="Helvetica"/>
        </w:rPr>
        <w:t>text message</w:t>
      </w:r>
      <w:r w:rsidR="00251049">
        <w:rPr>
          <w:rFonts w:eastAsia="Helvetica"/>
        </w:rPr>
        <w:t xml:space="preserve"> to defendants </w:t>
      </w:r>
      <w:r w:rsidR="007B133B">
        <w:rPr>
          <w:rFonts w:eastAsia="Helvetica"/>
        </w:rPr>
        <w:t>before</w:t>
      </w:r>
      <w:r w:rsidR="00251049">
        <w:rPr>
          <w:rFonts w:eastAsia="Helvetica"/>
        </w:rPr>
        <w:t xml:space="preserve"> their court date </w:t>
      </w:r>
      <w:r w:rsidR="007B133B">
        <w:rPr>
          <w:rFonts w:eastAsia="Helvetica"/>
        </w:rPr>
        <w:t>led to</w:t>
      </w:r>
      <w:r w:rsidR="00251049">
        <w:rPr>
          <w:rFonts w:eastAsia="Helvetica"/>
        </w:rPr>
        <w:t xml:space="preserve"> a significant increase in court attendan</w:t>
      </w:r>
      <w:r w:rsidR="007B133B">
        <w:rPr>
          <w:rFonts w:eastAsia="Helvetica"/>
        </w:rPr>
        <w:t xml:space="preserve">ce. These defendants </w:t>
      </w:r>
      <w:r w:rsidR="00251049">
        <w:rPr>
          <w:rFonts w:eastAsia="Helvetica"/>
        </w:rPr>
        <w:t>were, on average, 4.1</w:t>
      </w:r>
      <w:r w:rsidR="00F819B3">
        <w:rPr>
          <w:rFonts w:eastAsia="Helvetica"/>
        </w:rPr>
        <w:t> </w:t>
      </w:r>
      <w:r w:rsidR="00251049">
        <w:rPr>
          <w:rFonts w:eastAsia="Helvetica"/>
        </w:rPr>
        <w:t>percentage</w:t>
      </w:r>
      <w:r w:rsidR="00F819B3">
        <w:rPr>
          <w:rFonts w:eastAsia="Helvetica"/>
        </w:rPr>
        <w:t> </w:t>
      </w:r>
      <w:r w:rsidR="00251049">
        <w:rPr>
          <w:rFonts w:eastAsia="Helvetica"/>
        </w:rPr>
        <w:t>points more likely to attend</w:t>
      </w:r>
      <w:r w:rsidR="007B133B">
        <w:rPr>
          <w:rFonts w:eastAsia="Helvetica"/>
        </w:rPr>
        <w:t xml:space="preserve"> court</w:t>
      </w:r>
      <w:r w:rsidR="00251049">
        <w:rPr>
          <w:rFonts w:eastAsia="Helvetica"/>
        </w:rPr>
        <w:t xml:space="preserve">. </w:t>
      </w:r>
      <w:r w:rsidR="004F4272" w:rsidRPr="004F4272">
        <w:rPr>
          <w:rFonts w:eastAsia="Helvetica"/>
        </w:rPr>
        <w:fldChar w:fldCharType="begin"/>
      </w:r>
      <w:r w:rsidR="004F4272" w:rsidRPr="004F4272">
        <w:rPr>
          <w:rFonts w:eastAsia="Helvetica"/>
        </w:rPr>
        <w:instrText xml:space="preserve"> REF _Ref513791734 \h </w:instrText>
      </w:r>
      <w:r w:rsidR="004F4272">
        <w:rPr>
          <w:rFonts w:eastAsia="Helvetica"/>
        </w:rPr>
        <w:instrText xml:space="preserve"> \* MERGEFORMAT </w:instrText>
      </w:r>
      <w:r w:rsidR="004F4272" w:rsidRPr="004F4272">
        <w:rPr>
          <w:rFonts w:eastAsia="Helvetica"/>
        </w:rPr>
      </w:r>
      <w:r w:rsidR="004F4272" w:rsidRPr="004F4272">
        <w:rPr>
          <w:rFonts w:eastAsia="Helvetica"/>
        </w:rPr>
        <w:fldChar w:fldCharType="separate"/>
      </w:r>
      <w:r w:rsidR="00B01953" w:rsidRPr="004F4272">
        <w:t xml:space="preserve">Figure </w:t>
      </w:r>
      <w:r w:rsidR="00B01953">
        <w:t>9</w:t>
      </w:r>
      <w:r w:rsidR="004F4272" w:rsidRPr="004F4272">
        <w:rPr>
          <w:rFonts w:eastAsia="Helvetica"/>
        </w:rPr>
        <w:fldChar w:fldCharType="end"/>
      </w:r>
      <w:r w:rsidR="00251049" w:rsidRPr="004F4272">
        <w:rPr>
          <w:rFonts w:eastAsia="Helvetica"/>
        </w:rPr>
        <w:t xml:space="preserve"> </w:t>
      </w:r>
      <w:r w:rsidR="007B133B">
        <w:rPr>
          <w:rFonts w:eastAsia="Helvetica"/>
        </w:rPr>
        <w:t>provides an example of a text message</w:t>
      </w:r>
      <w:r w:rsidR="00251049">
        <w:rPr>
          <w:rFonts w:eastAsia="Helvetica"/>
        </w:rPr>
        <w:t xml:space="preserve"> </w:t>
      </w:r>
      <w:r w:rsidR="007B133B">
        <w:rPr>
          <w:rFonts w:eastAsia="Helvetica"/>
        </w:rPr>
        <w:t>sent to a defendant</w:t>
      </w:r>
      <w:r w:rsidR="00251049">
        <w:rPr>
          <w:rFonts w:eastAsia="Helvetica"/>
        </w:rPr>
        <w:t>.</w:t>
      </w:r>
      <w:r w:rsidR="00CE3925" w:rsidRPr="00CE3925">
        <w:rPr>
          <w:i/>
          <w:iCs/>
          <w:noProof/>
          <w:color w:val="142E3B" w:themeColor="accent6"/>
          <w:sz w:val="28"/>
        </w:rPr>
        <w:t xml:space="preserve"> </w:t>
      </w:r>
    </w:p>
    <w:p w14:paraId="213E1A9E" w14:textId="53857D80" w:rsidR="007B133B" w:rsidRDefault="007B133B" w:rsidP="00BE15B4">
      <w:pPr>
        <w:rPr>
          <w:rFonts w:ascii="Times New Roman" w:eastAsiaTheme="minorHAnsi" w:hAnsi="Times New Roman"/>
          <w:color w:val="auto"/>
          <w:sz w:val="24"/>
          <w:szCs w:val="24"/>
        </w:rPr>
      </w:pPr>
      <w:r>
        <w:rPr>
          <w:rFonts w:eastAsia="Helvetica"/>
        </w:rPr>
        <w:t>Individuals who did not receive a text (i.e., those in the business-as-usual or control group) failed to attend court 17.6</w:t>
      </w:r>
      <w:r w:rsidR="001D6EFD">
        <w:rPr>
          <w:rFonts w:eastAsia="Helvetica"/>
        </w:rPr>
        <w:t> </w:t>
      </w:r>
      <w:r>
        <w:rPr>
          <w:rFonts w:eastAsia="Helvetica"/>
        </w:rPr>
        <w:t>per</w:t>
      </w:r>
      <w:r w:rsidR="001D6EFD">
        <w:rPr>
          <w:rFonts w:eastAsia="Helvetica"/>
        </w:rPr>
        <w:t> </w:t>
      </w:r>
      <w:r>
        <w:rPr>
          <w:rFonts w:eastAsia="Helvetica"/>
        </w:rPr>
        <w:t>cent of the time, compared to individuals in the intervention group who failed to attend 13.5</w:t>
      </w:r>
      <w:r w:rsidR="001D6EFD">
        <w:rPr>
          <w:rFonts w:eastAsia="Helvetica"/>
        </w:rPr>
        <w:t> </w:t>
      </w:r>
      <w:r>
        <w:rPr>
          <w:rFonts w:eastAsia="Helvetica"/>
        </w:rPr>
        <w:t>per</w:t>
      </w:r>
      <w:r w:rsidR="001D6EFD">
        <w:rPr>
          <w:rFonts w:eastAsia="Helvetica"/>
        </w:rPr>
        <w:t> </w:t>
      </w:r>
      <w:r>
        <w:rPr>
          <w:rFonts w:eastAsia="Helvetica"/>
        </w:rPr>
        <w:t>cent of the time. Relatively speaking, this meant defendants receiving a text message reminder were 23</w:t>
      </w:r>
      <w:r w:rsidR="001D6EFD">
        <w:rPr>
          <w:rFonts w:eastAsia="Helvetica"/>
        </w:rPr>
        <w:t> </w:t>
      </w:r>
      <w:r>
        <w:rPr>
          <w:rFonts w:eastAsia="Helvetica"/>
        </w:rPr>
        <w:t>per</w:t>
      </w:r>
      <w:r w:rsidR="001D6EFD">
        <w:rPr>
          <w:rFonts w:eastAsia="Helvetica"/>
        </w:rPr>
        <w:t> </w:t>
      </w:r>
      <w:r>
        <w:rPr>
          <w:rFonts w:eastAsia="Helvetica"/>
        </w:rPr>
        <w:t>cent more likely to attend court (p &lt; 0.001; see</w:t>
      </w:r>
      <w:r>
        <w:rPr>
          <w:rFonts w:ascii="Times New Roman" w:eastAsiaTheme="minorHAnsi" w:hAnsi="Times New Roman"/>
          <w:color w:val="auto"/>
          <w:sz w:val="24"/>
          <w:szCs w:val="24"/>
        </w:rPr>
        <w:t xml:space="preserve"> </w:t>
      </w:r>
      <w:r>
        <w:rPr>
          <w:rFonts w:ascii="Times New Roman" w:eastAsiaTheme="minorHAnsi" w:hAnsi="Times New Roman"/>
          <w:color w:val="auto"/>
          <w:sz w:val="24"/>
          <w:szCs w:val="24"/>
        </w:rPr>
        <w:fldChar w:fldCharType="begin"/>
      </w:r>
      <w:r>
        <w:rPr>
          <w:rFonts w:ascii="Times New Roman" w:eastAsiaTheme="minorHAnsi" w:hAnsi="Times New Roman"/>
          <w:color w:val="auto"/>
          <w:sz w:val="24"/>
          <w:szCs w:val="24"/>
        </w:rPr>
        <w:instrText xml:space="preserve"> REF _Ref513791848 \h </w:instrText>
      </w:r>
      <w:r w:rsidR="004E3FC0">
        <w:rPr>
          <w:rFonts w:ascii="Times New Roman" w:eastAsiaTheme="minorHAnsi" w:hAnsi="Times New Roman"/>
          <w:color w:val="auto"/>
          <w:sz w:val="24"/>
          <w:szCs w:val="24"/>
        </w:rPr>
        <w:instrText xml:space="preserve"> \* MERGEFORMAT </w:instrText>
      </w:r>
      <w:r>
        <w:rPr>
          <w:rFonts w:ascii="Times New Roman" w:eastAsiaTheme="minorHAnsi" w:hAnsi="Times New Roman"/>
          <w:color w:val="auto"/>
          <w:sz w:val="24"/>
          <w:szCs w:val="24"/>
        </w:rPr>
      </w:r>
      <w:r>
        <w:rPr>
          <w:rFonts w:ascii="Times New Roman" w:eastAsiaTheme="minorHAnsi" w:hAnsi="Times New Roman"/>
          <w:color w:val="auto"/>
          <w:sz w:val="24"/>
          <w:szCs w:val="24"/>
        </w:rPr>
        <w:fldChar w:fldCharType="separate"/>
      </w:r>
      <w:r w:rsidR="00B01953" w:rsidRPr="004F4272">
        <w:t xml:space="preserve">Figure </w:t>
      </w:r>
      <w:r w:rsidR="00B01953">
        <w:rPr>
          <w:noProof/>
        </w:rPr>
        <w:t>10</w:t>
      </w:r>
      <w:r>
        <w:rPr>
          <w:rFonts w:ascii="Times New Roman" w:eastAsiaTheme="minorHAnsi" w:hAnsi="Times New Roman"/>
          <w:color w:val="auto"/>
          <w:sz w:val="24"/>
          <w:szCs w:val="24"/>
        </w:rPr>
        <w:fldChar w:fldCharType="end"/>
      </w:r>
      <w:r>
        <w:rPr>
          <w:rFonts w:ascii="Times New Roman" w:eastAsiaTheme="minorHAnsi" w:hAnsi="Times New Roman"/>
          <w:color w:val="auto"/>
          <w:sz w:val="24"/>
          <w:szCs w:val="24"/>
        </w:rPr>
        <w:t>).</w:t>
      </w:r>
    </w:p>
    <w:p w14:paraId="2BA0E716" w14:textId="1F904354" w:rsidR="00251049" w:rsidRDefault="00251049" w:rsidP="00BE15B4">
      <w:pPr>
        <w:rPr>
          <w:rFonts w:eastAsia="Helvetica"/>
        </w:rPr>
      </w:pPr>
      <w:r>
        <w:rPr>
          <w:rFonts w:eastAsia="Helvetica"/>
        </w:rPr>
        <w:t xml:space="preserve">Additionally, </w:t>
      </w:r>
      <w:r w:rsidR="007B133B">
        <w:rPr>
          <w:rFonts w:eastAsia="Helvetica"/>
        </w:rPr>
        <w:t>the text message</w:t>
      </w:r>
      <w:r>
        <w:rPr>
          <w:rFonts w:eastAsia="Helvetica"/>
        </w:rPr>
        <w:t xml:space="preserve"> reminder caused a significant reduction in the time taken to finalise each domestic violence court case. </w:t>
      </w:r>
      <w:r w:rsidR="007B133B">
        <w:rPr>
          <w:rFonts w:eastAsia="Helvetica"/>
        </w:rPr>
        <w:t>In the control group, it took 74</w:t>
      </w:r>
      <w:r w:rsidR="001D6EFD">
        <w:rPr>
          <w:rFonts w:eastAsia="Helvetica"/>
        </w:rPr>
        <w:t> </w:t>
      </w:r>
      <w:r w:rsidR="007B133B">
        <w:rPr>
          <w:rFonts w:eastAsia="Helvetica"/>
        </w:rPr>
        <w:t>days on average to finalise a case, while in the intervention group, it took 69</w:t>
      </w:r>
      <w:r w:rsidR="001D6EFD">
        <w:rPr>
          <w:rFonts w:eastAsia="Helvetica"/>
        </w:rPr>
        <w:t> </w:t>
      </w:r>
      <w:r w:rsidR="007B133B">
        <w:rPr>
          <w:rFonts w:eastAsia="Helvetica"/>
        </w:rPr>
        <w:t xml:space="preserve">days on average </w:t>
      </w:r>
      <w:r>
        <w:rPr>
          <w:rFonts w:eastAsia="Helvetica"/>
        </w:rPr>
        <w:t xml:space="preserve">(p=0.049). </w:t>
      </w:r>
    </w:p>
    <w:p w14:paraId="56CDF6AE" w14:textId="20EA8894" w:rsidR="00251049" w:rsidRDefault="00251049" w:rsidP="00BE15B4">
      <w:pPr>
        <w:rPr>
          <w:rFonts w:eastAsia="Helvetica"/>
        </w:rPr>
      </w:pPr>
      <w:r>
        <w:rPr>
          <w:rFonts w:eastAsia="Helvetica"/>
        </w:rPr>
        <w:lastRenderedPageBreak/>
        <w:t xml:space="preserve">We also </w:t>
      </w:r>
      <w:r w:rsidR="007B133B">
        <w:rPr>
          <w:rFonts w:eastAsia="Helvetica"/>
        </w:rPr>
        <w:t>examined</w:t>
      </w:r>
      <w:r>
        <w:rPr>
          <w:rFonts w:eastAsia="Helvetica"/>
        </w:rPr>
        <w:t xml:space="preserve"> if there was a difference in domestic violence re-offending or breaches of ADVOs between the two groups</w:t>
      </w:r>
      <w:r w:rsidR="00E908AC">
        <w:rPr>
          <w:rFonts w:eastAsia="Helvetica"/>
        </w:rPr>
        <w:t xml:space="preserve"> (see </w:t>
      </w:r>
      <w:r w:rsidR="00E908AC">
        <w:rPr>
          <w:rFonts w:eastAsia="Helvetica"/>
        </w:rPr>
        <w:fldChar w:fldCharType="begin"/>
      </w:r>
      <w:r w:rsidR="00E908AC">
        <w:rPr>
          <w:rFonts w:eastAsia="Helvetica"/>
        </w:rPr>
        <w:instrText xml:space="preserve"> REF _Ref513791860 \h </w:instrText>
      </w:r>
      <w:r w:rsidR="004E3FC0">
        <w:rPr>
          <w:rFonts w:eastAsia="Helvetica"/>
        </w:rPr>
        <w:instrText xml:space="preserve"> \* MERGEFORMAT </w:instrText>
      </w:r>
      <w:r w:rsidR="00E908AC">
        <w:rPr>
          <w:rFonts w:eastAsia="Helvetica"/>
        </w:rPr>
      </w:r>
      <w:r w:rsidR="00E908AC">
        <w:rPr>
          <w:rFonts w:eastAsia="Helvetica"/>
        </w:rPr>
        <w:fldChar w:fldCharType="separate"/>
      </w:r>
      <w:r w:rsidR="00B01953">
        <w:t xml:space="preserve">Figure </w:t>
      </w:r>
      <w:r w:rsidR="00B01953">
        <w:rPr>
          <w:noProof/>
        </w:rPr>
        <w:t>11</w:t>
      </w:r>
      <w:r w:rsidR="00E908AC">
        <w:rPr>
          <w:rFonts w:eastAsia="Helvetica"/>
        </w:rPr>
        <w:fldChar w:fldCharType="end"/>
      </w:r>
      <w:r w:rsidR="00E908AC">
        <w:rPr>
          <w:rFonts w:eastAsia="Helvetica"/>
        </w:rPr>
        <w:t>)</w:t>
      </w:r>
      <w:r>
        <w:rPr>
          <w:rFonts w:eastAsia="Helvetica"/>
        </w:rPr>
        <w:t xml:space="preserve">. </w:t>
      </w:r>
      <w:r w:rsidR="007B133B">
        <w:rPr>
          <w:rFonts w:eastAsia="Helvetica"/>
        </w:rPr>
        <w:t>In the control group, 5.7</w:t>
      </w:r>
      <w:r w:rsidR="001D6EFD">
        <w:rPr>
          <w:rFonts w:eastAsia="Helvetica"/>
        </w:rPr>
        <w:t> </w:t>
      </w:r>
      <w:r w:rsidR="007B133B">
        <w:rPr>
          <w:rFonts w:eastAsia="Helvetica"/>
        </w:rPr>
        <w:t>per</w:t>
      </w:r>
      <w:r w:rsidR="001D6EFD">
        <w:rPr>
          <w:rFonts w:eastAsia="Helvetica"/>
        </w:rPr>
        <w:t> </w:t>
      </w:r>
      <w:r w:rsidR="007B133B">
        <w:rPr>
          <w:rFonts w:eastAsia="Helvetica"/>
        </w:rPr>
        <w:t>cent of individuals committed another domestic offence within six months of their court appearance. Conversely, in the intervention group, 5</w:t>
      </w:r>
      <w:r w:rsidR="001D6EFD">
        <w:rPr>
          <w:rFonts w:eastAsia="Helvetica"/>
        </w:rPr>
        <w:t> </w:t>
      </w:r>
      <w:r w:rsidR="007B133B">
        <w:rPr>
          <w:rFonts w:eastAsia="Helvetica"/>
        </w:rPr>
        <w:t>per</w:t>
      </w:r>
      <w:r w:rsidR="001D6EFD">
        <w:rPr>
          <w:rFonts w:eastAsia="Helvetica"/>
        </w:rPr>
        <w:t> </w:t>
      </w:r>
      <w:r w:rsidR="007B133B">
        <w:rPr>
          <w:rFonts w:eastAsia="Helvetica"/>
        </w:rPr>
        <w:t>cent of individuals committed another domestic violence related offence within six months. However, it should be noted that this difference was not statistically significant (p</w:t>
      </w:r>
      <w:r w:rsidR="001D6EFD">
        <w:rPr>
          <w:rFonts w:eastAsia="Helvetica"/>
        </w:rPr>
        <w:t>=</w:t>
      </w:r>
      <w:r w:rsidR="007B133B">
        <w:rPr>
          <w:rFonts w:eastAsia="Helvetica"/>
        </w:rPr>
        <w:t>0.397). Similarly, there was no statistically significant differences between the two groups in ADVO breach rates after six months</w:t>
      </w:r>
      <w:r>
        <w:rPr>
          <w:rFonts w:eastAsia="Helvetica"/>
        </w:rPr>
        <w:t>.</w:t>
      </w:r>
    </w:p>
    <w:tbl>
      <w:tblPr>
        <w:tblW w:w="0" w:type="auto"/>
        <w:tblInd w:w="108" w:type="dxa"/>
        <w:tblCellMar>
          <w:left w:w="10" w:type="dxa"/>
          <w:right w:w="10" w:type="dxa"/>
        </w:tblCellMar>
        <w:tblLook w:val="0000" w:firstRow="0" w:lastRow="0" w:firstColumn="0" w:lastColumn="0" w:noHBand="0" w:noVBand="0"/>
      </w:tblPr>
      <w:tblGrid>
        <w:gridCol w:w="4211"/>
        <w:gridCol w:w="4184"/>
      </w:tblGrid>
      <w:tr w:rsidR="00251049" w14:paraId="61DFA0FE" w14:textId="77777777" w:rsidTr="00784A54">
        <w:trPr>
          <w:trHeight w:val="1"/>
        </w:trPr>
        <w:tc>
          <w:tcPr>
            <w:tcW w:w="4211" w:type="dxa"/>
            <w:shd w:val="clear" w:color="000000" w:fill="FFFFFF"/>
            <w:tcMar>
              <w:left w:w="108" w:type="dxa"/>
              <w:right w:w="108" w:type="dxa"/>
            </w:tcMar>
          </w:tcPr>
          <w:p w14:paraId="367D5A30" w14:textId="55826FFA" w:rsidR="00251049" w:rsidRPr="004F4272" w:rsidRDefault="004F4272" w:rsidP="004E3FC0">
            <w:pPr>
              <w:pStyle w:val="Caption"/>
              <w:jc w:val="both"/>
            </w:pPr>
            <w:bookmarkStart w:id="37" w:name="_Ref513791848"/>
            <w:r w:rsidRPr="004F4272">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10</w:t>
            </w:r>
            <w:r w:rsidR="003035A6">
              <w:rPr>
                <w:noProof/>
              </w:rPr>
              <w:fldChar w:fldCharType="end"/>
            </w:r>
            <w:bookmarkEnd w:id="37"/>
            <w:r w:rsidRPr="004F4272">
              <w:t xml:space="preserve">: </w:t>
            </w:r>
            <w:r w:rsidR="00251049" w:rsidRPr="004F4272">
              <w:rPr>
                <w:rFonts w:ascii="Helvetica" w:eastAsia="Helvetica" w:hAnsi="Helvetica" w:cs="Helvetica"/>
                <w:color w:val="117479"/>
              </w:rPr>
              <w:t>Percentage of ADVO recipients who did not attend court on their court date</w:t>
            </w:r>
          </w:p>
        </w:tc>
        <w:tc>
          <w:tcPr>
            <w:tcW w:w="4184" w:type="dxa"/>
            <w:shd w:val="clear" w:color="000000" w:fill="FFFFFF"/>
            <w:tcMar>
              <w:left w:w="108" w:type="dxa"/>
              <w:right w:w="108" w:type="dxa"/>
            </w:tcMar>
          </w:tcPr>
          <w:p w14:paraId="01F9A946" w14:textId="3C751B50" w:rsidR="00251049" w:rsidRDefault="004F4272" w:rsidP="004E3FC0">
            <w:pPr>
              <w:pStyle w:val="Caption"/>
              <w:jc w:val="both"/>
            </w:pPr>
            <w:bookmarkStart w:id="38" w:name="_Ref513791860"/>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11</w:t>
            </w:r>
            <w:r w:rsidR="003035A6">
              <w:rPr>
                <w:noProof/>
              </w:rPr>
              <w:fldChar w:fldCharType="end"/>
            </w:r>
            <w:bookmarkEnd w:id="38"/>
            <w:r>
              <w:t xml:space="preserve">: </w:t>
            </w:r>
            <w:r w:rsidR="00251049" w:rsidRPr="004F4272">
              <w:rPr>
                <w:rFonts w:ascii="Helvetica" w:eastAsia="Helvetica" w:hAnsi="Helvetica" w:cs="Helvetica"/>
                <w:color w:val="117479"/>
              </w:rPr>
              <w:t xml:space="preserve">Domestic violence assault rates (within six months </w:t>
            </w:r>
            <w:r w:rsidR="007B133B">
              <w:rPr>
                <w:rFonts w:ascii="Helvetica" w:eastAsia="Helvetica" w:hAnsi="Helvetica" w:cs="Helvetica"/>
                <w:color w:val="117479"/>
              </w:rPr>
              <w:t>of</w:t>
            </w:r>
            <w:r w:rsidR="00251049" w:rsidRPr="004F4272">
              <w:rPr>
                <w:rFonts w:ascii="Helvetica" w:eastAsia="Helvetica" w:hAnsi="Helvetica" w:cs="Helvetica"/>
                <w:color w:val="117479"/>
              </w:rPr>
              <w:t xml:space="preserve"> court date</w:t>
            </w:r>
            <w:r w:rsidR="007B133B">
              <w:rPr>
                <w:rFonts w:ascii="Helvetica" w:eastAsia="Helvetica" w:hAnsi="Helvetica" w:cs="Helvetica"/>
                <w:color w:val="117479"/>
              </w:rPr>
              <w:t>)</w:t>
            </w:r>
          </w:p>
        </w:tc>
      </w:tr>
      <w:tr w:rsidR="00251049" w14:paraId="46713F70" w14:textId="77777777" w:rsidTr="005072EF">
        <w:tblPrEx>
          <w:tblCellMar>
            <w:left w:w="108" w:type="dxa"/>
            <w:right w:w="108" w:type="dxa"/>
          </w:tblCellMar>
        </w:tblPrEx>
        <w:trPr>
          <w:trHeight w:val="1"/>
        </w:trPr>
        <w:tc>
          <w:tcPr>
            <w:tcW w:w="4211" w:type="dxa"/>
            <w:shd w:val="clear" w:color="000000" w:fill="FFFFFF"/>
          </w:tcPr>
          <w:p w14:paraId="5B3023D0" w14:textId="100A0A8C" w:rsidR="00251049" w:rsidRDefault="00A50AE4" w:rsidP="004E3FC0">
            <w:pPr>
              <w:keepNext/>
              <w:spacing w:before="240" w:after="200" w:line="240" w:lineRule="auto"/>
              <w:jc w:val="both"/>
              <w:rPr>
                <w:rFonts w:ascii="Calibri" w:eastAsia="Calibri" w:hAnsi="Calibri" w:cs="Calibri"/>
              </w:rPr>
            </w:pPr>
            <w:r>
              <w:rPr>
                <w:rFonts w:ascii="Calibri" w:eastAsia="Calibri" w:hAnsi="Calibri" w:cs="Calibri"/>
                <w:noProof/>
              </w:rPr>
              <w:drawing>
                <wp:inline distT="0" distB="0" distL="0" distR="0" wp14:anchorId="6C434864" wp14:editId="06F747C4">
                  <wp:extent cx="2501900" cy="2755900"/>
                  <wp:effectExtent l="0" t="0" r="0" b="0"/>
                  <wp:docPr id="125" name="Picture 125"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ig10.png"/>
                          <pic:cNvPicPr/>
                        </pic:nvPicPr>
                        <pic:blipFill>
                          <a:blip r:embed="rId60">
                            <a:extLst>
                              <a:ext uri="{28A0092B-C50C-407E-A947-70E740481C1C}">
                                <a14:useLocalDpi xmlns:a14="http://schemas.microsoft.com/office/drawing/2010/main" val="0"/>
                              </a:ext>
                            </a:extLst>
                          </a:blip>
                          <a:stretch>
                            <a:fillRect/>
                          </a:stretch>
                        </pic:blipFill>
                        <pic:spPr>
                          <a:xfrm>
                            <a:off x="0" y="0"/>
                            <a:ext cx="2501900" cy="2755900"/>
                          </a:xfrm>
                          <a:prstGeom prst="rect">
                            <a:avLst/>
                          </a:prstGeom>
                        </pic:spPr>
                      </pic:pic>
                    </a:graphicData>
                  </a:graphic>
                </wp:inline>
              </w:drawing>
            </w:r>
          </w:p>
        </w:tc>
        <w:tc>
          <w:tcPr>
            <w:tcW w:w="4184" w:type="dxa"/>
            <w:shd w:val="clear" w:color="000000" w:fill="FFFFFF"/>
          </w:tcPr>
          <w:p w14:paraId="60DAD6D9" w14:textId="75701F29" w:rsidR="00251049" w:rsidRDefault="00A50AE4" w:rsidP="004E3FC0">
            <w:pPr>
              <w:keepNext/>
              <w:spacing w:before="240" w:after="200" w:line="240" w:lineRule="auto"/>
              <w:jc w:val="both"/>
              <w:rPr>
                <w:rFonts w:ascii="Calibri" w:eastAsia="Calibri" w:hAnsi="Calibri" w:cs="Calibri"/>
              </w:rPr>
            </w:pPr>
            <w:r>
              <w:rPr>
                <w:rFonts w:ascii="Calibri" w:eastAsia="Calibri" w:hAnsi="Calibri" w:cs="Calibri"/>
                <w:noProof/>
              </w:rPr>
              <w:drawing>
                <wp:inline distT="0" distB="0" distL="0" distR="0" wp14:anchorId="69684F5E" wp14:editId="0B35CB71">
                  <wp:extent cx="2501900" cy="2755900"/>
                  <wp:effectExtent l="0" t="0" r="0" b="0"/>
                  <wp:docPr id="124" name="Picture 124"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Fig11.png"/>
                          <pic:cNvPicPr/>
                        </pic:nvPicPr>
                        <pic:blipFill>
                          <a:blip r:embed="rId61">
                            <a:extLst>
                              <a:ext uri="{28A0092B-C50C-407E-A947-70E740481C1C}">
                                <a14:useLocalDpi xmlns:a14="http://schemas.microsoft.com/office/drawing/2010/main" val="0"/>
                              </a:ext>
                            </a:extLst>
                          </a:blip>
                          <a:stretch>
                            <a:fillRect/>
                          </a:stretch>
                        </pic:blipFill>
                        <pic:spPr>
                          <a:xfrm>
                            <a:off x="0" y="0"/>
                            <a:ext cx="2501900" cy="2755900"/>
                          </a:xfrm>
                          <a:prstGeom prst="rect">
                            <a:avLst/>
                          </a:prstGeom>
                        </pic:spPr>
                      </pic:pic>
                    </a:graphicData>
                  </a:graphic>
                </wp:inline>
              </w:drawing>
            </w:r>
          </w:p>
        </w:tc>
      </w:tr>
    </w:tbl>
    <w:tbl>
      <w:tblPr>
        <w:tblStyle w:val="TableGrid"/>
        <w:tblW w:w="0" w:type="auto"/>
        <w:tblLook w:val="04A0" w:firstRow="1" w:lastRow="0" w:firstColumn="1" w:lastColumn="0" w:noHBand="0" w:noVBand="1"/>
      </w:tblPr>
      <w:tblGrid>
        <w:gridCol w:w="8493"/>
      </w:tblGrid>
      <w:tr w:rsidR="0062070D" w14:paraId="773F86CA" w14:textId="77777777" w:rsidTr="00057568">
        <w:tc>
          <w:tcPr>
            <w:tcW w:w="8493" w:type="dxa"/>
            <w:tcBorders>
              <w:left w:val="nil"/>
              <w:right w:val="nil"/>
            </w:tcBorders>
            <w:shd w:val="clear" w:color="auto" w:fill="F2F2F2" w:themeFill="background1" w:themeFillShade="F2"/>
          </w:tcPr>
          <w:p w14:paraId="1A8B6B84" w14:textId="77777777" w:rsidR="0062070D" w:rsidRPr="0062070D" w:rsidRDefault="0062070D" w:rsidP="0062070D">
            <w:pPr>
              <w:rPr>
                <w:rStyle w:val="Emphasis"/>
                <w:b/>
              </w:rPr>
            </w:pPr>
            <w:r w:rsidRPr="0062070D">
              <w:rPr>
                <w:rStyle w:val="Emphasis"/>
                <w:b/>
              </w:rPr>
              <w:t>Feedback from defendants:</w:t>
            </w:r>
          </w:p>
          <w:p w14:paraId="55494742" w14:textId="294AD3E4" w:rsidR="0062070D" w:rsidRPr="0062070D" w:rsidRDefault="0062070D" w:rsidP="00057568">
            <w:pPr>
              <w:rPr>
                <w:rStyle w:val="Emphasis"/>
                <w:i w:val="0"/>
                <w:iCs w:val="0"/>
              </w:rPr>
            </w:pPr>
            <w:r w:rsidRPr="0062070D">
              <w:rPr>
                <w:rStyle w:val="Emphasis"/>
                <w:b/>
              </w:rPr>
              <w:t>During the trial, defendants were able to respond to the text messages. We did this first to ensure the message did not escalate issues and second to confirm that the messages were being received. A number of defendants replied to the text message, expressing their thanks for the reminder.</w:t>
            </w:r>
          </w:p>
        </w:tc>
      </w:tr>
    </w:tbl>
    <w:p w14:paraId="40DE890B" w14:textId="4636DA78" w:rsidR="00251049" w:rsidRPr="0004155D" w:rsidRDefault="00251049" w:rsidP="00D33213">
      <w:pPr>
        <w:pStyle w:val="h4"/>
      </w:pPr>
      <w:r w:rsidRPr="0004155D">
        <w:t xml:space="preserve">Future opportunities </w:t>
      </w:r>
    </w:p>
    <w:p w14:paraId="343C51CC" w14:textId="77777777" w:rsidR="00251049" w:rsidRDefault="005065DD" w:rsidP="00BE15B4">
      <w:pPr>
        <w:rPr>
          <w:rFonts w:eastAsia="Helvetica"/>
        </w:rPr>
      </w:pPr>
      <w:r>
        <w:rPr>
          <w:rFonts w:eastAsia="Helvetica"/>
        </w:rPr>
        <w:t xml:space="preserve">We are currently working with the </w:t>
      </w:r>
      <w:r w:rsidR="00571D55">
        <w:rPr>
          <w:rFonts w:eastAsia="Helvetica"/>
        </w:rPr>
        <w:t xml:space="preserve">NSW </w:t>
      </w:r>
      <w:r>
        <w:rPr>
          <w:rFonts w:eastAsia="Helvetica"/>
        </w:rPr>
        <w:t xml:space="preserve">Department of Justice to </w:t>
      </w:r>
      <w:r w:rsidR="007B133B">
        <w:rPr>
          <w:rFonts w:eastAsia="Helvetica"/>
        </w:rPr>
        <w:t>consider other</w:t>
      </w:r>
      <w:r>
        <w:rPr>
          <w:rFonts w:eastAsia="Helvetica"/>
        </w:rPr>
        <w:t xml:space="preserve"> potential applications of the intervention. </w:t>
      </w:r>
    </w:p>
    <w:p w14:paraId="3CE5A632" w14:textId="02A308EA" w:rsidR="00905796" w:rsidRDefault="00905796" w:rsidP="00BE15B4">
      <w:pPr>
        <w:rPr>
          <w:rFonts w:eastAsia="Helvetica"/>
        </w:rPr>
      </w:pPr>
    </w:p>
    <w:p w14:paraId="3015DFE8" w14:textId="39842EC9" w:rsidR="00905796" w:rsidRDefault="00BE15B4">
      <w:pPr>
        <w:keepLines w:val="0"/>
        <w:spacing w:before="0" w:after="0" w:line="240" w:lineRule="auto"/>
        <w:rPr>
          <w:rFonts w:eastAsia="Helvetica"/>
        </w:rPr>
      </w:pPr>
      <w:r>
        <w:rPr>
          <w:rFonts w:eastAsia="Helvetica"/>
        </w:rPr>
        <w:br w:type="page"/>
      </w:r>
    </w:p>
    <w:p w14:paraId="1F03B78D" w14:textId="3EB4E03B" w:rsidR="00785431" w:rsidRPr="00785431" w:rsidRDefault="00785431" w:rsidP="00785431">
      <w:pPr>
        <w:pStyle w:val="Heading3"/>
        <w:framePr w:wrap="around"/>
        <w:spacing w:after="240"/>
        <w:ind w:right="-13"/>
        <w:rPr>
          <w:bCs/>
        </w:rPr>
      </w:pPr>
      <w:r w:rsidRPr="00785431">
        <w:rPr>
          <w:bCs/>
        </w:rPr>
        <w:lastRenderedPageBreak/>
        <w:t>Improving information sharing in the family violence system</w:t>
      </w:r>
    </w:p>
    <w:tbl>
      <w:tblPr>
        <w:tblStyle w:val="TableGrid"/>
        <w:tblpPr w:leftFromText="180" w:rightFromText="180" w:vertAnchor="page" w:horzAnchor="margin" w:tblpY="5343"/>
        <w:tblW w:w="9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mproving information sharing in the family violence system"/>
        <w:tblDescription w:val="Text box describing a trial in Victoria to help share information on family violence, in order to protect victims and survivors. "/>
      </w:tblPr>
      <w:tblGrid>
        <w:gridCol w:w="9162"/>
      </w:tblGrid>
      <w:tr w:rsidR="00873964" w14:paraId="3CE16746" w14:textId="77777777" w:rsidTr="00EC4EFD">
        <w:trPr>
          <w:trHeight w:val="6123"/>
        </w:trPr>
        <w:tc>
          <w:tcPr>
            <w:tcW w:w="9162" w:type="dxa"/>
            <w:shd w:val="clear" w:color="auto" w:fill="D9D9D9" w:themeFill="background1" w:themeFillShade="D9"/>
          </w:tcPr>
          <w:p w14:paraId="710584D0" w14:textId="77777777" w:rsidR="00873964" w:rsidRPr="00344692" w:rsidRDefault="00873964" w:rsidP="00785431">
            <w:pPr>
              <w:spacing w:after="240" w:line="320" w:lineRule="auto"/>
              <w:rPr>
                <w:rFonts w:ascii="Helvetica" w:eastAsia="Helvetica" w:hAnsi="Helvetica" w:cs="Helvetica"/>
                <w:color w:val="3F3F3F"/>
                <w:sz w:val="24"/>
              </w:rPr>
            </w:pPr>
            <w:bookmarkStart w:id="39" w:name="_Toc515874435"/>
            <w:bookmarkStart w:id="40" w:name="_Toc515874506"/>
            <w:bookmarkStart w:id="41" w:name="_Toc515874676"/>
            <w:r w:rsidRPr="00344692">
              <w:rPr>
                <w:rFonts w:ascii="Helvetica" w:eastAsia="Helvetica" w:hAnsi="Helvetica" w:cs="Helvetica"/>
                <w:color w:val="3F3F3F"/>
                <w:sz w:val="24"/>
              </w:rPr>
              <w:t xml:space="preserve">Victoria’s Royal Commission into Family Violence described a family violence system in which information was not routinely or systematically shared, potentially exposing victim survivors to risk of further harm. </w:t>
            </w:r>
          </w:p>
          <w:p w14:paraId="7BC50E4E" w14:textId="084CD675" w:rsidR="00873964" w:rsidRDefault="00873964"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To understand how contextual and psychological factors affect the sharing and accessing of information by family violence workers, we conducted:</w:t>
            </w:r>
          </w:p>
          <w:p w14:paraId="51C2B228" w14:textId="1BC0FAE8" w:rsidR="00873964" w:rsidRPr="00344692" w:rsidRDefault="00873964" w:rsidP="00785431">
            <w:pPr>
              <w:numPr>
                <w:ilvl w:val="0"/>
                <w:numId w:val="12"/>
              </w:numPr>
              <w:spacing w:before="0" w:after="240" w:line="320" w:lineRule="auto"/>
              <w:ind w:left="720" w:hanging="360"/>
              <w:rPr>
                <w:rFonts w:ascii="Helvetica" w:eastAsia="Helvetica" w:hAnsi="Helvetica" w:cs="Helvetica"/>
                <w:color w:val="3F3F3F"/>
                <w:sz w:val="24"/>
              </w:rPr>
            </w:pPr>
            <w:r w:rsidRPr="00344692">
              <w:rPr>
                <w:rFonts w:ascii="Helvetica" w:eastAsia="Helvetica" w:hAnsi="Helvetica" w:cs="Helvetica"/>
                <w:color w:val="3F3F3F"/>
                <w:sz w:val="24"/>
              </w:rPr>
              <w:t>over 270 hours of ethnographic field work</w:t>
            </w:r>
          </w:p>
          <w:p w14:paraId="3539910F" w14:textId="77777777" w:rsidR="00873964" w:rsidRPr="00344692" w:rsidRDefault="00873964" w:rsidP="00785431">
            <w:pPr>
              <w:numPr>
                <w:ilvl w:val="0"/>
                <w:numId w:val="12"/>
              </w:numPr>
              <w:spacing w:before="0" w:after="240" w:line="320" w:lineRule="auto"/>
              <w:ind w:left="720" w:hanging="360"/>
              <w:jc w:val="both"/>
              <w:rPr>
                <w:rFonts w:ascii="Helvetica" w:eastAsia="Helvetica" w:hAnsi="Helvetica" w:cs="Helvetica"/>
                <w:color w:val="3F3F3F"/>
                <w:sz w:val="24"/>
              </w:rPr>
            </w:pPr>
            <w:r w:rsidRPr="00344692">
              <w:rPr>
                <w:rFonts w:ascii="Helvetica" w:eastAsia="Helvetica" w:hAnsi="Helvetica" w:cs="Helvetica"/>
                <w:color w:val="3F3F3F"/>
                <w:sz w:val="24"/>
              </w:rPr>
              <w:t>a broad review of the literature on behavioural science and information sharing</w:t>
            </w:r>
          </w:p>
          <w:p w14:paraId="7C7EAED5" w14:textId="2FF49FEA" w:rsidR="00873964" w:rsidRPr="00344692" w:rsidRDefault="00873964" w:rsidP="00785431">
            <w:pPr>
              <w:numPr>
                <w:ilvl w:val="0"/>
                <w:numId w:val="12"/>
              </w:numPr>
              <w:spacing w:before="0" w:after="240" w:line="320" w:lineRule="auto"/>
              <w:ind w:left="720" w:hanging="360"/>
              <w:rPr>
                <w:rFonts w:ascii="Helvetica" w:eastAsia="Helvetica" w:hAnsi="Helvetica" w:cs="Helvetica"/>
                <w:color w:val="3F3F3F"/>
                <w:sz w:val="24"/>
              </w:rPr>
            </w:pPr>
            <w:r w:rsidRPr="00344692">
              <w:rPr>
                <w:rFonts w:ascii="Helvetica" w:eastAsia="Helvetica" w:hAnsi="Helvetica" w:cs="Helvetica"/>
                <w:color w:val="3F3F3F"/>
                <w:sz w:val="24"/>
              </w:rPr>
              <w:t xml:space="preserve">an in-depth investigation of Royal Commission material, including submissions, testimonies and witness statements. </w:t>
            </w:r>
          </w:p>
          <w:p w14:paraId="23061F09" w14:textId="74EB1320" w:rsidR="00873964" w:rsidRPr="004E3FC0" w:rsidRDefault="00873964"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Our work revealed incorporating behavioural insights upstream in the policymaking process could generate improvements broader than those that could be achieved by optimising the delivery of individual services alone.</w:t>
            </w:r>
          </w:p>
        </w:tc>
      </w:tr>
    </w:tbl>
    <w:bookmarkEnd w:id="39"/>
    <w:bookmarkEnd w:id="40"/>
    <w:bookmarkEnd w:id="41"/>
    <w:p w14:paraId="29E49CA7" w14:textId="2D6967DF" w:rsidR="00EC4EFD" w:rsidRDefault="005A2A67" w:rsidP="005A2A67">
      <w:pPr>
        <w:pStyle w:val="h4"/>
      </w:pPr>
      <w:r w:rsidRPr="004E3FC0">
        <w:t>Abstract</w:t>
      </w:r>
    </w:p>
    <w:p w14:paraId="792EC1EF" w14:textId="51B03A92" w:rsidR="00016AA0" w:rsidRPr="00EC4EFD" w:rsidRDefault="00EC4EFD" w:rsidP="00EC4EFD">
      <w:pPr>
        <w:pStyle w:val="h4"/>
      </w:pPr>
      <w:r>
        <w:rPr>
          <w:noProof/>
        </w:rPr>
        <w:drawing>
          <wp:anchor distT="0" distB="0" distL="114300" distR="114300" simplePos="0" relativeHeight="251793920" behindDoc="0" locked="0" layoutInCell="1" allowOverlap="1" wp14:anchorId="302BA701" wp14:editId="15C001B0">
            <wp:simplePos x="0" y="0"/>
            <wp:positionH relativeFrom="column">
              <wp:posOffset>1810444</wp:posOffset>
            </wp:positionH>
            <wp:positionV relativeFrom="paragraph">
              <wp:posOffset>4898862</wp:posOffset>
            </wp:positionV>
            <wp:extent cx="2583815" cy="359410"/>
            <wp:effectExtent l="0" t="0" r="6985" b="2540"/>
            <wp:wrapNone/>
            <wp:docPr id="746" name="Picture 746" descr="Behavioural Insights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 Unit logo (purp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3815"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712">
        <w:t>Project by</w:t>
      </w:r>
      <w:r w:rsidR="00016AA0">
        <w:rPr>
          <w:color w:val="3F3F3F"/>
        </w:rPr>
        <w:br w:type="page"/>
      </w:r>
    </w:p>
    <w:p w14:paraId="11D2ED21" w14:textId="77777777" w:rsidR="00251049" w:rsidRPr="0004155D" w:rsidRDefault="00251049" w:rsidP="00D33213">
      <w:pPr>
        <w:pStyle w:val="h4"/>
      </w:pPr>
      <w:r w:rsidRPr="0004155D">
        <w:lastRenderedPageBreak/>
        <w:t xml:space="preserve">The policy problem </w:t>
      </w:r>
    </w:p>
    <w:p w14:paraId="63DFD5D7" w14:textId="155550C0" w:rsidR="00251049" w:rsidRDefault="00251049" w:rsidP="00BE15B4">
      <w:pPr>
        <w:rPr>
          <w:rFonts w:eastAsia="Helvetica"/>
        </w:rPr>
      </w:pPr>
      <w:r>
        <w:rPr>
          <w:rFonts w:eastAsia="Helvetica"/>
        </w:rPr>
        <w:t xml:space="preserve">Information sharing in the family violence system is essential </w:t>
      </w:r>
      <w:r w:rsidR="00C571C6">
        <w:rPr>
          <w:rFonts w:eastAsia="Helvetica"/>
        </w:rPr>
        <w:t>if</w:t>
      </w:r>
      <w:r>
        <w:rPr>
          <w:rFonts w:eastAsia="Helvetica"/>
        </w:rPr>
        <w:t xml:space="preserve"> victim survivors </w:t>
      </w:r>
      <w:r w:rsidR="00C571C6">
        <w:rPr>
          <w:rFonts w:eastAsia="Helvetica"/>
        </w:rPr>
        <w:t xml:space="preserve">are to be kept </w:t>
      </w:r>
      <w:r>
        <w:rPr>
          <w:rFonts w:eastAsia="Helvetica"/>
        </w:rPr>
        <w:t xml:space="preserve">safe and perpetrators </w:t>
      </w:r>
      <w:r w:rsidR="00C571C6">
        <w:rPr>
          <w:rFonts w:eastAsia="Helvetica"/>
        </w:rPr>
        <w:t>are to be held to</w:t>
      </w:r>
      <w:r>
        <w:rPr>
          <w:rFonts w:eastAsia="Helvetica"/>
        </w:rPr>
        <w:t xml:space="preserve"> account. Victoria’s Royal Commission into Family Violence found </w:t>
      </w:r>
      <w:r w:rsidR="00C571C6">
        <w:rPr>
          <w:rFonts w:eastAsia="Helvetica"/>
        </w:rPr>
        <w:t xml:space="preserve">that </w:t>
      </w:r>
      <w:r>
        <w:rPr>
          <w:rFonts w:eastAsia="Helvetica"/>
        </w:rPr>
        <w:t>information is not routinely or systematically shared in the family violence system</w:t>
      </w:r>
      <w:r w:rsidR="00C571C6">
        <w:rPr>
          <w:rFonts w:eastAsia="Helvetica"/>
        </w:rPr>
        <w:t xml:space="preserve">. This exposes </w:t>
      </w:r>
      <w:r>
        <w:rPr>
          <w:rFonts w:eastAsia="Helvetica"/>
        </w:rPr>
        <w:t xml:space="preserve">victim survivors to risk of further harm. </w:t>
      </w:r>
    </w:p>
    <w:p w14:paraId="1D1B848E" w14:textId="77777777" w:rsidR="00251049" w:rsidRPr="00D33213" w:rsidRDefault="00251049" w:rsidP="00D33213">
      <w:pPr>
        <w:pStyle w:val="h4"/>
      </w:pPr>
      <w:r w:rsidRPr="00D33213">
        <w:t>Our findings and learnings</w:t>
      </w:r>
    </w:p>
    <w:p w14:paraId="43B90132" w14:textId="2A8124D0" w:rsidR="00251049" w:rsidRDefault="00251049" w:rsidP="00BE15B4">
      <w:pPr>
        <w:rPr>
          <w:rFonts w:eastAsia="Helvetica"/>
        </w:rPr>
      </w:pPr>
      <w:r>
        <w:rPr>
          <w:rFonts w:eastAsia="Helvetica"/>
        </w:rPr>
        <w:t xml:space="preserve">We drew on ethnographic field research </w:t>
      </w:r>
      <w:r w:rsidR="00C52A19">
        <w:rPr>
          <w:rFonts w:eastAsia="Helvetica"/>
        </w:rPr>
        <w:t>conducted at</w:t>
      </w:r>
      <w:r>
        <w:rPr>
          <w:rFonts w:eastAsia="Helvetica"/>
        </w:rPr>
        <w:t xml:space="preserve"> Berry Street (a family violence service organisation) and four </w:t>
      </w:r>
      <w:r w:rsidR="00C52A19">
        <w:rPr>
          <w:rFonts w:eastAsia="Helvetica"/>
        </w:rPr>
        <w:t xml:space="preserve">locations of the </w:t>
      </w:r>
      <w:r>
        <w:rPr>
          <w:rFonts w:eastAsia="Helvetica"/>
        </w:rPr>
        <w:t xml:space="preserve">Magistrates’ </w:t>
      </w:r>
      <w:r w:rsidR="00C52A19">
        <w:rPr>
          <w:rFonts w:eastAsia="Helvetica"/>
        </w:rPr>
        <w:t>Court</w:t>
      </w:r>
      <w:r>
        <w:rPr>
          <w:rFonts w:eastAsia="Helvetica"/>
        </w:rPr>
        <w:t xml:space="preserve"> of Victoria,</w:t>
      </w:r>
      <w:r w:rsidR="00C571C6">
        <w:rPr>
          <w:rFonts w:eastAsia="Helvetica"/>
        </w:rPr>
        <w:t xml:space="preserve"> the</w:t>
      </w:r>
      <w:r>
        <w:rPr>
          <w:rFonts w:eastAsia="Helvetica"/>
        </w:rPr>
        <w:t xml:space="preserve"> literature and material collected for the Royal Commission, including submissions, testimonies and witness statements. </w:t>
      </w:r>
    </w:p>
    <w:p w14:paraId="2B6FAB30" w14:textId="5AFE8C7E" w:rsidR="00251049" w:rsidRDefault="00251049" w:rsidP="00BE15B4">
      <w:pPr>
        <w:rPr>
          <w:rFonts w:eastAsia="Helvetica"/>
        </w:rPr>
      </w:pPr>
      <w:r>
        <w:rPr>
          <w:rFonts w:eastAsia="Helvetica"/>
        </w:rPr>
        <w:t xml:space="preserve">The key findings are </w:t>
      </w:r>
      <w:r w:rsidR="00C571C6">
        <w:rPr>
          <w:rFonts w:eastAsia="Helvetica"/>
        </w:rPr>
        <w:t xml:space="preserve">outlined </w:t>
      </w:r>
      <w:r>
        <w:rPr>
          <w:rFonts w:eastAsia="Helvetica"/>
        </w:rPr>
        <w:t>below.</w:t>
      </w:r>
    </w:p>
    <w:p w14:paraId="760729F9" w14:textId="2D2B9738" w:rsidR="00251049" w:rsidRDefault="00251049" w:rsidP="00D33213">
      <w:pPr>
        <w:pStyle w:val="h5"/>
      </w:pPr>
      <w:r w:rsidRPr="0004155D">
        <w:t xml:space="preserve">Information sharing is an end as well as a means </w:t>
      </w:r>
    </w:p>
    <w:p w14:paraId="3D76B547" w14:textId="44779284" w:rsidR="00C571C6" w:rsidRDefault="00C571C6" w:rsidP="00BE15B4">
      <w:pPr>
        <w:rPr>
          <w:rFonts w:eastAsia="Helvetica"/>
        </w:rPr>
      </w:pPr>
      <w:r>
        <w:rPr>
          <w:rFonts w:eastAsia="Helvetica"/>
        </w:rPr>
        <w:t xml:space="preserve">Many workers’ approaches to information sharing are driven by an aspiration to empower victim survivors and hold perpetrators to account. Thus, modifying the legal requirements related to obtaining victim survivors’ consent to share information will not necessarily increase the likelihood workers will share that information. This </w:t>
      </w:r>
      <w:r w:rsidR="00602A0F">
        <w:rPr>
          <w:rFonts w:eastAsia="Helvetica"/>
        </w:rPr>
        <w:t xml:space="preserve">is </w:t>
      </w:r>
      <w:r>
        <w:rPr>
          <w:rFonts w:eastAsia="Helvetica"/>
        </w:rPr>
        <w:t>a critical insight, as policy often uses legislation to drive behavioural changes.</w:t>
      </w:r>
    </w:p>
    <w:p w14:paraId="1E0003DA" w14:textId="144B2E1D" w:rsidR="00C52A19" w:rsidRDefault="00C52A19" w:rsidP="0062070D"/>
    <w:tbl>
      <w:tblPr>
        <w:tblStyle w:val="TableGrid"/>
        <w:tblW w:w="0" w:type="auto"/>
        <w:tblLook w:val="04A0" w:firstRow="1" w:lastRow="0" w:firstColumn="1" w:lastColumn="0" w:noHBand="0" w:noVBand="1"/>
      </w:tblPr>
      <w:tblGrid>
        <w:gridCol w:w="8493"/>
      </w:tblGrid>
      <w:tr w:rsidR="0062070D" w14:paraId="1212B35E" w14:textId="77777777" w:rsidTr="00057568">
        <w:tc>
          <w:tcPr>
            <w:tcW w:w="8493" w:type="dxa"/>
            <w:tcBorders>
              <w:left w:val="nil"/>
              <w:right w:val="nil"/>
            </w:tcBorders>
            <w:shd w:val="clear" w:color="auto" w:fill="F2F2F2" w:themeFill="background1" w:themeFillShade="F2"/>
          </w:tcPr>
          <w:p w14:paraId="3D4B6FF4" w14:textId="4B317BA0" w:rsidR="0062070D" w:rsidRPr="0062070D" w:rsidRDefault="00C52A19" w:rsidP="00057568">
            <w:pPr>
              <w:rPr>
                <w:rStyle w:val="Emphasis"/>
                <w:b/>
                <w:i w:val="0"/>
                <w:iCs w:val="0"/>
              </w:rPr>
            </w:pPr>
            <w:r w:rsidRPr="0062070D">
              <w:rPr>
                <w:b/>
                <w:i/>
              </w:rPr>
              <w:t>Seeking a victim survivor’s consent to share information says to the victim survivor:</w:t>
            </w:r>
            <w:r w:rsidRPr="0062070D">
              <w:rPr>
                <w:b/>
                <w:i/>
              </w:rPr>
              <w:br/>
              <w:t>“</w:t>
            </w:r>
            <w:r w:rsidRPr="0062070D">
              <w:rPr>
                <w:b/>
              </w:rPr>
              <w:t>You</w:t>
            </w:r>
            <w:r w:rsidRPr="0062070D">
              <w:rPr>
                <w:b/>
                <w:i/>
              </w:rPr>
              <w:t xml:space="preserve"> decide how your information is shared. </w:t>
            </w:r>
            <w:r w:rsidRPr="0062070D">
              <w:rPr>
                <w:b/>
              </w:rPr>
              <w:t>You</w:t>
            </w:r>
            <w:r w:rsidRPr="0062070D">
              <w:rPr>
                <w:b/>
                <w:i/>
              </w:rPr>
              <w:t xml:space="preserve"> have a choice”</w:t>
            </w:r>
          </w:p>
        </w:tc>
      </w:tr>
    </w:tbl>
    <w:p w14:paraId="32B6326B" w14:textId="77777777" w:rsidR="0062070D" w:rsidRPr="0052273B" w:rsidRDefault="0062070D" w:rsidP="0062070D"/>
    <w:p w14:paraId="008A8236" w14:textId="0666E168" w:rsidR="00251049" w:rsidRPr="0004155D" w:rsidRDefault="00251049" w:rsidP="00D33213">
      <w:pPr>
        <w:pStyle w:val="h5"/>
      </w:pPr>
      <w:r w:rsidRPr="0004155D">
        <w:t xml:space="preserve">Cognitive biases affect </w:t>
      </w:r>
      <w:r w:rsidR="00C571C6">
        <w:t>the</w:t>
      </w:r>
      <w:r w:rsidRPr="0004155D">
        <w:t xml:space="preserve"> information sought</w:t>
      </w:r>
    </w:p>
    <w:p w14:paraId="04ED5DBF" w14:textId="77777777" w:rsidR="00C571C6" w:rsidRDefault="00C571C6" w:rsidP="00BE15B4">
      <w:pPr>
        <w:rPr>
          <w:rFonts w:eastAsia="Helvetica"/>
        </w:rPr>
      </w:pPr>
      <w:r>
        <w:rPr>
          <w:rFonts w:eastAsia="Helvetica"/>
        </w:rPr>
        <w:t>Workers in the family violence system operate in a time-poor environment and rely extensively on memory to recall their clients’ details. With demands for family violence services increasing, it is likely that this tax on mental bandwidth will grow over time.</w:t>
      </w:r>
    </w:p>
    <w:p w14:paraId="21321E7D" w14:textId="5F54CFAE" w:rsidR="00C571C6" w:rsidRDefault="00C571C6" w:rsidP="00BE15B4">
      <w:pPr>
        <w:rPr>
          <w:rFonts w:eastAsia="Helvetica"/>
        </w:rPr>
      </w:pPr>
      <w:r>
        <w:rPr>
          <w:rFonts w:eastAsia="Helvetica"/>
        </w:rPr>
        <w:t xml:space="preserve">Further, when completing risk assessments, court staff often seek additional information (e.g., information about a perpetrator’s criminal history), if factors arise to suggest that the perpetrator is likely </w:t>
      </w:r>
      <w:r w:rsidR="009A7C50" w:rsidRPr="00673236">
        <w:rPr>
          <w:rFonts w:eastAsia="Helvetica"/>
        </w:rPr>
        <w:t>a</w:t>
      </w:r>
      <w:r w:rsidR="009A7C50">
        <w:rPr>
          <w:rFonts w:eastAsia="Helvetica"/>
        </w:rPr>
        <w:t xml:space="preserve"> </w:t>
      </w:r>
      <w:r>
        <w:rPr>
          <w:rFonts w:eastAsia="Helvetica"/>
        </w:rPr>
        <w:t>high risk to offend. However, such an approach is circular, as the worker is using a risk assessment to determine whether to gather additional information that should be used to inform the risk assessment.</w:t>
      </w:r>
    </w:p>
    <w:p w14:paraId="1AC85A6F" w14:textId="6C0043B0" w:rsidR="00C571C6" w:rsidRDefault="00C571C6" w:rsidP="00BE15B4">
      <w:pPr>
        <w:rPr>
          <w:rFonts w:eastAsia="Helvetica"/>
        </w:rPr>
      </w:pPr>
      <w:r>
        <w:rPr>
          <w:rFonts w:eastAsia="Helvetica"/>
        </w:rPr>
        <w:t>Such system design failures have the potential to manifest in confirmation bias. Increasing policymakers’ awareness of this potential is an important step in building the case that workers should have systematic access to risk-related information (e.g., perpetrators’ criminal histories).</w:t>
      </w:r>
    </w:p>
    <w:p w14:paraId="61319C9D" w14:textId="77777777" w:rsidR="00602A0F" w:rsidRDefault="00602A0F" w:rsidP="00BE15B4">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0D391B39" w14:textId="77777777" w:rsidTr="00CE3925">
        <w:trPr>
          <w:trHeight w:val="1"/>
        </w:trPr>
        <w:tc>
          <w:tcPr>
            <w:tcW w:w="5000" w:type="pct"/>
            <w:shd w:val="clear" w:color="auto" w:fill="F2F2F2"/>
            <w:tcMar>
              <w:left w:w="108" w:type="dxa"/>
              <w:right w:w="108" w:type="dxa"/>
            </w:tcMar>
          </w:tcPr>
          <w:p w14:paraId="32695383" w14:textId="04937EEB" w:rsidR="00251049" w:rsidRDefault="00CE3925"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4720" behindDoc="1" locked="0" layoutInCell="1" allowOverlap="1" wp14:anchorId="4756E102" wp14:editId="1AE0E499">
                  <wp:simplePos x="0" y="0"/>
                  <wp:positionH relativeFrom="margin">
                    <wp:posOffset>-11017</wp:posOffset>
                  </wp:positionH>
                  <wp:positionV relativeFrom="paragraph">
                    <wp:posOffset>32109</wp:posOffset>
                  </wp:positionV>
                  <wp:extent cx="370800" cy="370800"/>
                  <wp:effectExtent l="0" t="0" r="0" b="3175"/>
                  <wp:wrapTight wrapText="bothSides">
                    <wp:wrapPolygon edited="0">
                      <wp:start x="0" y="0"/>
                      <wp:lineTo x="0" y="20007"/>
                      <wp:lineTo x="20007" y="20007"/>
                      <wp:lineTo x="20007" y="0"/>
                      <wp:lineTo x="0" y="0"/>
                    </wp:wrapPolygon>
                  </wp:wrapTight>
                  <wp:docPr id="46" name="Picture 46"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0DB5A9A0" w14:textId="6E163D35" w:rsidR="00251049" w:rsidRPr="00C571C6" w:rsidRDefault="00251049" w:rsidP="007A3700">
            <w:pPr>
              <w:rPr>
                <w:rFonts w:ascii="Times New Roman" w:eastAsiaTheme="minorHAnsi" w:hAnsi="Times New Roman"/>
                <w:color w:val="auto"/>
                <w:sz w:val="24"/>
                <w:szCs w:val="24"/>
              </w:rPr>
            </w:pPr>
            <w:r w:rsidRPr="007557EC">
              <w:rPr>
                <w:rFonts w:eastAsia="Helvetica"/>
                <w:b/>
                <w:color w:val="auto"/>
              </w:rPr>
              <w:t>Confirmation bias</w:t>
            </w:r>
            <w:r w:rsidRPr="007557EC">
              <w:rPr>
                <w:rFonts w:eastAsia="Helvetica"/>
                <w:color w:val="auto"/>
              </w:rPr>
              <w:t xml:space="preserve"> </w:t>
            </w:r>
            <w:r w:rsidR="00C571C6">
              <w:rPr>
                <w:rFonts w:eastAsia="Helvetica"/>
              </w:rPr>
              <w:t>refers to</w:t>
            </w:r>
            <w:r>
              <w:rPr>
                <w:rFonts w:eastAsia="Helvetica"/>
              </w:rPr>
              <w:t xml:space="preserve"> the tendency to search for, focus on or remember information in a way that confirms our own preconceptions.</w:t>
            </w:r>
            <w:r w:rsidR="00C571C6">
              <w:rPr>
                <w:rStyle w:val="FootnoteReference"/>
                <w:rFonts w:eastAsia="Helvetica" w:cs="Helvetica"/>
                <w:color w:val="3F3F3F"/>
              </w:rPr>
              <w:footnoteReference w:id="29"/>
            </w:r>
            <w:r w:rsidR="00C571C6">
              <w:rPr>
                <w:rFonts w:ascii="Times New Roman" w:eastAsiaTheme="minorHAnsi" w:hAnsi="Times New Roman"/>
                <w:color w:val="auto"/>
                <w:sz w:val="24"/>
                <w:szCs w:val="24"/>
              </w:rPr>
              <w:t xml:space="preserve"> </w:t>
            </w:r>
            <w:r w:rsidR="00C571C6">
              <w:rPr>
                <w:rFonts w:eastAsia="Helvetica"/>
              </w:rPr>
              <w:t xml:space="preserve"> </w:t>
            </w:r>
          </w:p>
        </w:tc>
      </w:tr>
    </w:tbl>
    <w:p w14:paraId="59183BC5" w14:textId="08E6C1CA" w:rsidR="00CE3925" w:rsidRDefault="00CE3925" w:rsidP="0062070D"/>
    <w:tbl>
      <w:tblPr>
        <w:tblStyle w:val="TableGrid"/>
        <w:tblW w:w="0" w:type="auto"/>
        <w:tblLook w:val="04A0" w:firstRow="1" w:lastRow="0" w:firstColumn="1" w:lastColumn="0" w:noHBand="0" w:noVBand="1"/>
      </w:tblPr>
      <w:tblGrid>
        <w:gridCol w:w="8493"/>
      </w:tblGrid>
      <w:tr w:rsidR="0062070D" w14:paraId="55D63D82" w14:textId="77777777" w:rsidTr="00057568">
        <w:tc>
          <w:tcPr>
            <w:tcW w:w="8493" w:type="dxa"/>
            <w:tcBorders>
              <w:left w:val="nil"/>
              <w:right w:val="nil"/>
            </w:tcBorders>
            <w:shd w:val="clear" w:color="auto" w:fill="F2F2F2" w:themeFill="background1" w:themeFillShade="F2"/>
          </w:tcPr>
          <w:p w14:paraId="710487AF" w14:textId="128D8DFB" w:rsidR="0062070D" w:rsidRPr="0062070D" w:rsidRDefault="0062070D" w:rsidP="00057568">
            <w:pPr>
              <w:rPr>
                <w:rStyle w:val="Emphasis"/>
                <w:b/>
                <w:i w:val="0"/>
                <w:iCs w:val="0"/>
              </w:rPr>
            </w:pPr>
            <w:r w:rsidRPr="0062070D">
              <w:rPr>
                <w:b/>
                <w:i/>
              </w:rPr>
              <w:lastRenderedPageBreak/>
              <w:t>A great deal of information sharing is reliant on personal relationships rather than professional connections</w:t>
            </w:r>
          </w:p>
        </w:tc>
      </w:tr>
    </w:tbl>
    <w:p w14:paraId="6CE933DB" w14:textId="5CB2C907" w:rsidR="00251049" w:rsidRPr="0004155D" w:rsidRDefault="00251049" w:rsidP="00D33213">
      <w:pPr>
        <w:pStyle w:val="h5"/>
      </w:pPr>
      <w:r w:rsidRPr="0004155D">
        <w:t>Physical and system design affects outcomes</w:t>
      </w:r>
    </w:p>
    <w:p w14:paraId="1054F7FB" w14:textId="68A3709B" w:rsidR="00C571C6" w:rsidRDefault="00C571C6" w:rsidP="007A3700">
      <w:pPr>
        <w:rPr>
          <w:rFonts w:eastAsia="Helvetica"/>
        </w:rPr>
      </w:pPr>
      <w:r>
        <w:rPr>
          <w:rFonts w:eastAsia="Helvetica"/>
        </w:rPr>
        <w:t xml:space="preserve">Visibility, proximity and accessibility to other workers affects whether information is shared. </w:t>
      </w:r>
      <w:r w:rsidR="004F3B80">
        <w:rPr>
          <w:rFonts w:eastAsia="Helvetica"/>
        </w:rPr>
        <w:br/>
      </w:r>
      <w:r>
        <w:rPr>
          <w:rFonts w:eastAsia="Helvetica"/>
        </w:rPr>
        <w:t>The setup of workspaces, corridors and general building features can affect staff interactions, which can in turn affect the outcomes delivered to clients. For example, open building designs facilitate conversations and information sharing between staff. Conversely, restricting access to areas in which specialist staff are located can hinder information sharing.</w:t>
      </w:r>
    </w:p>
    <w:p w14:paraId="26BA1554" w14:textId="77777777" w:rsidR="00C571C6" w:rsidRDefault="00C571C6" w:rsidP="007A3700">
      <w:pPr>
        <w:rPr>
          <w:rFonts w:eastAsia="Helvetica"/>
        </w:rPr>
      </w:pPr>
      <w:r>
        <w:rPr>
          <w:rFonts w:eastAsia="Helvetica"/>
        </w:rPr>
        <w:t>Technology, such as caller verification software, can also encourage information sharing.</w:t>
      </w:r>
    </w:p>
    <w:p w14:paraId="642D0BEB" w14:textId="61632CDB" w:rsidR="00251049" w:rsidRDefault="00251049" w:rsidP="00D33213">
      <w:pPr>
        <w:pStyle w:val="h4"/>
      </w:pPr>
      <w:r w:rsidRPr="0004155D">
        <w:t xml:space="preserve">Future opportunities </w:t>
      </w:r>
    </w:p>
    <w:p w14:paraId="704135FE" w14:textId="4EDFD369" w:rsidR="00C571C6" w:rsidRDefault="00C571C6" w:rsidP="007A3700">
      <w:pPr>
        <w:rPr>
          <w:rFonts w:eastAsia="Helvetica"/>
        </w:rPr>
      </w:pPr>
      <w:r>
        <w:rPr>
          <w:rFonts w:eastAsia="Helvetica"/>
        </w:rPr>
        <w:t xml:space="preserve">Applying behavioural insights at the early stages of system reform </w:t>
      </w:r>
      <w:r w:rsidR="00B01439">
        <w:rPr>
          <w:rFonts w:eastAsia="Helvetica"/>
        </w:rPr>
        <w:t>can identify</w:t>
      </w:r>
      <w:r>
        <w:rPr>
          <w:rFonts w:eastAsia="Helvetica"/>
        </w:rPr>
        <w:t xml:space="preserve"> behavioural considerations which could materially affect policy outcomes. By raising awareness of these behavioural factors, early research can improve the effectiveness of policymaking, service design and implementation.</w:t>
      </w:r>
    </w:p>
    <w:p w14:paraId="10C14C16" w14:textId="70CE6D71" w:rsidR="00C571C6" w:rsidRDefault="00C571C6" w:rsidP="007A3700">
      <w:pPr>
        <w:rPr>
          <w:rFonts w:eastAsia="Helvetica"/>
        </w:rPr>
      </w:pPr>
      <w:r>
        <w:rPr>
          <w:rFonts w:eastAsia="Helvetica"/>
        </w:rPr>
        <w:t xml:space="preserve">Our exploratory work identified a number of systemic barriers to information sharing and showed how behavioural biases affect workers’ decisions to share or not share information. </w:t>
      </w:r>
      <w:r w:rsidR="00C52A19">
        <w:rPr>
          <w:rFonts w:eastAsia="Helvetica"/>
        </w:rPr>
        <w:t>This research was used</w:t>
      </w:r>
      <w:r>
        <w:rPr>
          <w:rFonts w:eastAsia="Helvetica"/>
        </w:rPr>
        <w:t xml:space="preserve"> to simplify the Ministerial Guidelines on how services should share information. </w:t>
      </w:r>
      <w:r w:rsidR="00B01439">
        <w:rPr>
          <w:rFonts w:eastAsia="Helvetica"/>
        </w:rPr>
        <w:t xml:space="preserve">Working with Family Safety Victoria, we simplified the number of issues workers must consider in deciding whether to share information from 47 to 13. </w:t>
      </w:r>
      <w:r>
        <w:rPr>
          <w:rFonts w:eastAsia="Helvetica"/>
        </w:rPr>
        <w:t>This simplification should improve efficiency and reduce errors in workers’ decisions.</w:t>
      </w:r>
    </w:p>
    <w:p w14:paraId="62909060" w14:textId="77777777" w:rsidR="00C571C6" w:rsidRDefault="00C571C6" w:rsidP="007A3700">
      <w:pPr>
        <w:rPr>
          <w:rFonts w:eastAsia="Helvetica"/>
        </w:rPr>
      </w:pPr>
      <w:r>
        <w:rPr>
          <w:rFonts w:eastAsia="Helvetica"/>
        </w:rPr>
        <w:t>It is important to note that the effect of using behavioural insights in policy design is often not testable, as only one version of a policy can be implemented. This creates both challenges and opportunities when applying behavioural insights to help solve some of society’s most challenging problems.</w:t>
      </w:r>
    </w:p>
    <w:p w14:paraId="050B6C59" w14:textId="7CEAEA83" w:rsidR="00905796" w:rsidRDefault="007A3700">
      <w:pPr>
        <w:keepLines w:val="0"/>
        <w:spacing w:before="0" w:after="0" w:line="240" w:lineRule="auto"/>
        <w:rPr>
          <w:rFonts w:eastAsia="Helvetica"/>
        </w:rPr>
      </w:pPr>
      <w:r>
        <w:rPr>
          <w:rFonts w:eastAsia="Helvetica"/>
        </w:rPr>
        <w:br w:type="page"/>
      </w:r>
    </w:p>
    <w:p w14:paraId="5B33A9DC" w14:textId="3323A0C4" w:rsidR="00785431" w:rsidRDefault="00785431" w:rsidP="00785431">
      <w:pPr>
        <w:pStyle w:val="Heading3"/>
        <w:framePr w:wrap="around"/>
        <w:spacing w:after="240"/>
        <w:ind w:right="-851"/>
        <w:rPr>
          <w:bCs/>
        </w:rPr>
      </w:pPr>
      <w:r w:rsidRPr="00785431">
        <w:rPr>
          <w:bCs/>
        </w:rPr>
        <w:lastRenderedPageBreak/>
        <w:t>Reducing barriers for Family Violence Intervention Orders applications</w:t>
      </w:r>
    </w:p>
    <w:p w14:paraId="4E67CF26" w14:textId="77777777" w:rsidR="005A2A67" w:rsidRDefault="005A2A67" w:rsidP="005A2A67">
      <w:pPr>
        <w:jc w:val="both"/>
        <w:rPr>
          <w:rFonts w:ascii="Helvetica" w:hAnsi="Helvetica" w:cs="Helvetica"/>
          <w:b/>
          <w:color w:val="0E6064"/>
          <w:sz w:val="32"/>
          <w:szCs w:val="32"/>
        </w:rPr>
      </w:pPr>
    </w:p>
    <w:tbl>
      <w:tblPr>
        <w:tblStyle w:val="TableGrid"/>
        <w:tblpPr w:leftFromText="180" w:rightFromText="180" w:vertAnchor="page" w:horzAnchor="margin" w:tblpY="6397"/>
        <w:tblW w:w="9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ducing barriers for Family Violence Intervention Orders applications"/>
        <w:tblDescription w:val="Text box description of a new online form to make it easier for domestic violence survivors to seek protection through the courts. "/>
      </w:tblPr>
      <w:tblGrid>
        <w:gridCol w:w="9596"/>
      </w:tblGrid>
      <w:tr w:rsidR="00EC4EFD" w14:paraId="36AC7096" w14:textId="77777777" w:rsidTr="00EC4EFD">
        <w:trPr>
          <w:trHeight w:val="4947"/>
        </w:trPr>
        <w:tc>
          <w:tcPr>
            <w:tcW w:w="9596" w:type="dxa"/>
            <w:shd w:val="clear" w:color="auto" w:fill="D9D9D9" w:themeFill="background1" w:themeFillShade="D9"/>
          </w:tcPr>
          <w:p w14:paraId="6A70A426" w14:textId="77777777" w:rsidR="00EC4EFD" w:rsidRPr="00344692" w:rsidRDefault="00EC4EFD" w:rsidP="00EC4EFD">
            <w:pPr>
              <w:spacing w:after="240" w:line="320" w:lineRule="auto"/>
              <w:rPr>
                <w:rFonts w:ascii="Helvetica" w:eastAsia="Helvetica" w:hAnsi="Helvetica" w:cs="Helvetica"/>
                <w:color w:val="3F3F3F"/>
                <w:sz w:val="24"/>
              </w:rPr>
            </w:pPr>
            <w:bookmarkStart w:id="42" w:name="_Toc515874436"/>
            <w:bookmarkStart w:id="43" w:name="_Toc515874507"/>
            <w:bookmarkStart w:id="44" w:name="_Toc515874677"/>
            <w:r w:rsidRPr="00344692">
              <w:rPr>
                <w:rFonts w:ascii="Helvetica" w:eastAsia="Helvetica" w:hAnsi="Helvetica" w:cs="Helvetica"/>
                <w:color w:val="3F3F3F"/>
                <w:sz w:val="24"/>
              </w:rPr>
              <w:t xml:space="preserve">A prototype online application form for a family violence intervention order (FVIO) was trialled in five Victorian Magistrates’ Courts. This prototype represents a new digital interaction between court users and court staff. </w:t>
            </w:r>
          </w:p>
          <w:p w14:paraId="7E562662" w14:textId="77777777" w:rsidR="00EC4EFD" w:rsidRPr="00344692" w:rsidRDefault="00EC4EFD" w:rsidP="00EC4EFD">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 xml:space="preserve">The online application aims to make it easier for survivors of domestic violence to seek protection through the courts. Specifically, it aims to reduce the stress, trauma and embarrassment experienced by survivors. </w:t>
            </w:r>
          </w:p>
          <w:p w14:paraId="42BFA49C" w14:textId="77777777" w:rsidR="00EC4EFD" w:rsidRDefault="00EC4EFD" w:rsidP="00EC4EFD">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The project demonstrated that technology and training for court staff can provide a better experience for individuals accessing the justice system.</w:t>
            </w:r>
          </w:p>
          <w:p w14:paraId="6A329E73" w14:textId="77777777" w:rsidR="00EC4EFD" w:rsidRDefault="00EC4EFD" w:rsidP="00EC4EFD">
            <w:pPr>
              <w:spacing w:after="240" w:line="320" w:lineRule="auto"/>
              <w:rPr>
                <w:rFonts w:ascii="Helvetica" w:eastAsia="Helvetica" w:hAnsi="Helvetica" w:cs="Helvetica"/>
                <w:color w:val="3F3F3F"/>
                <w:sz w:val="24"/>
              </w:rPr>
            </w:pPr>
          </w:p>
          <w:p w14:paraId="06F45755" w14:textId="77777777" w:rsidR="00EC4EFD" w:rsidRDefault="00EC4EFD" w:rsidP="00EC4EFD">
            <w:pPr>
              <w:spacing w:after="240" w:line="320" w:lineRule="auto"/>
              <w:rPr>
                <w:rFonts w:ascii="Helvetica" w:eastAsia="Helvetica" w:hAnsi="Helvetica" w:cs="Helvetica"/>
                <w:color w:val="3F3F3F"/>
                <w:sz w:val="24"/>
              </w:rPr>
            </w:pPr>
          </w:p>
          <w:p w14:paraId="4A0B82F9" w14:textId="2015FF6A" w:rsidR="00EC4EFD" w:rsidRPr="004E3FC0" w:rsidRDefault="00EC4EFD" w:rsidP="00EC4EFD">
            <w:pPr>
              <w:spacing w:after="240" w:line="320" w:lineRule="auto"/>
              <w:rPr>
                <w:rFonts w:ascii="Helvetica" w:eastAsia="Helvetica" w:hAnsi="Helvetica" w:cs="Helvetica"/>
                <w:color w:val="3F3F3F"/>
                <w:sz w:val="24"/>
              </w:rPr>
            </w:pPr>
          </w:p>
        </w:tc>
      </w:tr>
    </w:tbl>
    <w:bookmarkEnd w:id="42"/>
    <w:bookmarkEnd w:id="43"/>
    <w:bookmarkEnd w:id="44"/>
    <w:p w14:paraId="2E15A957" w14:textId="6DD0FDBF" w:rsidR="005A2A67" w:rsidRDefault="00EC4EFD" w:rsidP="005A2A67">
      <w:pPr>
        <w:pStyle w:val="h4"/>
      </w:pPr>
      <w:r w:rsidRPr="004E3FC0">
        <w:t xml:space="preserve"> </w:t>
      </w:r>
      <w:r w:rsidR="005A2A67" w:rsidRPr="004E3FC0">
        <w:t>Abstract</w:t>
      </w:r>
    </w:p>
    <w:p w14:paraId="4BA83393" w14:textId="05A3855F" w:rsidR="00EC4EFD" w:rsidRPr="004E3FC0" w:rsidRDefault="00EC4EFD" w:rsidP="005A2A67">
      <w:pPr>
        <w:pStyle w:val="h4"/>
      </w:pPr>
      <w:r>
        <w:rPr>
          <w:noProof/>
        </w:rPr>
        <w:drawing>
          <wp:anchor distT="0" distB="0" distL="114300" distR="114300" simplePos="0" relativeHeight="251796992" behindDoc="0" locked="0" layoutInCell="1" allowOverlap="1" wp14:anchorId="798949AB" wp14:editId="484E7ABA">
            <wp:simplePos x="0" y="0"/>
            <wp:positionH relativeFrom="margin">
              <wp:posOffset>1714943</wp:posOffset>
            </wp:positionH>
            <wp:positionV relativeFrom="paragraph">
              <wp:posOffset>3637929</wp:posOffset>
            </wp:positionV>
            <wp:extent cx="1419225" cy="1117600"/>
            <wp:effectExtent l="0" t="0" r="9525" b="6350"/>
            <wp:wrapNone/>
            <wp:docPr id="17" name="Picture 17" descr="Magistrates' Court of Victoria" title="Logo"/>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9225"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712">
        <w:t>Project by</w:t>
      </w:r>
    </w:p>
    <w:p w14:paraId="78DB3B5E" w14:textId="28521CA9" w:rsidR="005A2A67" w:rsidRPr="005A2A67" w:rsidRDefault="00EC4EFD" w:rsidP="005A2A67">
      <w:r>
        <w:rPr>
          <w:noProof/>
        </w:rPr>
        <w:drawing>
          <wp:anchor distT="0" distB="0" distL="114300" distR="114300" simplePos="0" relativeHeight="251795968" behindDoc="0" locked="0" layoutInCell="1" allowOverlap="1" wp14:anchorId="1BDB8079" wp14:editId="68F58B93">
            <wp:simplePos x="0" y="0"/>
            <wp:positionH relativeFrom="column">
              <wp:posOffset>3269542</wp:posOffset>
            </wp:positionH>
            <wp:positionV relativeFrom="paragraph">
              <wp:posOffset>14295</wp:posOffset>
            </wp:positionV>
            <wp:extent cx="2438400" cy="314960"/>
            <wp:effectExtent l="0" t="0" r="0" b="8890"/>
            <wp:wrapNone/>
            <wp:docPr id="764" name="Picture 764" descr="Public Sector Innovation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ternal.vic.gov.au\DPC\HomeDirs1\vics9y8\Documents\BX2018\PSIF - Logo (blue).pn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8400" cy="31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D900D" w14:textId="77777777" w:rsidR="00EC4EFD" w:rsidRDefault="00EC4EFD">
      <w:pPr>
        <w:keepLines w:val="0"/>
        <w:spacing w:before="0" w:after="0" w:line="240" w:lineRule="auto"/>
        <w:rPr>
          <w:rFonts w:ascii="Helvetica" w:eastAsia="Helvetica" w:hAnsi="Helvetica" w:cs="Helvetica"/>
          <w:b/>
          <w:color w:val="117479"/>
          <w:sz w:val="36"/>
        </w:rPr>
      </w:pPr>
      <w:r>
        <w:br w:type="page"/>
      </w:r>
    </w:p>
    <w:p w14:paraId="3F3C02BF" w14:textId="2E0B3FDB" w:rsidR="00251049" w:rsidRPr="0004155D" w:rsidRDefault="00251049" w:rsidP="00D33213">
      <w:pPr>
        <w:pStyle w:val="h4"/>
      </w:pPr>
      <w:r w:rsidRPr="0004155D">
        <w:lastRenderedPageBreak/>
        <w:t xml:space="preserve">The policy problem </w:t>
      </w:r>
    </w:p>
    <w:p w14:paraId="7C42304D" w14:textId="2F964FA1" w:rsidR="00251049" w:rsidRDefault="00251049" w:rsidP="007A3700">
      <w:pPr>
        <w:rPr>
          <w:rFonts w:eastAsia="Helvetica"/>
        </w:rPr>
      </w:pPr>
      <w:r>
        <w:rPr>
          <w:rFonts w:eastAsia="Helvetica"/>
        </w:rPr>
        <w:t xml:space="preserve">The </w:t>
      </w:r>
      <w:r w:rsidR="0080395C">
        <w:rPr>
          <w:rFonts w:eastAsia="Helvetica"/>
        </w:rPr>
        <w:t>FVIO</w:t>
      </w:r>
      <w:r>
        <w:rPr>
          <w:rFonts w:eastAsia="Helvetica"/>
        </w:rPr>
        <w:t xml:space="preserve"> court application process is </w:t>
      </w:r>
      <w:r w:rsidR="00495C85">
        <w:rPr>
          <w:rFonts w:eastAsia="Helvetica"/>
        </w:rPr>
        <w:t xml:space="preserve">currently </w:t>
      </w:r>
      <w:r>
        <w:rPr>
          <w:rFonts w:eastAsia="Helvetica"/>
        </w:rPr>
        <w:t xml:space="preserve">paper-based and presents challenges for survivors of </w:t>
      </w:r>
      <w:r w:rsidR="00495C85">
        <w:rPr>
          <w:rFonts w:eastAsia="Helvetica"/>
        </w:rPr>
        <w:t>family</w:t>
      </w:r>
      <w:r>
        <w:rPr>
          <w:rFonts w:eastAsia="Helvetica"/>
        </w:rPr>
        <w:t xml:space="preserve"> violence</w:t>
      </w:r>
      <w:r w:rsidR="0080395C">
        <w:rPr>
          <w:rFonts w:eastAsia="Helvetica"/>
        </w:rPr>
        <w:t xml:space="preserve"> (e.g., it causes stress, inconvenience, confusion and takes a long time to complete).</w:t>
      </w:r>
      <w:r w:rsidR="0080395C">
        <w:rPr>
          <w:rStyle w:val="FootnoteReference"/>
          <w:color w:val="auto"/>
        </w:rPr>
        <w:footnoteReference w:id="30"/>
      </w:r>
      <w:r w:rsidR="0080395C">
        <w:rPr>
          <w:rFonts w:eastAsia="Helvetica"/>
        </w:rPr>
        <w:t xml:space="preserve"> Additionally, increasing demands for FVIOs places</w:t>
      </w:r>
      <w:r w:rsidR="0080395C">
        <w:rPr>
          <w:rFonts w:ascii="Times New Roman" w:eastAsiaTheme="minorHAnsi" w:hAnsi="Times New Roman"/>
          <w:color w:val="auto"/>
          <w:sz w:val="24"/>
          <w:szCs w:val="24"/>
        </w:rPr>
        <w:t xml:space="preserve"> </w:t>
      </w:r>
      <w:r>
        <w:rPr>
          <w:rFonts w:eastAsia="Helvetica"/>
        </w:rPr>
        <w:t>pressure on court staff and the court system to manage and process applications.</w:t>
      </w:r>
    </w:p>
    <w:p w14:paraId="1243EECA" w14:textId="77777777" w:rsidR="00251049" w:rsidRPr="0004155D" w:rsidRDefault="00251049" w:rsidP="00D33213">
      <w:pPr>
        <w:pStyle w:val="h4"/>
      </w:pPr>
      <w:r w:rsidRPr="0004155D">
        <w:t>Our findings and learnings</w:t>
      </w:r>
    </w:p>
    <w:p w14:paraId="532C75C0" w14:textId="0F3C1BB8" w:rsidR="00251049" w:rsidRDefault="00251049" w:rsidP="007A3700">
      <w:pPr>
        <w:rPr>
          <w:rFonts w:eastAsia="Helvetica"/>
        </w:rPr>
      </w:pPr>
      <w:r>
        <w:rPr>
          <w:rFonts w:eastAsia="Helvetica"/>
        </w:rPr>
        <w:t>Over the course of the 10-month trial period, 181 FVIO applications (22.9</w:t>
      </w:r>
      <w:r w:rsidR="001D6EFD">
        <w:rPr>
          <w:rFonts w:eastAsia="Helvetica"/>
        </w:rPr>
        <w:t> </w:t>
      </w:r>
      <w:r>
        <w:rPr>
          <w:rFonts w:eastAsia="Helvetica"/>
        </w:rPr>
        <w:t>per</w:t>
      </w:r>
      <w:r w:rsidR="001D6EFD">
        <w:rPr>
          <w:rFonts w:eastAsia="Helvetica"/>
        </w:rPr>
        <w:t> </w:t>
      </w:r>
      <w:r>
        <w:rPr>
          <w:rFonts w:eastAsia="Helvetica"/>
        </w:rPr>
        <w:t xml:space="preserve">cent of the total) were made online. The </w:t>
      </w:r>
      <w:r w:rsidR="0080395C">
        <w:rPr>
          <w:rFonts w:eastAsia="Helvetica"/>
        </w:rPr>
        <w:t>results showed</w:t>
      </w:r>
      <w:r>
        <w:rPr>
          <w:rFonts w:eastAsia="Helvetica"/>
        </w:rPr>
        <w:t xml:space="preserve"> the online application produced significant benefits for applicants. Victim survivors reported the online option was more convenient and accessible, easier to complete and less stressful than the paper form.</w:t>
      </w:r>
    </w:p>
    <w:p w14:paraId="6BAE33B2" w14:textId="77777777" w:rsidR="00251049" w:rsidRPr="0004155D" w:rsidRDefault="00251049" w:rsidP="00D33213">
      <w:pPr>
        <w:pStyle w:val="h5"/>
      </w:pPr>
      <w:r w:rsidRPr="0004155D">
        <w:t>User-centred design</w:t>
      </w:r>
    </w:p>
    <w:p w14:paraId="1502118D" w14:textId="4A8D7747" w:rsidR="00251049" w:rsidRDefault="00251049" w:rsidP="007A3700">
      <w:pPr>
        <w:rPr>
          <w:rFonts w:eastAsia="Helvetica"/>
        </w:rPr>
      </w:pPr>
      <w:r>
        <w:rPr>
          <w:rFonts w:eastAsia="Helvetica"/>
        </w:rPr>
        <w:t xml:space="preserve">The online FVIO </w:t>
      </w:r>
      <w:r w:rsidR="00495C85">
        <w:rPr>
          <w:rFonts w:eastAsia="Helvetica"/>
        </w:rPr>
        <w:t xml:space="preserve">application </w:t>
      </w:r>
      <w:r>
        <w:rPr>
          <w:rFonts w:eastAsia="Helvetica"/>
        </w:rPr>
        <w:t xml:space="preserve">prototype was co-designed with applicants, family violence workers, </w:t>
      </w:r>
      <w:r w:rsidR="0080395C">
        <w:rPr>
          <w:rFonts w:eastAsia="Helvetica"/>
        </w:rPr>
        <w:t>registrars and m</w:t>
      </w:r>
      <w:r>
        <w:rPr>
          <w:rFonts w:eastAsia="Helvetica"/>
        </w:rPr>
        <w:t>agistrates. Early testing was conducted with people who had previously made an FVIO application using the paper application form.</w:t>
      </w:r>
    </w:p>
    <w:p w14:paraId="0B6818A1" w14:textId="77777777" w:rsidR="00251049" w:rsidRPr="0004155D" w:rsidRDefault="00251049" w:rsidP="00D33213">
      <w:pPr>
        <w:pStyle w:val="h5"/>
      </w:pPr>
      <w:r w:rsidRPr="0004155D">
        <w:t>Ease</w:t>
      </w:r>
    </w:p>
    <w:p w14:paraId="33859A20" w14:textId="77777777" w:rsidR="00251049" w:rsidRDefault="00251049" w:rsidP="007A3700">
      <w:pPr>
        <w:rPr>
          <w:rFonts w:eastAsia="Helvetica"/>
        </w:rPr>
      </w:pPr>
      <w:r>
        <w:rPr>
          <w:rFonts w:eastAsia="Helvetica"/>
        </w:rPr>
        <w:t xml:space="preserve">FVIO applicants indicated the online form reduced friction costs compared to the paper form, which applicants described as confusing and difficult to complete. </w:t>
      </w:r>
    </w:p>
    <w:p w14:paraId="27769BF6" w14:textId="77777777" w:rsidR="00251049" w:rsidRDefault="00251049" w:rsidP="007A3700">
      <w:pPr>
        <w:rPr>
          <w:rFonts w:eastAsia="Helvetica"/>
        </w:rPr>
      </w:pPr>
      <w:r>
        <w:rPr>
          <w:rFonts w:eastAsia="Helvetica"/>
        </w:rPr>
        <w:t xml:space="preserve">They also reported the online option was more convenient and easier to complete. Applicants reported an increased sense of personal agency and control in completing the online process. </w:t>
      </w:r>
    </w:p>
    <w:p w14:paraId="5AA638B1" w14:textId="77777777" w:rsidR="000933C6" w:rsidRDefault="000933C6"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6F2951FD" w14:textId="77777777" w:rsidTr="00CE3925">
        <w:trPr>
          <w:trHeight w:val="1"/>
        </w:trPr>
        <w:tc>
          <w:tcPr>
            <w:tcW w:w="5000" w:type="pct"/>
            <w:shd w:val="clear" w:color="auto" w:fill="F2F2F2"/>
            <w:tcMar>
              <w:left w:w="108" w:type="dxa"/>
              <w:right w:w="108" w:type="dxa"/>
            </w:tcMar>
          </w:tcPr>
          <w:p w14:paraId="0D0E25C0" w14:textId="635C3821" w:rsidR="00251049" w:rsidRDefault="007557EC"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5744" behindDoc="1" locked="0" layoutInCell="1" allowOverlap="1" wp14:anchorId="63E224A6" wp14:editId="218CB0C6">
                  <wp:simplePos x="0" y="0"/>
                  <wp:positionH relativeFrom="margin">
                    <wp:posOffset>0</wp:posOffset>
                  </wp:positionH>
                  <wp:positionV relativeFrom="paragraph">
                    <wp:posOffset>43127</wp:posOffset>
                  </wp:positionV>
                  <wp:extent cx="370800" cy="370800"/>
                  <wp:effectExtent l="0" t="0" r="0" b="3175"/>
                  <wp:wrapTight wrapText="bothSides">
                    <wp:wrapPolygon edited="0">
                      <wp:start x="0" y="0"/>
                      <wp:lineTo x="0" y="20007"/>
                      <wp:lineTo x="20007" y="20007"/>
                      <wp:lineTo x="20007" y="0"/>
                      <wp:lineTo x="0" y="0"/>
                    </wp:wrapPolygon>
                  </wp:wrapTight>
                  <wp:docPr id="52" name="Picture 52"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p>
          <w:p w14:paraId="72CAF516" w14:textId="525D49B1" w:rsidR="00251049" w:rsidRPr="00495C85" w:rsidRDefault="0080395C" w:rsidP="007A3700">
            <w:pPr>
              <w:rPr>
                <w:rFonts w:ascii="Times New Roman" w:hAnsi="Times New Roman"/>
                <w:color w:val="auto"/>
                <w:sz w:val="24"/>
                <w:szCs w:val="24"/>
              </w:rPr>
            </w:pPr>
            <w:r>
              <w:rPr>
                <w:rFonts w:eastAsia="Helvetica"/>
              </w:rPr>
              <w:t>The</w:t>
            </w:r>
            <w:r w:rsidR="00251049">
              <w:rPr>
                <w:rFonts w:eastAsia="Helvetica"/>
              </w:rPr>
              <w:t xml:space="preserve"> belief </w:t>
            </w:r>
            <w:r>
              <w:rPr>
                <w:rFonts w:eastAsia="Helvetica"/>
              </w:rPr>
              <w:t xml:space="preserve">that </w:t>
            </w:r>
            <w:r w:rsidR="00251049">
              <w:rPr>
                <w:rFonts w:eastAsia="Helvetica"/>
              </w:rPr>
              <w:t>a person ca</w:t>
            </w:r>
            <w:r>
              <w:rPr>
                <w:rFonts w:eastAsia="Helvetica"/>
              </w:rPr>
              <w:t xml:space="preserve">n influence their </w:t>
            </w:r>
            <w:r w:rsidR="00495C85">
              <w:rPr>
                <w:rFonts w:eastAsia="Helvetica"/>
              </w:rPr>
              <w:t>future</w:t>
            </w:r>
            <w:r>
              <w:rPr>
                <w:rFonts w:eastAsia="Helvetica"/>
              </w:rPr>
              <w:t xml:space="preserve"> outcomes is </w:t>
            </w:r>
            <w:r w:rsidR="00251049">
              <w:rPr>
                <w:rFonts w:eastAsia="Helvetica"/>
              </w:rPr>
              <w:t xml:space="preserve">known </w:t>
            </w:r>
            <w:r>
              <w:rPr>
                <w:rFonts w:eastAsia="Helvetica"/>
              </w:rPr>
              <w:t xml:space="preserve">as an </w:t>
            </w:r>
            <w:r w:rsidR="00251049" w:rsidRPr="007557EC">
              <w:rPr>
                <w:rFonts w:eastAsia="Helvetica"/>
                <w:b/>
                <w:color w:val="auto"/>
              </w:rPr>
              <w:t>internal locus of control</w:t>
            </w:r>
            <w:r>
              <w:rPr>
                <w:rFonts w:eastAsia="Helvetica"/>
              </w:rPr>
              <w:t>.</w:t>
            </w:r>
            <w:r w:rsidR="00495C85">
              <w:rPr>
                <w:rStyle w:val="FootnoteReference"/>
                <w:rFonts w:eastAsia="Helvetica"/>
                <w:color w:val="3F3F3F"/>
              </w:rPr>
              <w:footnoteReference w:id="31"/>
            </w:r>
            <w:r>
              <w:rPr>
                <w:rFonts w:eastAsia="Helvetica"/>
              </w:rPr>
              <w:t xml:space="preserve"> This belief</w:t>
            </w:r>
            <w:r w:rsidR="00251049">
              <w:rPr>
                <w:rFonts w:eastAsia="Helvetica"/>
              </w:rPr>
              <w:t xml:space="preserve"> is critical for people as it is correlated with escaping family violence.</w:t>
            </w:r>
            <w:r w:rsidR="00251049">
              <w:rPr>
                <w:rFonts w:eastAsia="Helvetica"/>
                <w:color w:val="3F3F3F"/>
              </w:rPr>
              <w:t xml:space="preserve"> </w:t>
            </w:r>
            <w:r w:rsidR="00495C85">
              <w:rPr>
                <w:rStyle w:val="FootnoteReference"/>
                <w:rFonts w:eastAsia="Helvetica"/>
                <w:color w:val="3F3F3F"/>
              </w:rPr>
              <w:footnoteReference w:id="32"/>
            </w:r>
            <w:r w:rsidR="00495C85">
              <w:rPr>
                <w:rFonts w:ascii="Times New Roman" w:hAnsi="Times New Roman"/>
                <w:color w:val="auto"/>
                <w:sz w:val="24"/>
                <w:szCs w:val="24"/>
              </w:rPr>
              <w:t xml:space="preserve"> </w:t>
            </w:r>
          </w:p>
        </w:tc>
      </w:tr>
    </w:tbl>
    <w:p w14:paraId="3F2B6C14" w14:textId="5F5C5D75" w:rsidR="00251049" w:rsidRPr="00E72A02" w:rsidRDefault="00E72A02" w:rsidP="004E3FC0">
      <w:pPr>
        <w:pStyle w:val="Caption"/>
        <w:jc w:val="both"/>
        <w:rPr>
          <w:rFonts w:ascii="Helvetica" w:eastAsia="Helvetica" w:hAnsi="Helvetica" w:cs="Helvetica"/>
          <w:color w:val="117479"/>
        </w:rPr>
      </w:pPr>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12</w:t>
      </w:r>
      <w:r w:rsidR="003035A6">
        <w:rPr>
          <w:noProof/>
        </w:rPr>
        <w:fldChar w:fldCharType="end"/>
      </w:r>
      <w:r>
        <w:t xml:space="preserve">: </w:t>
      </w:r>
      <w:r w:rsidR="0080395C">
        <w:rPr>
          <w:rFonts w:ascii="Helvetica" w:eastAsia="Helvetica" w:hAnsi="Helvetica" w:cs="Helvetica"/>
          <w:color w:val="117479"/>
        </w:rPr>
        <w:t>Participants’ m</w:t>
      </w:r>
      <w:r w:rsidR="00251049" w:rsidRPr="00E72A02">
        <w:rPr>
          <w:rFonts w:ascii="Helvetica" w:eastAsia="Helvetica" w:hAnsi="Helvetica" w:cs="Helvetica"/>
          <w:color w:val="117479"/>
        </w:rPr>
        <w:t xml:space="preserve">ean </w:t>
      </w:r>
      <w:r w:rsidR="0080395C">
        <w:rPr>
          <w:rFonts w:ascii="Helvetica" w:eastAsia="Helvetica" w:hAnsi="Helvetica" w:cs="Helvetica"/>
          <w:color w:val="117479"/>
        </w:rPr>
        <w:t xml:space="preserve">stress </w:t>
      </w:r>
      <w:r w:rsidR="00251049" w:rsidRPr="00E72A02">
        <w:rPr>
          <w:rFonts w:ascii="Helvetica" w:eastAsia="Helvetica" w:hAnsi="Helvetica" w:cs="Helvetica"/>
          <w:color w:val="117479"/>
        </w:rPr>
        <w:t xml:space="preserve">ratings of </w:t>
      </w:r>
      <w:r w:rsidR="0080395C">
        <w:rPr>
          <w:rFonts w:ascii="Helvetica" w:eastAsia="Helvetica" w:hAnsi="Helvetica" w:cs="Helvetica"/>
          <w:color w:val="117479"/>
        </w:rPr>
        <w:t xml:space="preserve">the </w:t>
      </w:r>
      <w:r w:rsidR="00251049" w:rsidRPr="00E72A02">
        <w:rPr>
          <w:rFonts w:ascii="Helvetica" w:eastAsia="Helvetica" w:hAnsi="Helvetica" w:cs="Helvetica"/>
          <w:color w:val="117479"/>
        </w:rPr>
        <w:t>application process</w:t>
      </w:r>
      <w:r w:rsidR="0080395C">
        <w:rPr>
          <w:rFonts w:ascii="Helvetica" w:eastAsia="Helvetica" w:hAnsi="Helvetica" w:cs="Helvetica"/>
          <w:color w:val="117479"/>
        </w:rPr>
        <w:t>,</w:t>
      </w:r>
      <w:r w:rsidR="00251049" w:rsidRPr="00E72A02">
        <w:rPr>
          <w:rFonts w:ascii="Helvetica" w:eastAsia="Helvetica" w:hAnsi="Helvetica" w:cs="Helvetica"/>
          <w:color w:val="117479"/>
        </w:rPr>
        <w:t xml:space="preserve"> by application type </w:t>
      </w:r>
    </w:p>
    <w:p w14:paraId="7FDE2450" w14:textId="51CBAA11" w:rsidR="00251049" w:rsidRDefault="00991664" w:rsidP="004E3FC0">
      <w:pPr>
        <w:spacing w:line="260" w:lineRule="auto"/>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0D481EE1" wp14:editId="2131C9B4">
            <wp:extent cx="5384800" cy="2311400"/>
            <wp:effectExtent l="0" t="0" r="0" b="0"/>
            <wp:docPr id="126" name="Picture 126" descr="Online applicants reported reduced stress (mean stress rating of 3.83 out of 10) compared to applicants using the usual, paper-based form (mean stress rating of 7.75 out of 10) (p&lt;0.002). "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Fig12.png"/>
                    <pic:cNvPicPr/>
                  </pic:nvPicPr>
                  <pic:blipFill>
                    <a:blip r:embed="rId64">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0824043B" w14:textId="77777777" w:rsidR="00251049" w:rsidRPr="0004155D" w:rsidRDefault="00251049" w:rsidP="00D33213">
      <w:pPr>
        <w:pStyle w:val="h5"/>
      </w:pPr>
      <w:r w:rsidRPr="0004155D">
        <w:t>Efficiency</w:t>
      </w:r>
    </w:p>
    <w:p w14:paraId="4F8B3965" w14:textId="77777777" w:rsidR="00376941" w:rsidRDefault="0080395C" w:rsidP="007A3700">
      <w:pPr>
        <w:rPr>
          <w:rFonts w:eastAsia="Helvetica"/>
        </w:rPr>
      </w:pPr>
      <w:r>
        <w:rPr>
          <w:rFonts w:eastAsia="Helvetica"/>
        </w:rPr>
        <w:t>Online applicants reported that they saved time</w:t>
      </w:r>
      <w:r w:rsidR="00376941">
        <w:rPr>
          <w:rFonts w:eastAsia="Helvetica"/>
        </w:rPr>
        <w:t>:</w:t>
      </w:r>
      <w:r>
        <w:rPr>
          <w:rFonts w:eastAsia="Helvetica"/>
        </w:rPr>
        <w:t xml:space="preserve"> </w:t>
      </w:r>
    </w:p>
    <w:p w14:paraId="5055EE29" w14:textId="753F4828" w:rsidR="00376941" w:rsidRDefault="0080395C" w:rsidP="003A373A">
      <w:pPr>
        <w:numPr>
          <w:ilvl w:val="0"/>
          <w:numId w:val="13"/>
        </w:numPr>
        <w:tabs>
          <w:tab w:val="left" w:pos="360"/>
        </w:tabs>
        <w:spacing w:line="260" w:lineRule="auto"/>
        <w:ind w:left="360" w:hanging="360"/>
        <w:rPr>
          <w:rFonts w:eastAsia="Helvetica"/>
        </w:rPr>
      </w:pPr>
      <w:r w:rsidRPr="00376941">
        <w:rPr>
          <w:rFonts w:ascii="Helvetica" w:eastAsia="Helvetica" w:hAnsi="Helvetica" w:cs="Helvetica"/>
          <w:color w:val="3F3F3F"/>
        </w:rPr>
        <w:t>completing</w:t>
      </w:r>
      <w:r>
        <w:rPr>
          <w:rFonts w:eastAsia="Helvetica"/>
        </w:rPr>
        <w:t xml:space="preserve"> the form (on average, the online form took 21 minutes to complete while the paper-</w:t>
      </w:r>
      <w:r w:rsidR="00376941">
        <w:rPr>
          <w:rFonts w:eastAsia="Helvetica"/>
        </w:rPr>
        <w:t xml:space="preserve">based </w:t>
      </w:r>
      <w:r w:rsidR="00CB0A2A">
        <w:rPr>
          <w:rFonts w:eastAsia="Helvetica"/>
        </w:rPr>
        <w:t xml:space="preserve">form </w:t>
      </w:r>
      <w:r w:rsidR="00376941">
        <w:rPr>
          <w:rFonts w:eastAsia="Helvetica"/>
        </w:rPr>
        <w:t>took 47 minutes, p = 0.1)</w:t>
      </w:r>
      <w:r>
        <w:rPr>
          <w:rFonts w:eastAsia="Helvetica"/>
        </w:rPr>
        <w:t xml:space="preserve"> </w:t>
      </w:r>
    </w:p>
    <w:p w14:paraId="36FBD1C0" w14:textId="77777777" w:rsidR="00376941" w:rsidRDefault="0080395C" w:rsidP="003A373A">
      <w:pPr>
        <w:numPr>
          <w:ilvl w:val="0"/>
          <w:numId w:val="13"/>
        </w:numPr>
        <w:tabs>
          <w:tab w:val="left" w:pos="360"/>
        </w:tabs>
        <w:spacing w:line="260" w:lineRule="auto"/>
        <w:ind w:left="360" w:hanging="360"/>
        <w:rPr>
          <w:rFonts w:eastAsia="Helvetica"/>
        </w:rPr>
      </w:pPr>
      <w:r>
        <w:rPr>
          <w:rFonts w:eastAsia="Helvetica"/>
        </w:rPr>
        <w:t xml:space="preserve">waiting for appointments (on average, the waiting time for the online form was 5.5 days while the waiting time for the paper-based form was 18 days, p = 0.016) </w:t>
      </w:r>
    </w:p>
    <w:p w14:paraId="4EE4C62D" w14:textId="7DA4D13B" w:rsidR="0080395C" w:rsidRDefault="0080395C" w:rsidP="003A373A">
      <w:pPr>
        <w:numPr>
          <w:ilvl w:val="0"/>
          <w:numId w:val="13"/>
        </w:numPr>
        <w:tabs>
          <w:tab w:val="left" w:pos="360"/>
        </w:tabs>
        <w:spacing w:line="260" w:lineRule="auto"/>
        <w:ind w:left="360" w:hanging="360"/>
        <w:rPr>
          <w:rFonts w:eastAsia="Helvetica"/>
        </w:rPr>
      </w:pPr>
      <w:r>
        <w:rPr>
          <w:rFonts w:eastAsia="Helvetica"/>
        </w:rPr>
        <w:t>waiting in court (the online applicants were given specific appointment times while the paper-based applicants had to wait in court until a registrar became available).</w:t>
      </w:r>
    </w:p>
    <w:p w14:paraId="399382BE" w14:textId="54F4E9A8" w:rsidR="0080395C" w:rsidRDefault="0080395C" w:rsidP="007A3700">
      <w:pPr>
        <w:rPr>
          <w:rFonts w:eastAsia="Helvetica"/>
        </w:rPr>
      </w:pPr>
      <w:r>
        <w:rPr>
          <w:rFonts w:eastAsia="Helvetica"/>
        </w:rPr>
        <w:t>Registrars reported the online FVIO led to substantial savings in time due to the reduced administrative requirements and because it also enabled them to conduct a more efficient phone-based application review with the applicants</w:t>
      </w:r>
      <w:r w:rsidR="00376941">
        <w:rPr>
          <w:rFonts w:eastAsia="Helvetica"/>
        </w:rPr>
        <w:t>. The online FVIO also enabled r</w:t>
      </w:r>
      <w:r>
        <w:rPr>
          <w:rFonts w:eastAsia="Helvetica"/>
        </w:rPr>
        <w:t>egistrars to better manage their work flows and time and allowed for the faster processing of applications, which in turn helped the applicants.</w:t>
      </w:r>
    </w:p>
    <w:p w14:paraId="47D2988A" w14:textId="172A75B1" w:rsidR="00251049" w:rsidRPr="0004155D" w:rsidRDefault="00251049" w:rsidP="00D33213">
      <w:pPr>
        <w:pStyle w:val="h5"/>
      </w:pPr>
      <w:r w:rsidRPr="0004155D">
        <w:t>Improved engagement between victim survivors and the courts</w:t>
      </w:r>
    </w:p>
    <w:p w14:paraId="123F6638" w14:textId="5B2E6C82" w:rsidR="00376941" w:rsidRDefault="00376941" w:rsidP="007A3700">
      <w:pPr>
        <w:rPr>
          <w:rFonts w:eastAsia="Helvetica"/>
        </w:rPr>
      </w:pPr>
      <w:r>
        <w:rPr>
          <w:rFonts w:eastAsia="Helvetica"/>
        </w:rPr>
        <w:t>FVIO applications are personally sensitive and often emotional. Registrars reported the process of applying online and receiving a follow-up telephone call from a court staff member improved engagement compared to face-to-face applications in court. Registrars suggested a number reasons for this improvement, including that the online process:</w:t>
      </w:r>
    </w:p>
    <w:p w14:paraId="25413050" w14:textId="74891626" w:rsidR="00376941" w:rsidRDefault="00376941" w:rsidP="003A373A">
      <w:pPr>
        <w:numPr>
          <w:ilvl w:val="0"/>
          <w:numId w:val="13"/>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enabled conversations to be conducted away from a public environment</w:t>
      </w:r>
    </w:p>
    <w:p w14:paraId="50E728DB" w14:textId="4B08B1F3" w:rsidR="00376941" w:rsidRDefault="00376941" w:rsidP="003A373A">
      <w:pPr>
        <w:numPr>
          <w:ilvl w:val="0"/>
          <w:numId w:val="13"/>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protected applicants from the registrar’s visible competing work priorities (e.g., other waiting applicants)</w:t>
      </w:r>
    </w:p>
    <w:p w14:paraId="4F173173" w14:textId="51910242" w:rsidR="00376941" w:rsidRDefault="00376941" w:rsidP="003A373A">
      <w:pPr>
        <w:numPr>
          <w:ilvl w:val="0"/>
          <w:numId w:val="13"/>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increased the information available for registrar preparation prior to the telephone call</w:t>
      </w:r>
    </w:p>
    <w:p w14:paraId="196A15C4" w14:textId="763656AA" w:rsidR="001676E7" w:rsidRPr="0062070D" w:rsidRDefault="00376941" w:rsidP="0062070D">
      <w:pPr>
        <w:numPr>
          <w:ilvl w:val="0"/>
          <w:numId w:val="13"/>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created a positive effect</w:t>
      </w:r>
      <w:r w:rsidR="0015672D">
        <w:rPr>
          <w:rFonts w:ascii="Helvetica" w:eastAsia="Helvetica" w:hAnsi="Helvetica" w:cs="Helvetica"/>
          <w:color w:val="3F3F3F"/>
        </w:rPr>
        <w:t xml:space="preserve"> as applicants received a registrar-</w:t>
      </w:r>
      <w:r>
        <w:rPr>
          <w:rFonts w:ascii="Helvetica" w:eastAsia="Helvetica" w:hAnsi="Helvetica" w:cs="Helvetica"/>
          <w:color w:val="3F3F3F"/>
        </w:rPr>
        <w:t>initiated follow-up telephone call.</w:t>
      </w:r>
    </w:p>
    <w:tbl>
      <w:tblPr>
        <w:tblStyle w:val="TableGrid"/>
        <w:tblW w:w="0" w:type="auto"/>
        <w:tblLook w:val="04A0" w:firstRow="1" w:lastRow="0" w:firstColumn="1" w:lastColumn="0" w:noHBand="0" w:noVBand="1"/>
      </w:tblPr>
      <w:tblGrid>
        <w:gridCol w:w="8493"/>
      </w:tblGrid>
      <w:tr w:rsidR="0062070D" w14:paraId="59F700DF" w14:textId="77777777" w:rsidTr="00057568">
        <w:tc>
          <w:tcPr>
            <w:tcW w:w="8493" w:type="dxa"/>
            <w:tcBorders>
              <w:left w:val="nil"/>
              <w:right w:val="nil"/>
            </w:tcBorders>
            <w:shd w:val="clear" w:color="auto" w:fill="F2F2F2" w:themeFill="background1" w:themeFillShade="F2"/>
          </w:tcPr>
          <w:p w14:paraId="69937B88" w14:textId="53731FE2" w:rsidR="0062070D" w:rsidRPr="0062070D" w:rsidRDefault="0062070D" w:rsidP="00057568">
            <w:pPr>
              <w:rPr>
                <w:rStyle w:val="Emphasis"/>
                <w:b/>
                <w:i w:val="0"/>
                <w:iCs w:val="0"/>
              </w:rPr>
            </w:pPr>
            <w:r>
              <w:t>‘</w:t>
            </w:r>
            <w:r w:rsidRPr="0062070D">
              <w:rPr>
                <w:b/>
                <w:i/>
              </w:rPr>
              <w:t>If it hadn’t been online I don’t think I would have applied… I just don’t think it would have happened’. – Applicant</w:t>
            </w:r>
          </w:p>
        </w:tc>
      </w:tr>
    </w:tbl>
    <w:p w14:paraId="032DF4E4" w14:textId="5DF18A1A" w:rsidR="00251049" w:rsidRDefault="00251049" w:rsidP="00D33213">
      <w:pPr>
        <w:pStyle w:val="h4"/>
      </w:pPr>
      <w:r w:rsidRPr="0004155D">
        <w:lastRenderedPageBreak/>
        <w:t xml:space="preserve">Future opportunities </w:t>
      </w:r>
    </w:p>
    <w:p w14:paraId="166D7071" w14:textId="0B17B7C8" w:rsidR="00495C85" w:rsidRDefault="00495C85" w:rsidP="007A3700">
      <w:r>
        <w:t xml:space="preserve">The online application form has since been rolled out to a further two locations (now available at a total of seven sites). Based on the evaluation and trial experience, the online FVIO will be further re-designed for a progressive roll out across Victoria’s Magistrates’ Courts. As part of the re-design, friction costs will be reduced e.g., introduction of legislation to remove the requirement for applicants to attend court in order to finalise and sign the application.  </w:t>
      </w:r>
    </w:p>
    <w:p w14:paraId="48903BEE" w14:textId="2E2791C8" w:rsidR="00376941" w:rsidRDefault="00376941" w:rsidP="007A3700">
      <w:pPr>
        <w:rPr>
          <w:rFonts w:eastAsia="Helvetica"/>
        </w:rPr>
      </w:pPr>
      <w:r>
        <w:rPr>
          <w:rFonts w:eastAsia="Helvetica"/>
        </w:rPr>
        <w:t>The online FVIO is being investigated for trial in the Federal Family Court and in other states.</w:t>
      </w:r>
    </w:p>
    <w:p w14:paraId="60580701" w14:textId="495D75AA" w:rsidR="00376941" w:rsidRDefault="00376941" w:rsidP="007A3700">
      <w:pPr>
        <w:rPr>
          <w:rFonts w:eastAsia="Helvetica"/>
        </w:rPr>
      </w:pPr>
      <w:r>
        <w:rPr>
          <w:rFonts w:eastAsia="Helvetica"/>
        </w:rPr>
        <w:t>The trial evaluation also revealed that Victoria</w:t>
      </w:r>
      <w:r w:rsidR="00CA20BC">
        <w:rPr>
          <w:rFonts w:eastAsia="Helvetica"/>
        </w:rPr>
        <w:t>n</w:t>
      </w:r>
      <w:r>
        <w:rPr>
          <w:rFonts w:eastAsia="Helvetica"/>
        </w:rPr>
        <w:t xml:space="preserve"> Police FVIO processes could adopt similar smart forms and risk assessment algorithms.</w:t>
      </w:r>
    </w:p>
    <w:p w14:paraId="156B3765" w14:textId="77777777" w:rsidR="00905796" w:rsidRPr="0015672D" w:rsidRDefault="00905796" w:rsidP="004E3FC0">
      <w:pPr>
        <w:spacing w:before="0" w:after="0" w:line="240" w:lineRule="auto"/>
        <w:jc w:val="both"/>
        <w:rPr>
          <w:rFonts w:eastAsia="Helvetica"/>
          <w:sz w:val="4"/>
          <w:szCs w:val="4"/>
        </w:rPr>
        <w:sectPr w:rsidR="00905796" w:rsidRPr="0015672D" w:rsidSect="00272E56">
          <w:headerReference w:type="even" r:id="rId65"/>
          <w:headerReference w:type="default" r:id="rId66"/>
          <w:headerReference w:type="first" r:id="rId67"/>
          <w:pgSz w:w="11906" w:h="16838" w:code="9"/>
          <w:pgMar w:top="1474" w:right="1985" w:bottom="1247" w:left="1418" w:header="680" w:footer="680" w:gutter="0"/>
          <w:cols w:space="708"/>
          <w:titlePg/>
          <w:docGrid w:linePitch="360"/>
        </w:sectPr>
      </w:pPr>
    </w:p>
    <w:p w14:paraId="57F35FB4" w14:textId="4428BD33" w:rsidR="00251049" w:rsidRPr="00394950" w:rsidRDefault="001676E7" w:rsidP="004E3FC0">
      <w:pPr>
        <w:ind w:left="567"/>
        <w:jc w:val="both"/>
        <w:rPr>
          <w:rFonts w:eastAsia="Helvetica"/>
        </w:rPr>
      </w:pPr>
      <w:r w:rsidRPr="00394950">
        <w:rPr>
          <w:noProof/>
        </w:rPr>
        <w:lastRenderedPageBreak/>
        <w:drawing>
          <wp:inline distT="0" distB="0" distL="0" distR="0" wp14:anchorId="69EF1947" wp14:editId="5682B491">
            <wp:extent cx="1259280" cy="1259280"/>
            <wp:effectExtent l="0" t="0" r="0" b="10795"/>
            <wp:docPr id="80" name="Picture 80" descr="Improvement"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59280" cy="1259280"/>
                    </a:xfrm>
                    <a:prstGeom prst="rect">
                      <a:avLst/>
                    </a:prstGeom>
                  </pic:spPr>
                </pic:pic>
              </a:graphicData>
            </a:graphic>
          </wp:inline>
        </w:drawing>
      </w:r>
    </w:p>
    <w:p w14:paraId="3C4C78B5" w14:textId="25258052" w:rsidR="00321671" w:rsidRDefault="00251049" w:rsidP="000C7425">
      <w:pPr>
        <w:pStyle w:val="Heading2"/>
      </w:pPr>
      <w:bookmarkStart w:id="45" w:name="_Toc515874437"/>
      <w:bookmarkStart w:id="46" w:name="_Toc515874508"/>
      <w:bookmarkStart w:id="47" w:name="_Toc515874678"/>
      <w:bookmarkStart w:id="48" w:name="_Toc516827449"/>
      <w:r>
        <w:t>Improving</w:t>
      </w:r>
      <w:r>
        <w:br/>
        <w:t>economic outcomes for Australians</w:t>
      </w:r>
      <w:bookmarkEnd w:id="45"/>
      <w:bookmarkEnd w:id="46"/>
      <w:bookmarkEnd w:id="47"/>
      <w:bookmarkEnd w:id="48"/>
      <w:r w:rsidR="00321671">
        <w:br w:type="page"/>
      </w:r>
    </w:p>
    <w:p w14:paraId="2AB889B4" w14:textId="7782559E" w:rsidR="00785431" w:rsidRPr="00785431" w:rsidRDefault="00785431" w:rsidP="00785431">
      <w:pPr>
        <w:pStyle w:val="Heading3"/>
        <w:framePr w:wrap="around"/>
        <w:spacing w:after="240"/>
        <w:ind w:right="-13"/>
        <w:rPr>
          <w:bCs/>
        </w:rPr>
      </w:pPr>
      <w:r w:rsidRPr="00785431">
        <w:rPr>
          <w:bCs/>
        </w:rPr>
        <w:lastRenderedPageBreak/>
        <w:t>Trainee teachers accepting rural placements</w:t>
      </w:r>
    </w:p>
    <w:tbl>
      <w:tblPr>
        <w:tblStyle w:val="TableGrid"/>
        <w:tblpPr w:leftFromText="180" w:rightFromText="180" w:vertAnchor="page" w:horzAnchor="margin" w:tblpY="5292"/>
        <w:tblW w:w="9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rainee teachers accepting rural placements"/>
        <w:tblDescription w:val="Text box description of a trial in NSW to encourage more trainee teachers to undertake placements in rural and remote schools."/>
      </w:tblPr>
      <w:tblGrid>
        <w:gridCol w:w="9162"/>
      </w:tblGrid>
      <w:tr w:rsidR="00873964" w14:paraId="248F420C" w14:textId="77777777" w:rsidTr="00EC4EFD">
        <w:trPr>
          <w:trHeight w:val="6123"/>
        </w:trPr>
        <w:tc>
          <w:tcPr>
            <w:tcW w:w="9162" w:type="dxa"/>
            <w:shd w:val="clear" w:color="auto" w:fill="D9D9D9" w:themeFill="background1" w:themeFillShade="D9"/>
          </w:tcPr>
          <w:p w14:paraId="5A2661D2" w14:textId="77777777" w:rsidR="00873964" w:rsidRPr="00344692" w:rsidRDefault="00873964" w:rsidP="00785431">
            <w:pPr>
              <w:spacing w:after="240" w:line="320" w:lineRule="auto"/>
              <w:rPr>
                <w:rFonts w:ascii="Helvetica" w:eastAsia="Helvetica" w:hAnsi="Helvetica" w:cs="Helvetica"/>
                <w:color w:val="3F3F3F"/>
                <w:sz w:val="24"/>
              </w:rPr>
            </w:pPr>
            <w:bookmarkStart w:id="49" w:name="_Toc515874438"/>
            <w:bookmarkStart w:id="50" w:name="_Toc515874509"/>
            <w:bookmarkStart w:id="51" w:name="_Toc515874679"/>
            <w:r w:rsidRPr="00344692">
              <w:rPr>
                <w:rFonts w:ascii="Helvetica" w:eastAsia="Helvetica" w:hAnsi="Helvetica" w:cs="Helvetica"/>
                <w:color w:val="3F3F3F"/>
                <w:sz w:val="24"/>
              </w:rPr>
              <w:t xml:space="preserve">Attracting and retaining skilled professionals such as teachers and health workers to live and work in rural and remote locations across Australia is challenging. </w:t>
            </w:r>
          </w:p>
          <w:p w14:paraId="0D839128" w14:textId="77777777" w:rsidR="00873964" w:rsidRPr="00344692" w:rsidRDefault="00873964"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We tested whether novel, salient communications would encourage more trainee teachers to undertake professional experience placements in rural and remote schools in NSW.</w:t>
            </w:r>
          </w:p>
          <w:p w14:paraId="0B645EA3" w14:textId="77777777" w:rsidR="00873964" w:rsidRPr="004E3FC0" w:rsidRDefault="00873964"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 xml:space="preserve">The results were mixed. In one study, we found trainee teachers who were made aware of the opportunity via email, postcard and text message were three times more likely to choose rural/remote placements than those in the control group. </w:t>
            </w:r>
            <w:r>
              <w:rPr>
                <w:rFonts w:ascii="Helvetica" w:eastAsia="Helvetica" w:hAnsi="Helvetica" w:cs="Helvetica"/>
                <w:color w:val="3F3F3F"/>
                <w:sz w:val="24"/>
              </w:rPr>
              <w:br/>
            </w:r>
            <w:r w:rsidRPr="00344692">
              <w:rPr>
                <w:rFonts w:ascii="Helvetica" w:eastAsia="Helvetica" w:hAnsi="Helvetica" w:cs="Helvetica"/>
                <w:color w:val="3F3F3F"/>
                <w:sz w:val="24"/>
              </w:rPr>
              <w:t>In another study, we found an email alone did not have the same effect.</w:t>
            </w:r>
          </w:p>
        </w:tc>
      </w:tr>
    </w:tbl>
    <w:bookmarkEnd w:id="49"/>
    <w:bookmarkEnd w:id="50"/>
    <w:bookmarkEnd w:id="51"/>
    <w:p w14:paraId="0083BEBD" w14:textId="3CCDA6F3" w:rsidR="005A2A67" w:rsidRPr="004E3FC0" w:rsidRDefault="005A2A67" w:rsidP="005A2A67">
      <w:pPr>
        <w:pStyle w:val="h4"/>
      </w:pPr>
      <w:r w:rsidRPr="004E3FC0">
        <w:t>Abstract</w:t>
      </w:r>
    </w:p>
    <w:p w14:paraId="4724D004" w14:textId="2AC31CA9" w:rsidR="00EC4EFD" w:rsidRDefault="00EC4EFD" w:rsidP="00FA59A7">
      <w:pPr>
        <w:pStyle w:val="h4"/>
      </w:pPr>
      <w:r w:rsidRPr="00573712">
        <w:t>Project by</w:t>
      </w:r>
    </w:p>
    <w:p w14:paraId="6A4D16B2" w14:textId="0F6CBABE" w:rsidR="00EC4EFD" w:rsidRDefault="00EC4EFD" w:rsidP="00EC4EFD">
      <w:r>
        <w:rPr>
          <w:noProof/>
        </w:rPr>
        <w:drawing>
          <wp:anchor distT="0" distB="0" distL="114300" distR="114300" simplePos="0" relativeHeight="251800064" behindDoc="0" locked="0" layoutInCell="1" allowOverlap="1" wp14:anchorId="6FA18AA4" wp14:editId="1AA611FB">
            <wp:simplePos x="0" y="0"/>
            <wp:positionH relativeFrom="column">
              <wp:posOffset>1220145</wp:posOffset>
            </wp:positionH>
            <wp:positionV relativeFrom="paragraph">
              <wp:posOffset>14516</wp:posOffset>
            </wp:positionV>
            <wp:extent cx="1864360" cy="566420"/>
            <wp:effectExtent l="0" t="0" r="2540" b="5080"/>
            <wp:wrapNone/>
            <wp:docPr id="737" name="Picture 737" descr="NSW Government Department of Premier and Cabinet Behavioural Insights Uni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wiryakuc\AppData\Local\Temp\OBJECTIVE\DPC_Behavioural_Insights_Two Colour.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64360" cy="56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AEC">
        <w:rPr>
          <w:noProof/>
        </w:rPr>
        <w:drawing>
          <wp:anchor distT="0" distB="0" distL="114300" distR="114300" simplePos="0" relativeHeight="251801088" behindDoc="0" locked="0" layoutInCell="1" allowOverlap="1" wp14:anchorId="66865793" wp14:editId="19FA0159">
            <wp:simplePos x="0" y="0"/>
            <wp:positionH relativeFrom="column">
              <wp:posOffset>4096237</wp:posOffset>
            </wp:positionH>
            <wp:positionV relativeFrom="paragraph">
              <wp:posOffset>14871</wp:posOffset>
            </wp:positionV>
            <wp:extent cx="1779905" cy="885825"/>
            <wp:effectExtent l="0" t="0" r="0" b="0"/>
            <wp:wrapNone/>
            <wp:docPr id="705" name="Picture 705" descr="The Behavioural Insights Team" title="Logo"/>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0" cstate="print">
                      <a:extLst>
                        <a:ext uri="{28A0092B-C50C-407E-A947-70E740481C1C}">
                          <a14:useLocalDpi xmlns:a14="http://schemas.microsoft.com/office/drawing/2010/main" val="0"/>
                        </a:ext>
                      </a:extLst>
                    </a:blip>
                    <a:srcRect t="-1" b="-40407"/>
                    <a:stretch/>
                  </pic:blipFill>
                  <pic:spPr bwMode="auto">
                    <a:xfrm>
                      <a:off x="0" y="0"/>
                      <a:ext cx="177990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CA46D" w14:textId="778297D7" w:rsidR="00EC4EFD" w:rsidRDefault="00EC4EFD" w:rsidP="00EC4EFD"/>
    <w:p w14:paraId="24ECA372" w14:textId="74DF0DAA" w:rsidR="00EC4EFD" w:rsidRDefault="00EC4EFD" w:rsidP="00EC4EFD"/>
    <w:p w14:paraId="25470895" w14:textId="615BFE7B" w:rsidR="00EC4EFD" w:rsidRDefault="00EC4EFD" w:rsidP="00EC4EFD">
      <w:r w:rsidRPr="00642AEC">
        <w:rPr>
          <w:noProof/>
        </w:rPr>
        <w:drawing>
          <wp:anchor distT="0" distB="0" distL="114300" distR="114300" simplePos="0" relativeHeight="251799040" behindDoc="0" locked="0" layoutInCell="1" allowOverlap="1" wp14:anchorId="5C82C634" wp14:editId="0E552348">
            <wp:simplePos x="0" y="0"/>
            <wp:positionH relativeFrom="column">
              <wp:posOffset>1256518</wp:posOffset>
            </wp:positionH>
            <wp:positionV relativeFrom="paragraph">
              <wp:posOffset>151396</wp:posOffset>
            </wp:positionV>
            <wp:extent cx="1343660" cy="571500"/>
            <wp:effectExtent l="0" t="0" r="8890" b="0"/>
            <wp:wrapNone/>
            <wp:docPr id="85" name="Picture 85" descr="NSW Government Department of Education"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NSWEducation2.png"/>
                    <pic:cNvPicPr/>
                  </pic:nvPicPr>
                  <pic:blipFill rotWithShape="1">
                    <a:blip r:embed="rId70" cstate="print">
                      <a:extLst>
                        <a:ext uri="{28A0092B-C50C-407E-A947-70E740481C1C}">
                          <a14:useLocalDpi xmlns:a14="http://schemas.microsoft.com/office/drawing/2010/main" val="0"/>
                        </a:ext>
                      </a:extLst>
                    </a:blip>
                    <a:srcRect b="-19746"/>
                    <a:stretch/>
                  </pic:blipFill>
                  <pic:spPr bwMode="auto">
                    <a:xfrm>
                      <a:off x="0" y="0"/>
                      <a:ext cx="1343660"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211080" w14:textId="1C3A4DC4" w:rsidR="00EC4EFD" w:rsidRDefault="00EC4EFD" w:rsidP="00EC4EFD">
      <w:r>
        <w:rPr>
          <w:noProof/>
        </w:rPr>
        <w:drawing>
          <wp:anchor distT="0" distB="0" distL="114300" distR="114300" simplePos="0" relativeHeight="251802112" behindDoc="0" locked="0" layoutInCell="1" allowOverlap="1" wp14:anchorId="40830725" wp14:editId="133C71EF">
            <wp:simplePos x="0" y="0"/>
            <wp:positionH relativeFrom="column">
              <wp:posOffset>4111685</wp:posOffset>
            </wp:positionH>
            <wp:positionV relativeFrom="paragraph">
              <wp:posOffset>12937</wp:posOffset>
            </wp:positionV>
            <wp:extent cx="1647190" cy="530860"/>
            <wp:effectExtent l="0" t="0" r="0" b="2540"/>
            <wp:wrapNone/>
            <wp:docPr id="738" name="Picture 738" descr="University of Wollongong Australi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wiryakuc\AppData\Local\Temp\OBJECTIVE\uow.png"/>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7190" cy="53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C611F" w14:textId="03C61A25" w:rsidR="00251049" w:rsidRPr="009A1846" w:rsidRDefault="00EC4EFD" w:rsidP="00EC4EFD">
      <w:pPr>
        <w:ind w:right="-428"/>
        <w:jc w:val="both"/>
      </w:pPr>
      <w:r>
        <w:rPr>
          <w:noProof/>
        </w:rPr>
        <w:drawing>
          <wp:anchor distT="0" distB="0" distL="114300" distR="114300" simplePos="0" relativeHeight="251803136" behindDoc="0" locked="0" layoutInCell="1" allowOverlap="1" wp14:anchorId="478DAECD" wp14:editId="64364DE3">
            <wp:simplePos x="0" y="0"/>
            <wp:positionH relativeFrom="page">
              <wp:posOffset>3384639</wp:posOffset>
            </wp:positionH>
            <wp:positionV relativeFrom="paragraph">
              <wp:posOffset>483279</wp:posOffset>
            </wp:positionV>
            <wp:extent cx="1858645" cy="697230"/>
            <wp:effectExtent l="0" t="0" r="0" b="0"/>
            <wp:wrapNone/>
            <wp:docPr id="739" name="Picture 739" descr="Macquarie University"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wiryakuc\AppData\Local\Temp\OBJECTIVE\macquarie_university_logo.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58645" cy="6972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Helvetica"/>
        </w:rPr>
        <w:t xml:space="preserve"> </w:t>
      </w:r>
      <w:r w:rsidR="00251049">
        <w:rPr>
          <w:rFonts w:eastAsia="Helvetica"/>
        </w:rPr>
        <w:br w:type="page"/>
      </w:r>
    </w:p>
    <w:p w14:paraId="3C4D270E" w14:textId="7C87AC5D" w:rsidR="00251049" w:rsidRPr="0004155D" w:rsidRDefault="00251049" w:rsidP="00D33213">
      <w:pPr>
        <w:pStyle w:val="h4"/>
      </w:pPr>
      <w:r w:rsidRPr="0004155D">
        <w:lastRenderedPageBreak/>
        <w:t xml:space="preserve">The policy problem </w:t>
      </w:r>
    </w:p>
    <w:p w14:paraId="1BAB28C2" w14:textId="70C62F67" w:rsidR="00A337DA" w:rsidRDefault="00A337DA" w:rsidP="007A3700">
      <w:pPr>
        <w:rPr>
          <w:rFonts w:eastAsia="Helvetica"/>
        </w:rPr>
      </w:pPr>
      <w:r>
        <w:rPr>
          <w:rFonts w:eastAsia="Helvetica"/>
        </w:rPr>
        <w:t xml:space="preserve">Attracting teachers to rural and remote locations in NSW is an ongoing priority for the NSW Department of Education. The decision to relocate from metropolitan NSW can be complex, even if it is temporary. Reasons for not relocating may include family and social reasons. </w:t>
      </w:r>
      <w:r w:rsidR="004F3B80">
        <w:rPr>
          <w:rFonts w:eastAsia="Helvetica"/>
        </w:rPr>
        <w:br/>
      </w:r>
      <w:r>
        <w:rPr>
          <w:rFonts w:eastAsia="Helvetica"/>
        </w:rPr>
        <w:t>We sought to change the behaviour of trainee teachers (i.e., students enrolled in teaching degrees at universities) who might otherwise be willing and able to relocate.</w:t>
      </w:r>
    </w:p>
    <w:p w14:paraId="0F89D788" w14:textId="77777777" w:rsidR="00251049" w:rsidRPr="0004155D" w:rsidRDefault="00251049" w:rsidP="00D33213">
      <w:pPr>
        <w:pStyle w:val="h4"/>
      </w:pPr>
      <w:r w:rsidRPr="0004155D">
        <w:t xml:space="preserve">Our findings and learnings </w:t>
      </w:r>
    </w:p>
    <w:p w14:paraId="361E2EFC" w14:textId="12E06E60" w:rsidR="00251049" w:rsidRDefault="00251049" w:rsidP="007A3700">
      <w:pPr>
        <w:rPr>
          <w:rFonts w:eastAsia="Helvetica"/>
        </w:rPr>
      </w:pPr>
      <w:r>
        <w:rPr>
          <w:rFonts w:eastAsia="Helvetica"/>
        </w:rPr>
        <w:t xml:space="preserve">We </w:t>
      </w:r>
      <w:r w:rsidR="00A337DA">
        <w:rPr>
          <w:rFonts w:eastAsia="Helvetica"/>
        </w:rPr>
        <w:t>examined</w:t>
      </w:r>
      <w:r>
        <w:rPr>
          <w:rFonts w:eastAsia="Helvetica"/>
        </w:rPr>
        <w:t xml:space="preserve"> whether</w:t>
      </w:r>
      <w:r w:rsidR="00A337DA">
        <w:rPr>
          <w:rFonts w:eastAsia="Helvetica"/>
        </w:rPr>
        <w:t xml:space="preserve"> sending</w:t>
      </w:r>
      <w:r>
        <w:rPr>
          <w:rFonts w:eastAsia="Helvetica"/>
        </w:rPr>
        <w:t xml:space="preserve"> behaviourally-informed postcards and emails to trainee teachers encourage</w:t>
      </w:r>
      <w:r w:rsidR="00A337DA">
        <w:rPr>
          <w:rFonts w:eastAsia="Helvetica"/>
        </w:rPr>
        <w:t>d</w:t>
      </w:r>
      <w:r>
        <w:rPr>
          <w:rFonts w:eastAsia="Helvetica"/>
        </w:rPr>
        <w:t xml:space="preserve"> them to apply to rural and remote NSW schools.</w:t>
      </w:r>
    </w:p>
    <w:p w14:paraId="024F4FEC" w14:textId="77777777" w:rsidR="000933C6" w:rsidRDefault="000933C6"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61DEF894" w14:textId="77777777" w:rsidTr="001676E7">
        <w:trPr>
          <w:trHeight w:val="1"/>
        </w:trPr>
        <w:tc>
          <w:tcPr>
            <w:tcW w:w="5000" w:type="pct"/>
            <w:shd w:val="clear" w:color="auto" w:fill="F2F2F2"/>
            <w:tcMar>
              <w:left w:w="108" w:type="dxa"/>
              <w:right w:w="108" w:type="dxa"/>
            </w:tcMar>
          </w:tcPr>
          <w:p w14:paraId="3EFD4453" w14:textId="1751D4D8" w:rsidR="00251049" w:rsidRDefault="001676E7"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6768" behindDoc="1" locked="0" layoutInCell="1" allowOverlap="1" wp14:anchorId="79B481BE" wp14:editId="127F74D1">
                  <wp:simplePos x="0" y="0"/>
                  <wp:positionH relativeFrom="margin">
                    <wp:posOffset>-2540</wp:posOffset>
                  </wp:positionH>
                  <wp:positionV relativeFrom="paragraph">
                    <wp:posOffset>31475</wp:posOffset>
                  </wp:positionV>
                  <wp:extent cx="370800" cy="370800"/>
                  <wp:effectExtent l="0" t="0" r="0" b="3175"/>
                  <wp:wrapTight wrapText="bothSides">
                    <wp:wrapPolygon edited="0">
                      <wp:start x="0" y="0"/>
                      <wp:lineTo x="0" y="20007"/>
                      <wp:lineTo x="20007" y="20007"/>
                      <wp:lineTo x="20007" y="0"/>
                      <wp:lineTo x="0" y="0"/>
                    </wp:wrapPolygon>
                  </wp:wrapTight>
                  <wp:docPr id="60" name="Picture 60"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r w:rsidR="00A337DA">
              <w:rPr>
                <w:rFonts w:ascii="Helvetica" w:eastAsia="Helvetica" w:hAnsi="Helvetica" w:cs="Helvetica"/>
                <w:b/>
                <w:color w:val="142E3B"/>
                <w:sz w:val="24"/>
              </w:rPr>
              <w:t>s</w:t>
            </w:r>
          </w:p>
          <w:p w14:paraId="31FF1720" w14:textId="5B699E70" w:rsidR="00A337DA" w:rsidRDefault="00251049" w:rsidP="007A3700">
            <w:pPr>
              <w:rPr>
                <w:rFonts w:eastAsia="Helvetica"/>
              </w:rPr>
            </w:pPr>
            <w:r w:rsidRPr="0092738E">
              <w:rPr>
                <w:rFonts w:eastAsia="Helvetica"/>
                <w:b/>
                <w:color w:val="auto"/>
              </w:rPr>
              <w:t>Personalisation</w:t>
            </w:r>
            <w:r w:rsidRPr="0092738E">
              <w:rPr>
                <w:rFonts w:eastAsia="Helvetica"/>
                <w:color w:val="auto"/>
              </w:rPr>
              <w:t xml:space="preserve"> </w:t>
            </w:r>
            <w:r w:rsidR="00A337DA">
              <w:rPr>
                <w:rFonts w:eastAsia="Helvetica"/>
              </w:rPr>
              <w:t>attracts attention; people are more likely to respond to messages or services that have been tailored to them (e.g., people react to their names). When an individual’s name is used in a message, that person’s attention is drawn to it quickly and effortlessly. Additionally, personalised messages can make it easier for a person to imagine the costs or benefits of an action.</w:t>
            </w:r>
            <w:r w:rsidR="00A337DA">
              <w:rPr>
                <w:rStyle w:val="FootnoteReference"/>
                <w:rFonts w:eastAsia="Helvetica" w:cs="Helvetica"/>
                <w:color w:val="3F3F3F"/>
              </w:rPr>
              <w:footnoteReference w:id="33"/>
            </w:r>
          </w:p>
          <w:p w14:paraId="2226FA79" w14:textId="20066ECD" w:rsidR="00A337DA" w:rsidRDefault="00A337DA" w:rsidP="007A3700">
            <w:pPr>
              <w:rPr>
                <w:rFonts w:ascii="Times New Roman" w:hAnsi="Times New Roman"/>
                <w:color w:val="auto"/>
                <w:sz w:val="24"/>
                <w:szCs w:val="24"/>
              </w:rPr>
            </w:pPr>
            <w:r>
              <w:rPr>
                <w:rFonts w:eastAsia="Helvetica"/>
                <w:b/>
                <w:color w:val="1F1F1F" w:themeColor="text1" w:themeShade="80"/>
              </w:rPr>
              <w:t xml:space="preserve">Salience </w:t>
            </w:r>
            <w:r>
              <w:rPr>
                <w:rFonts w:eastAsia="Helvetica"/>
              </w:rPr>
              <w:t>describes how people are more likely to respond to stimuli that are novel, simple and accessible.</w:t>
            </w:r>
            <w:r>
              <w:rPr>
                <w:rStyle w:val="FootnoteReference"/>
                <w:rFonts w:eastAsia="Helvetica"/>
                <w:color w:val="3F3F3F"/>
              </w:rPr>
              <w:footnoteReference w:id="34"/>
            </w:r>
            <w:r>
              <w:rPr>
                <w:rFonts w:eastAsia="Helvetica"/>
              </w:rPr>
              <w:t xml:space="preserve"> For example, many people receive emails as their primary method of work-related communication and a ‘thank you’ card sent by a satisfied client would be salient to the recipient.</w:t>
            </w:r>
          </w:p>
          <w:p w14:paraId="153308A2" w14:textId="14E2C6E4" w:rsidR="00A337DA" w:rsidRPr="00A337DA" w:rsidRDefault="00A337DA" w:rsidP="007A3700">
            <w:pPr>
              <w:rPr>
                <w:rFonts w:ascii="Times New Roman" w:eastAsiaTheme="minorHAnsi" w:hAnsi="Times New Roman"/>
                <w:color w:val="auto"/>
                <w:sz w:val="24"/>
                <w:szCs w:val="24"/>
              </w:rPr>
            </w:pPr>
            <w:r>
              <w:rPr>
                <w:rFonts w:eastAsia="Helvetica"/>
                <w:b/>
                <w:color w:val="1F1F1F" w:themeColor="text1" w:themeShade="80"/>
              </w:rPr>
              <w:t xml:space="preserve">Social influence </w:t>
            </w:r>
            <w:r>
              <w:rPr>
                <w:rFonts w:eastAsia="Helvetica"/>
              </w:rPr>
              <w:t>matters. Even when information is readily available and accessible, people tend to turn to family, peers and friends for advice</w:t>
            </w:r>
            <w:r>
              <w:t>. For example, for high school students, a conversation with peers about study options can be more powerful than the advice of a careers coordinator.</w:t>
            </w:r>
            <w:r>
              <w:rPr>
                <w:rFonts w:ascii="Times New Roman" w:eastAsiaTheme="minorHAnsi" w:hAnsi="Times New Roman"/>
                <w:color w:val="auto"/>
                <w:sz w:val="24"/>
                <w:szCs w:val="24"/>
              </w:rPr>
              <w:t xml:space="preserve"> </w:t>
            </w:r>
          </w:p>
        </w:tc>
      </w:tr>
    </w:tbl>
    <w:p w14:paraId="41F33BC7" w14:textId="3491DE23" w:rsidR="00251049" w:rsidRPr="0004155D" w:rsidRDefault="00251049" w:rsidP="00D33213">
      <w:pPr>
        <w:pStyle w:val="h5"/>
      </w:pPr>
      <w:r w:rsidRPr="0004155D">
        <w:t xml:space="preserve">Trial with </w:t>
      </w:r>
      <w:r w:rsidR="00B52690">
        <w:t xml:space="preserve">the </w:t>
      </w:r>
      <w:r w:rsidRPr="0004155D">
        <w:t>University of Wollongong</w:t>
      </w:r>
    </w:p>
    <w:p w14:paraId="230D5656" w14:textId="211EAB0D" w:rsidR="00A337DA" w:rsidRDefault="00A337DA" w:rsidP="007A3700">
      <w:pPr>
        <w:rPr>
          <w:rFonts w:eastAsia="Helvetica"/>
        </w:rPr>
      </w:pPr>
      <w:r>
        <w:rPr>
          <w:rFonts w:eastAsia="Helvetica"/>
        </w:rPr>
        <w:t>In this trial, half of the trainee teachers (i.e., those in the control group) received a general, business-as-usual communication about teaching placements that briefly referred to remote/rural placements. The other half of the trainee teachers (i.e., those in the intervention group) received a set of personalised and timely prompts, such as behaviourally</w:t>
      </w:r>
      <w:r>
        <w:rPr>
          <w:rFonts w:eastAsia="Helvetica"/>
        </w:rPr>
        <w:noBreakHyphen/>
        <w:t xml:space="preserve">informed postcards that were sent to their homes. </w:t>
      </w:r>
    </w:p>
    <w:p w14:paraId="2F1E5377" w14:textId="22BC33F6" w:rsidR="00251049" w:rsidRDefault="00A337DA" w:rsidP="007A3700">
      <w:pPr>
        <w:rPr>
          <w:rFonts w:eastAsia="Helvetica"/>
        </w:rPr>
      </w:pPr>
      <w:r>
        <w:rPr>
          <w:rFonts w:eastAsia="Helvetica"/>
        </w:rPr>
        <w:t>The postcards were effective</w:t>
      </w:r>
      <w:r w:rsidR="00E908AC">
        <w:rPr>
          <w:rFonts w:eastAsia="Helvetica"/>
        </w:rPr>
        <w:t>:</w:t>
      </w:r>
      <w:r>
        <w:rPr>
          <w:rFonts w:eastAsia="Helvetica"/>
        </w:rPr>
        <w:t xml:space="preserve"> the number of trainee teachers in the intervention group who opted for rural/remote placements was triple (12.6</w:t>
      </w:r>
      <w:r w:rsidR="001D6EFD">
        <w:rPr>
          <w:rFonts w:eastAsia="Helvetica"/>
        </w:rPr>
        <w:t> </w:t>
      </w:r>
      <w:r>
        <w:rPr>
          <w:rFonts w:eastAsia="Helvetica"/>
        </w:rPr>
        <w:t>per</w:t>
      </w:r>
      <w:r w:rsidR="001D6EFD">
        <w:rPr>
          <w:rFonts w:eastAsia="Helvetica"/>
        </w:rPr>
        <w:t> </w:t>
      </w:r>
      <w:r>
        <w:rPr>
          <w:rFonts w:eastAsia="Helvetica"/>
        </w:rPr>
        <w:t>cent) that of trainee teachers in the control group (4.2 per cent) (p=0.027). See</w:t>
      </w:r>
      <w:r w:rsidR="00251049">
        <w:rPr>
          <w:rFonts w:eastAsia="Helvetica"/>
        </w:rPr>
        <w:t xml:space="preserve"> </w:t>
      </w:r>
      <w:r w:rsidR="00E72A02">
        <w:rPr>
          <w:rFonts w:eastAsia="Helvetica"/>
        </w:rPr>
        <w:fldChar w:fldCharType="begin"/>
      </w:r>
      <w:r w:rsidR="00E72A02">
        <w:rPr>
          <w:rFonts w:eastAsia="Helvetica"/>
        </w:rPr>
        <w:instrText xml:space="preserve"> REF _Ref513795216 \h </w:instrText>
      </w:r>
      <w:r w:rsidR="004E3FC0">
        <w:rPr>
          <w:rFonts w:eastAsia="Helvetica"/>
        </w:rPr>
        <w:instrText xml:space="preserve"> \* MERGEFORMAT </w:instrText>
      </w:r>
      <w:r w:rsidR="00E72A02">
        <w:rPr>
          <w:rFonts w:eastAsia="Helvetica"/>
        </w:rPr>
      </w:r>
      <w:r w:rsidR="00E72A02">
        <w:rPr>
          <w:rFonts w:eastAsia="Helvetica"/>
        </w:rPr>
        <w:fldChar w:fldCharType="separate"/>
      </w:r>
      <w:r w:rsidR="00B01953">
        <w:t xml:space="preserve">Figure </w:t>
      </w:r>
      <w:r w:rsidR="00B01953">
        <w:rPr>
          <w:noProof/>
        </w:rPr>
        <w:t>13</w:t>
      </w:r>
      <w:r w:rsidR="00E72A02">
        <w:rPr>
          <w:rFonts w:eastAsia="Helvetica"/>
        </w:rPr>
        <w:fldChar w:fldCharType="end"/>
      </w:r>
      <w:r w:rsidR="00251049">
        <w:rPr>
          <w:rFonts w:eastAsia="Helvetica"/>
        </w:rPr>
        <w:t>.</w:t>
      </w:r>
    </w:p>
    <w:p w14:paraId="3974BDDE" w14:textId="43E0BDCF" w:rsidR="00251049" w:rsidRDefault="00251049" w:rsidP="007A3700">
      <w:pPr>
        <w:rPr>
          <w:rFonts w:eastAsia="Helvetica"/>
        </w:rPr>
      </w:pPr>
      <w:r>
        <w:rPr>
          <w:rFonts w:eastAsia="Helvetica"/>
        </w:rPr>
        <w:t xml:space="preserve">Since the trial, the university has implemented an easier online application process for future trainee teachers </w:t>
      </w:r>
      <w:r w:rsidR="00A337DA">
        <w:rPr>
          <w:rFonts w:eastAsia="Helvetica"/>
        </w:rPr>
        <w:t xml:space="preserve">who wish </w:t>
      </w:r>
      <w:r>
        <w:rPr>
          <w:rFonts w:eastAsia="Helvetica"/>
        </w:rPr>
        <w:t xml:space="preserve">to undertake rural and remote placements. </w:t>
      </w:r>
    </w:p>
    <w:p w14:paraId="4EA4CBFC" w14:textId="69802B65" w:rsidR="00251049" w:rsidRDefault="00E72A02" w:rsidP="004E3FC0">
      <w:pPr>
        <w:pStyle w:val="Caption"/>
        <w:jc w:val="both"/>
        <w:rPr>
          <w:rFonts w:ascii="Helvetica" w:eastAsia="Helvetica" w:hAnsi="Helvetica" w:cs="Helvetica"/>
          <w:b/>
          <w:color w:val="117479"/>
        </w:rPr>
      </w:pPr>
      <w:bookmarkStart w:id="52" w:name="_Ref513795216"/>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13</w:t>
      </w:r>
      <w:r w:rsidR="003035A6">
        <w:rPr>
          <w:noProof/>
        </w:rPr>
        <w:fldChar w:fldCharType="end"/>
      </w:r>
      <w:bookmarkEnd w:id="52"/>
      <w:r>
        <w:t xml:space="preserve">: </w:t>
      </w:r>
      <w:r w:rsidR="00251049" w:rsidRPr="00E72A02">
        <w:rPr>
          <w:rFonts w:ascii="Helvetica" w:eastAsia="Helvetica" w:hAnsi="Helvetica" w:cs="Helvetica"/>
          <w:color w:val="117479"/>
        </w:rPr>
        <w:t>Proportion of students submitting application</w:t>
      </w:r>
      <w:r w:rsidR="00A337DA">
        <w:rPr>
          <w:rFonts w:ascii="Helvetica" w:eastAsia="Helvetica" w:hAnsi="Helvetica" w:cs="Helvetica"/>
          <w:color w:val="117479"/>
        </w:rPr>
        <w:t>s</w:t>
      </w:r>
      <w:r w:rsidR="00251049" w:rsidRPr="00E72A02">
        <w:rPr>
          <w:rFonts w:ascii="Helvetica" w:eastAsia="Helvetica" w:hAnsi="Helvetica" w:cs="Helvetica"/>
          <w:color w:val="117479"/>
        </w:rPr>
        <w:t xml:space="preserve"> for rural</w:t>
      </w:r>
      <w:r>
        <w:rPr>
          <w:rFonts w:ascii="Helvetica" w:eastAsia="Helvetica" w:hAnsi="Helvetica" w:cs="Helvetica"/>
          <w:color w:val="117479"/>
        </w:rPr>
        <w:t>/</w:t>
      </w:r>
      <w:r w:rsidR="00251049" w:rsidRPr="00E72A02">
        <w:rPr>
          <w:rFonts w:ascii="Helvetica" w:eastAsia="Helvetica" w:hAnsi="Helvetica" w:cs="Helvetica"/>
          <w:color w:val="117479"/>
        </w:rPr>
        <w:t xml:space="preserve">remote </w:t>
      </w:r>
      <w:r w:rsidR="00A337DA">
        <w:rPr>
          <w:rFonts w:ascii="Helvetica" w:eastAsia="Helvetica" w:hAnsi="Helvetica" w:cs="Helvetica"/>
          <w:color w:val="117479"/>
        </w:rPr>
        <w:t>placements</w:t>
      </w:r>
      <w:r w:rsidR="00251049" w:rsidRPr="00E72A02">
        <w:rPr>
          <w:rFonts w:ascii="Helvetica" w:eastAsia="Helvetica" w:hAnsi="Helvetica" w:cs="Helvetica"/>
          <w:color w:val="117479"/>
        </w:rPr>
        <w:t xml:space="preserve"> </w:t>
      </w:r>
    </w:p>
    <w:p w14:paraId="23325053" w14:textId="1FFF37DB" w:rsidR="00251049" w:rsidRDefault="0086735A" w:rsidP="004E3FC0">
      <w:pPr>
        <w:jc w:val="both"/>
        <w:rPr>
          <w:rFonts w:eastAsia="Helvetica"/>
        </w:rPr>
      </w:pPr>
      <w:r>
        <w:rPr>
          <w:rFonts w:eastAsia="Helvetica"/>
          <w:noProof/>
        </w:rPr>
        <w:drawing>
          <wp:inline distT="0" distB="0" distL="0" distR="0" wp14:anchorId="1D0E94A4" wp14:editId="067D34E5">
            <wp:extent cx="5384800" cy="2311400"/>
            <wp:effectExtent l="0" t="0" r="0" b="0"/>
            <wp:docPr id="127" name="Picture 127" descr="The postcards were effective: the number of trainee teachers in the intervention group who opted for rural/remote placements was triple (12.6 per cent) that of trainee teachers in the control group (4.2 per cent) (p=0.027)."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ig13.png"/>
                    <pic:cNvPicPr/>
                  </pic:nvPicPr>
                  <pic:blipFill>
                    <a:blip r:embed="rId73">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29289536" w14:textId="3AE82022" w:rsidR="00251049" w:rsidRDefault="00251049" w:rsidP="00D33213">
      <w:pPr>
        <w:pStyle w:val="h5"/>
      </w:pPr>
      <w:r w:rsidRPr="0004155D">
        <w:t>Trial with Macquarie University</w:t>
      </w:r>
    </w:p>
    <w:p w14:paraId="597A950F" w14:textId="7FA24072" w:rsidR="00A337DA" w:rsidRDefault="00A337DA" w:rsidP="007A3700">
      <w:pPr>
        <w:rPr>
          <w:rFonts w:eastAsia="Helvetica"/>
        </w:rPr>
      </w:pPr>
      <w:r>
        <w:rPr>
          <w:rFonts w:eastAsia="Helvetica"/>
        </w:rPr>
        <w:t xml:space="preserve">In this trial, the trainee teachers in the intervention group received an email with additional information about remote/rural placements and a video testimonial from a previous student. </w:t>
      </w:r>
      <w:r w:rsidR="004F3B80">
        <w:rPr>
          <w:rFonts w:eastAsia="Helvetica"/>
        </w:rPr>
        <w:br/>
      </w:r>
      <w:r>
        <w:rPr>
          <w:rFonts w:eastAsia="Helvetica"/>
        </w:rPr>
        <w:t xml:space="preserve">The trainee teachers in the control group received an email but with no additional information. </w:t>
      </w:r>
    </w:p>
    <w:p w14:paraId="4EB5423B" w14:textId="439C1960" w:rsidR="00A337DA" w:rsidRDefault="00A337DA" w:rsidP="007A3700">
      <w:pPr>
        <w:rPr>
          <w:rFonts w:eastAsia="Helvetica"/>
        </w:rPr>
      </w:pPr>
      <w:r>
        <w:rPr>
          <w:rFonts w:eastAsia="Helvetica"/>
        </w:rPr>
        <w:t>Four applications were received from trainee teachers in the intervention group and no applications were received from trainee teachers in the control group. Due to the small sample size, this increase was not statistically significant (n = 81, p=0.116). However, as a result of the trial, Macquarie University has decided to trial an email that will include enhanced video links to encourage more trainee teachers to undertake rural/remote placements.</w:t>
      </w:r>
    </w:p>
    <w:p w14:paraId="54CE1CB8" w14:textId="77777777" w:rsidR="00251049" w:rsidRPr="0004155D" w:rsidRDefault="00251049" w:rsidP="00D33213">
      <w:pPr>
        <w:pStyle w:val="h4"/>
      </w:pPr>
      <w:r w:rsidRPr="0004155D">
        <w:t xml:space="preserve">Future opportunities </w:t>
      </w:r>
    </w:p>
    <w:p w14:paraId="1F3B6DC8" w14:textId="7F8AB85F" w:rsidR="00251049" w:rsidRDefault="00251049" w:rsidP="007A3700">
      <w:pPr>
        <w:rPr>
          <w:rFonts w:eastAsia="Helvetica"/>
        </w:rPr>
      </w:pPr>
      <w:r>
        <w:rPr>
          <w:rFonts w:eastAsia="Helvetica"/>
        </w:rPr>
        <w:t xml:space="preserve">Behavioural insights can be applied to improve geographical mobility within one occupational group. As countries become increasingly urbanised, it is valuable to consider </w:t>
      </w:r>
      <w:r w:rsidR="00A337DA">
        <w:rPr>
          <w:rFonts w:eastAsia="Helvetica"/>
        </w:rPr>
        <w:t xml:space="preserve">which </w:t>
      </w:r>
      <w:r>
        <w:rPr>
          <w:rFonts w:eastAsia="Helvetica"/>
        </w:rPr>
        <w:t xml:space="preserve">behavioural approaches encourage skilled professionals to </w:t>
      </w:r>
      <w:r w:rsidR="00A337DA">
        <w:rPr>
          <w:rFonts w:eastAsia="Helvetica"/>
        </w:rPr>
        <w:t>seek</w:t>
      </w:r>
      <w:r>
        <w:rPr>
          <w:rFonts w:eastAsia="Helvetica"/>
        </w:rPr>
        <w:t xml:space="preserve"> employment (in this case temporary</w:t>
      </w:r>
      <w:r w:rsidR="00A337DA">
        <w:rPr>
          <w:rFonts w:eastAsia="Helvetica"/>
        </w:rPr>
        <w:t xml:space="preserve"> employment</w:t>
      </w:r>
      <w:r>
        <w:rPr>
          <w:rFonts w:eastAsia="Helvetica"/>
        </w:rPr>
        <w:t>) outside metropolitan areas.</w:t>
      </w:r>
    </w:p>
    <w:p w14:paraId="46554937" w14:textId="2631DBF9" w:rsidR="007A3700" w:rsidRDefault="007A3700">
      <w:pPr>
        <w:keepLines w:val="0"/>
        <w:spacing w:before="0" w:after="0" w:line="240" w:lineRule="auto"/>
        <w:rPr>
          <w:rFonts w:eastAsia="Helvetica"/>
        </w:rPr>
      </w:pPr>
      <w:r>
        <w:rPr>
          <w:rFonts w:eastAsia="Helvetica"/>
        </w:rPr>
        <w:br w:type="page"/>
      </w:r>
    </w:p>
    <w:p w14:paraId="61D0B1CD" w14:textId="43AB0C6A" w:rsidR="00785431" w:rsidRDefault="00785431" w:rsidP="00FA59A7">
      <w:pPr>
        <w:pStyle w:val="Heading3"/>
        <w:framePr w:wrap="around" w:x="1445" w:y="1391"/>
        <w:spacing w:after="240"/>
        <w:ind w:right="-13"/>
        <w:rPr>
          <w:bCs/>
        </w:rPr>
      </w:pPr>
      <w:r w:rsidRPr="00785431">
        <w:rPr>
          <w:bCs/>
        </w:rPr>
        <w:lastRenderedPageBreak/>
        <w:t>Increasing employment of disadvantaged job seekers via wage subsidies</w:t>
      </w:r>
    </w:p>
    <w:p w14:paraId="14080ACA" w14:textId="11293D8B" w:rsidR="005A2A67" w:rsidRPr="005A2A67" w:rsidRDefault="005A2A67" w:rsidP="00FA59A7">
      <w:pPr>
        <w:pStyle w:val="h4"/>
        <w:framePr w:hSpace="180" w:wrap="around" w:vAnchor="page" w:hAnchor="page" w:x="1445" w:y="1391"/>
      </w:pPr>
      <w:r w:rsidRPr="004E3FC0">
        <w:t>Abstract</w:t>
      </w:r>
    </w:p>
    <w:tbl>
      <w:tblPr>
        <w:tblStyle w:val="TableGrid"/>
        <w:tblpPr w:leftFromText="180" w:rightFromText="180" w:vertAnchor="page" w:horzAnchor="margin" w:tblpY="5778"/>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Increasing employment of disadvantaged job seekers via wage subsidies"/>
        <w:tblDescription w:val="Text box description of a trial by the Australian Government to test whether wage subsidies could help disadvantaged job seekers find employment."/>
      </w:tblPr>
      <w:tblGrid>
        <w:gridCol w:w="9162"/>
      </w:tblGrid>
      <w:tr w:rsidR="00FA59A7" w14:paraId="10C93AB0" w14:textId="77777777" w:rsidTr="00FA59A7">
        <w:trPr>
          <w:trHeight w:val="6123"/>
        </w:trPr>
        <w:tc>
          <w:tcPr>
            <w:tcW w:w="9162" w:type="dxa"/>
            <w:tcBorders>
              <w:bottom w:val="nil"/>
            </w:tcBorders>
            <w:shd w:val="clear" w:color="auto" w:fill="D9D9D9" w:themeFill="background1" w:themeFillShade="D9"/>
          </w:tcPr>
          <w:p w14:paraId="26104D10" w14:textId="77777777" w:rsidR="00FA59A7" w:rsidRPr="00344692" w:rsidRDefault="00FA59A7" w:rsidP="00FA59A7">
            <w:pPr>
              <w:spacing w:after="240" w:line="320" w:lineRule="auto"/>
              <w:rPr>
                <w:rFonts w:ascii="Helvetica" w:eastAsia="Helvetica" w:hAnsi="Helvetica" w:cs="Helvetica"/>
                <w:color w:val="3F3F3F"/>
                <w:sz w:val="24"/>
              </w:rPr>
            </w:pPr>
            <w:bookmarkStart w:id="53" w:name="_Toc515874439"/>
            <w:bookmarkStart w:id="54" w:name="_Toc515874510"/>
            <w:bookmarkStart w:id="55" w:name="_Toc515874680"/>
            <w:r w:rsidRPr="00344692">
              <w:rPr>
                <w:rFonts w:ascii="Helvetica" w:eastAsia="Helvetica" w:hAnsi="Helvetica" w:cs="Helvetica"/>
                <w:color w:val="3F3F3F"/>
                <w:sz w:val="24"/>
              </w:rPr>
              <w:t>Financial incentives (wage subsidies) are provided by the Australian Government to businesses that employ disadvantaged job seekers. We designed a set of behaviourally-informed solutions to encourage businesses to take advantage of these wage subsidies.</w:t>
            </w:r>
          </w:p>
          <w:p w14:paraId="5A6932A8" w14:textId="77777777" w:rsidR="00FA59A7" w:rsidRPr="004E3FC0" w:rsidRDefault="00FA59A7" w:rsidP="00FA59A7">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The results showed a simplified online form and improving framing of wage subsidies helped to reduce business ‘red tape’ and removed negative signals about the qualities of disadvantaged job seekers.</w:t>
            </w:r>
          </w:p>
        </w:tc>
      </w:tr>
    </w:tbl>
    <w:bookmarkEnd w:id="53"/>
    <w:bookmarkEnd w:id="54"/>
    <w:bookmarkEnd w:id="55"/>
    <w:p w14:paraId="797EE052" w14:textId="77777777" w:rsidR="00FA59A7" w:rsidRDefault="00FA59A7" w:rsidP="00FA59A7">
      <w:pPr>
        <w:pStyle w:val="h4"/>
      </w:pPr>
      <w:r w:rsidRPr="00573712">
        <w:t>Project by</w:t>
      </w:r>
    </w:p>
    <w:p w14:paraId="13709743" w14:textId="0E330F43" w:rsidR="00FA59A7" w:rsidRDefault="00FA59A7" w:rsidP="00FA59A7">
      <w:r w:rsidRPr="00642AEC">
        <w:rPr>
          <w:noProof/>
        </w:rPr>
        <w:drawing>
          <wp:anchor distT="0" distB="0" distL="114300" distR="114300" simplePos="0" relativeHeight="251805184" behindDoc="0" locked="0" layoutInCell="1" allowOverlap="1" wp14:anchorId="764914C2" wp14:editId="2C7A8E82">
            <wp:simplePos x="0" y="0"/>
            <wp:positionH relativeFrom="column">
              <wp:posOffset>2354447</wp:posOffset>
            </wp:positionH>
            <wp:positionV relativeFrom="paragraph">
              <wp:posOffset>90052</wp:posOffset>
            </wp:positionV>
            <wp:extent cx="1875155" cy="664845"/>
            <wp:effectExtent l="0" t="0" r="0" b="1905"/>
            <wp:wrapNone/>
            <wp:docPr id="65" name="Picture 65" descr="The Behavioural Insights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875155" cy="664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7A75A" w14:textId="071C21D7" w:rsidR="00FA59A7" w:rsidRDefault="00FA59A7" w:rsidP="00FA59A7">
      <w:r w:rsidRPr="00642AEC">
        <w:rPr>
          <w:noProof/>
        </w:rPr>
        <w:drawing>
          <wp:anchor distT="0" distB="0" distL="114300" distR="114300" simplePos="0" relativeHeight="251807232" behindDoc="0" locked="0" layoutInCell="1" allowOverlap="1" wp14:anchorId="6DF91658" wp14:editId="71C04A6E">
            <wp:simplePos x="0" y="0"/>
            <wp:positionH relativeFrom="column">
              <wp:posOffset>4319757</wp:posOffset>
            </wp:positionH>
            <wp:positionV relativeFrom="paragraph">
              <wp:posOffset>11622</wp:posOffset>
            </wp:positionV>
            <wp:extent cx="1555750" cy="611505"/>
            <wp:effectExtent l="0" t="0" r="6350" b="0"/>
            <wp:wrapNone/>
            <wp:docPr id="66" name="Picture 66" descr="Mission Providen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260" r="16260"/>
                    <a:stretch/>
                  </pic:blipFill>
                  <pic:spPr bwMode="auto">
                    <a:xfrm>
                      <a:off x="0" y="0"/>
                      <a:ext cx="1555750" cy="611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2AEC">
        <w:rPr>
          <w:noProof/>
        </w:rPr>
        <w:drawing>
          <wp:anchor distT="0" distB="0" distL="114300" distR="114300" simplePos="0" relativeHeight="251806208" behindDoc="0" locked="0" layoutInCell="1" allowOverlap="1" wp14:anchorId="74E75E0F" wp14:editId="6044505E">
            <wp:simplePos x="0" y="0"/>
            <wp:positionH relativeFrom="margin">
              <wp:align>left</wp:align>
            </wp:positionH>
            <wp:positionV relativeFrom="paragraph">
              <wp:posOffset>18415</wp:posOffset>
            </wp:positionV>
            <wp:extent cx="2150745" cy="575945"/>
            <wp:effectExtent l="0" t="0" r="1905" b="0"/>
            <wp:wrapNone/>
            <wp:docPr id="67" name="Picture 67" descr="Australian Government Department of Jobs and Small Busines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ustralian Government Department of Jobs and Small Business Crest"/>
                    <pic:cNvPicPr/>
                  </pic:nvPicPr>
                  <pic:blipFill rotWithShape="1">
                    <a:blip r:embed="rId76" cstate="print">
                      <a:extLst>
                        <a:ext uri="{28A0092B-C50C-407E-A947-70E740481C1C}">
                          <a14:useLocalDpi xmlns:a14="http://schemas.microsoft.com/office/drawing/2010/main" val="0"/>
                        </a:ext>
                      </a:extLst>
                    </a:blip>
                    <a:srcRect t="2" b="-50075"/>
                    <a:stretch/>
                  </pic:blipFill>
                  <pic:spPr bwMode="auto">
                    <a:xfrm>
                      <a:off x="0" y="0"/>
                      <a:ext cx="2150745"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C0282" w14:textId="795D505D" w:rsidR="00FA59A7" w:rsidRDefault="00FA59A7" w:rsidP="00FA59A7"/>
    <w:p w14:paraId="5C246930" w14:textId="42D36608" w:rsidR="00251049" w:rsidRPr="0004155D" w:rsidRDefault="00251049" w:rsidP="00FA59A7">
      <w:pPr>
        <w:pStyle w:val="h4"/>
      </w:pPr>
      <w:r w:rsidRPr="0004155D">
        <w:lastRenderedPageBreak/>
        <w:t>The policy problem</w:t>
      </w:r>
    </w:p>
    <w:p w14:paraId="660BDE03" w14:textId="7053304A" w:rsidR="007F51D0" w:rsidRDefault="007F51D0" w:rsidP="00AB7F22">
      <w:pPr>
        <w:rPr>
          <w:rFonts w:eastAsia="Helvetica"/>
        </w:rPr>
      </w:pPr>
      <w:r>
        <w:rPr>
          <w:rFonts w:eastAsia="Helvetica"/>
        </w:rPr>
        <w:t xml:space="preserve">Job seekers face multiple challenges when seeking employment; for example, negative associations with long-term unemployment can reinforce a vicious cycle that is difficult to break. It is vital job seekers are supported to gain employment as quickly as possible. The Australian Government provides wage subsidies to businesses that hire eligible job seekers. These wage subsidies are delivered through a network of </w:t>
      </w:r>
      <w:r>
        <w:rPr>
          <w:rFonts w:eastAsia="Helvetica"/>
          <w:i/>
        </w:rPr>
        <w:t>jobactive</w:t>
      </w:r>
      <w:r>
        <w:rPr>
          <w:rFonts w:eastAsia="Helvetica"/>
        </w:rPr>
        <w:t xml:space="preserve"> employment service providers operating across Australia. Standard economic theory predicts that a financial incentive should effectively encourage uptake; however, in this instance, uptake of wage subsidies was lower than expected in the first months after the launch of </w:t>
      </w:r>
      <w:r>
        <w:rPr>
          <w:rFonts w:eastAsia="Helvetica"/>
          <w:i/>
        </w:rPr>
        <w:t>jobactive</w:t>
      </w:r>
      <w:r>
        <w:rPr>
          <w:rFonts w:eastAsia="Helvetica"/>
        </w:rPr>
        <w:t>.</w:t>
      </w:r>
    </w:p>
    <w:p w14:paraId="00613453" w14:textId="77777777" w:rsidR="00251049" w:rsidRPr="0004155D" w:rsidRDefault="00251049" w:rsidP="00D33213">
      <w:pPr>
        <w:pStyle w:val="h4"/>
      </w:pPr>
      <w:r w:rsidRPr="0004155D">
        <w:t>Our findings and learnings</w:t>
      </w:r>
    </w:p>
    <w:p w14:paraId="41574AD5" w14:textId="36FF642E" w:rsidR="007F51D0" w:rsidRDefault="007F51D0" w:rsidP="007A3700">
      <w:pPr>
        <w:rPr>
          <w:rFonts w:eastAsia="Helvetica"/>
        </w:rPr>
      </w:pPr>
      <w:r>
        <w:rPr>
          <w:rFonts w:eastAsia="Helvetica"/>
        </w:rPr>
        <w:t>We conducted a number of workshops with the Department of Jobs and Small Business and the employment service provider, Mission Providence, to map the issues facing employment service providers when promoting and administering wage subsidies to employers.</w:t>
      </w:r>
      <w:r>
        <w:rPr>
          <w:rStyle w:val="FootnoteReference"/>
        </w:rPr>
        <w:footnoteReference w:id="35"/>
      </w:r>
    </w:p>
    <w:p w14:paraId="0B2B71C9" w14:textId="1DC6C980" w:rsidR="00251049" w:rsidRDefault="007F51D0" w:rsidP="007A3700">
      <w:pPr>
        <w:rPr>
          <w:rFonts w:eastAsia="Helvetica"/>
          <w:shd w:val="clear" w:color="auto" w:fill="FFFFFF"/>
        </w:rPr>
      </w:pPr>
      <w:r>
        <w:rPr>
          <w:rFonts w:eastAsia="Helvetica"/>
          <w:shd w:val="clear" w:color="auto" w:fill="FFFFFF"/>
        </w:rPr>
        <w:t>We found that to receive the subsidies, employers had to return a scanned and signed hard copy of a Wage Subsidy Agreement. This lengthy paperwork process assumed all employers had access to a printer and a scanner. Additionally, in communications issued by staff members of the employment service provider and the department, the nature of the subsidies was often negatively framed. This sent a negative signal about the qualities of a job seeker and even led some employers to ask, ‘Why are you paying me to hire this person?’.</w:t>
      </w:r>
      <w:r w:rsidR="0062070D">
        <w:rPr>
          <w:rFonts w:eastAsia="Helvetica"/>
          <w:shd w:val="clear" w:color="auto" w:fill="FFFFFF"/>
        </w:rPr>
        <w:br/>
      </w:r>
    </w:p>
    <w:tbl>
      <w:tblPr>
        <w:tblStyle w:val="TableGrid"/>
        <w:tblW w:w="0" w:type="auto"/>
        <w:tblLook w:val="04A0" w:firstRow="1" w:lastRow="0" w:firstColumn="1" w:lastColumn="0" w:noHBand="0" w:noVBand="1"/>
      </w:tblPr>
      <w:tblGrid>
        <w:gridCol w:w="8493"/>
      </w:tblGrid>
      <w:tr w:rsidR="0062070D" w14:paraId="1D80C72F" w14:textId="77777777" w:rsidTr="00057568">
        <w:tc>
          <w:tcPr>
            <w:tcW w:w="8493" w:type="dxa"/>
            <w:tcBorders>
              <w:left w:val="nil"/>
              <w:right w:val="nil"/>
            </w:tcBorders>
            <w:shd w:val="clear" w:color="auto" w:fill="F2F2F2" w:themeFill="background1" w:themeFillShade="F2"/>
          </w:tcPr>
          <w:p w14:paraId="5752C5F2" w14:textId="67CF2297" w:rsidR="0062070D" w:rsidRPr="0062070D" w:rsidRDefault="007F51D0" w:rsidP="00057568">
            <w:pPr>
              <w:rPr>
                <w:rStyle w:val="Emphasis"/>
                <w:b/>
                <w:i w:val="0"/>
                <w:iCs w:val="0"/>
              </w:rPr>
            </w:pPr>
            <w:r w:rsidRPr="0062070D">
              <w:rPr>
                <w:b/>
                <w:i/>
              </w:rPr>
              <w:t>Payment of</w:t>
            </w:r>
            <w:r w:rsidR="004F14F9" w:rsidRPr="0062070D">
              <w:rPr>
                <w:b/>
                <w:i/>
              </w:rPr>
              <w:t xml:space="preserve"> a subsidy to organisations for employing a job seeker inadvertently </w:t>
            </w:r>
            <w:r w:rsidRPr="0062070D">
              <w:rPr>
                <w:b/>
                <w:i/>
              </w:rPr>
              <w:t>sent</w:t>
            </w:r>
            <w:r w:rsidR="004F14F9" w:rsidRPr="0062070D">
              <w:rPr>
                <w:b/>
                <w:i/>
              </w:rPr>
              <w:t xml:space="preserve"> a negative signal about the quality of the job seeker themselves</w:t>
            </w:r>
          </w:p>
        </w:tc>
      </w:tr>
    </w:tbl>
    <w:p w14:paraId="7ADEA2C1" w14:textId="66602043" w:rsidR="00251049" w:rsidRPr="007F51D0" w:rsidRDefault="0062070D" w:rsidP="007A3700">
      <w:pPr>
        <w:rPr>
          <w:rFonts w:ascii="Times New Roman" w:eastAsiaTheme="minorHAnsi" w:hAnsi="Times New Roman"/>
          <w:color w:val="auto"/>
          <w:sz w:val="24"/>
          <w:szCs w:val="24"/>
        </w:rPr>
      </w:pPr>
      <w:r>
        <w:rPr>
          <w:rFonts w:eastAsia="Helvetica"/>
        </w:rPr>
        <w:br/>
      </w:r>
      <w:r w:rsidR="007F51D0">
        <w:rPr>
          <w:rFonts w:eastAsia="Helvetica"/>
        </w:rPr>
        <w:t>We applied The Behavioural Insights Team’s Easy, Attractive, Social and Timely (EAST) framework</w:t>
      </w:r>
      <w:r w:rsidR="007F51D0">
        <w:rPr>
          <w:rStyle w:val="FootnoteReference"/>
          <w:rFonts w:eastAsia="Helvetica"/>
        </w:rPr>
        <w:footnoteReference w:id="36"/>
      </w:r>
      <w:r w:rsidR="007F51D0">
        <w:rPr>
          <w:rFonts w:eastAsia="Helvetica"/>
        </w:rPr>
        <w:t xml:space="preserve"> to address the behavioural barriers preventing employers from seeking these subsidies.</w:t>
      </w:r>
      <w:r w:rsidR="007F51D0">
        <w:rPr>
          <w:rFonts w:ascii="Times New Roman" w:eastAsiaTheme="minorHAnsi" w:hAnsi="Times New Roman"/>
          <w:color w:val="auto"/>
          <w:sz w:val="24"/>
          <w:szCs w:val="24"/>
        </w:rPr>
        <w:t xml:space="preserve"> </w:t>
      </w:r>
    </w:p>
    <w:p w14:paraId="7EB90ECA" w14:textId="77777777" w:rsidR="008844DA" w:rsidRDefault="008844DA" w:rsidP="004E3FC0">
      <w:pPr>
        <w:jc w:val="both"/>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626278BA" w14:textId="77777777" w:rsidTr="004F14F9">
        <w:trPr>
          <w:trHeight w:val="1"/>
        </w:trPr>
        <w:tc>
          <w:tcPr>
            <w:tcW w:w="5000" w:type="pct"/>
            <w:shd w:val="clear" w:color="auto" w:fill="F2F2F2"/>
            <w:tcMar>
              <w:left w:w="108" w:type="dxa"/>
              <w:right w:w="108" w:type="dxa"/>
            </w:tcMar>
          </w:tcPr>
          <w:p w14:paraId="4A16C39E" w14:textId="7055D267" w:rsidR="00251049" w:rsidRDefault="004F14F9" w:rsidP="007A3700">
            <w:pPr>
              <w:spacing w:line="260" w:lineRule="auto"/>
              <w:rPr>
                <w:rFonts w:ascii="Helvetica" w:eastAsia="Helvetica" w:hAnsi="Helvetica" w:cs="Helvetica"/>
                <w:b/>
                <w:color w:val="142E3B"/>
                <w:sz w:val="24"/>
              </w:rPr>
            </w:pPr>
            <w:r>
              <w:rPr>
                <w:i/>
                <w:iCs/>
                <w:noProof/>
                <w:color w:val="142E3B" w:themeColor="accent6"/>
                <w:sz w:val="28"/>
              </w:rPr>
              <w:drawing>
                <wp:anchor distT="0" distB="0" distL="0" distR="114300" simplePos="0" relativeHeight="251617792" behindDoc="1" locked="0" layoutInCell="1" allowOverlap="1" wp14:anchorId="20276289" wp14:editId="1E38D29F">
                  <wp:simplePos x="0" y="0"/>
                  <wp:positionH relativeFrom="margin">
                    <wp:posOffset>-2540</wp:posOffset>
                  </wp:positionH>
                  <wp:positionV relativeFrom="paragraph">
                    <wp:posOffset>32110</wp:posOffset>
                  </wp:positionV>
                  <wp:extent cx="370800" cy="370800"/>
                  <wp:effectExtent l="0" t="0" r="0" b="3175"/>
                  <wp:wrapTight wrapText="bothSides">
                    <wp:wrapPolygon edited="0">
                      <wp:start x="0" y="0"/>
                      <wp:lineTo x="0" y="20007"/>
                      <wp:lineTo x="20007" y="20007"/>
                      <wp:lineTo x="20007" y="0"/>
                      <wp:lineTo x="0" y="0"/>
                    </wp:wrapPolygon>
                  </wp:wrapTight>
                  <wp:docPr id="745" name="Picture 745"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381C41">
              <w:rPr>
                <w:rFonts w:ascii="Helvetica" w:eastAsia="Helvetica" w:hAnsi="Helvetica" w:cs="Helvetica"/>
                <w:b/>
                <w:color w:val="142E3B"/>
                <w:sz w:val="24"/>
              </w:rPr>
              <w:t>Behavioural insight: U</w:t>
            </w:r>
            <w:r w:rsidR="00251049">
              <w:rPr>
                <w:rFonts w:ascii="Helvetica" w:eastAsia="Helvetica" w:hAnsi="Helvetica" w:cs="Helvetica"/>
                <w:b/>
                <w:color w:val="142E3B"/>
                <w:sz w:val="24"/>
              </w:rPr>
              <w:t>sing the EAST framework for behavioural change</w:t>
            </w:r>
          </w:p>
          <w:p w14:paraId="665B67D4" w14:textId="266F4D58" w:rsidR="00251049" w:rsidRDefault="00251049" w:rsidP="003A373A">
            <w:pPr>
              <w:numPr>
                <w:ilvl w:val="0"/>
                <w:numId w:val="14"/>
              </w:numPr>
              <w:tabs>
                <w:tab w:val="left" w:pos="360"/>
              </w:tabs>
              <w:spacing w:line="260" w:lineRule="auto"/>
              <w:ind w:left="360" w:hanging="360"/>
              <w:rPr>
                <w:rFonts w:ascii="Helvetica" w:eastAsia="Helvetica" w:hAnsi="Helvetica" w:cs="Helvetica"/>
                <w:color w:val="3F3F3F"/>
              </w:rPr>
            </w:pPr>
            <w:r w:rsidRPr="004F14F9">
              <w:rPr>
                <w:rFonts w:ascii="Helvetica" w:eastAsia="Helvetica" w:hAnsi="Helvetica" w:cs="Helvetica"/>
                <w:b/>
                <w:color w:val="auto"/>
              </w:rPr>
              <w:t>Easy:</w:t>
            </w:r>
            <w:r w:rsidRPr="004F14F9">
              <w:rPr>
                <w:rFonts w:ascii="Helvetica" w:eastAsia="Helvetica" w:hAnsi="Helvetica" w:cs="Helvetica"/>
                <w:color w:val="auto"/>
              </w:rPr>
              <w:t xml:space="preserve"> </w:t>
            </w:r>
            <w:r w:rsidR="007F51D0">
              <w:rPr>
                <w:rFonts w:ascii="Helvetica" w:eastAsia="Helvetica" w:hAnsi="Helvetica" w:cs="Helvetica"/>
                <w:color w:val="3F3F3F"/>
              </w:rPr>
              <w:t>We r</w:t>
            </w:r>
            <w:r>
              <w:rPr>
                <w:rFonts w:ascii="Helvetica" w:eastAsia="Helvetica" w:hAnsi="Helvetica" w:cs="Helvetica"/>
                <w:color w:val="3F3F3F"/>
              </w:rPr>
              <w:t>ed</w:t>
            </w:r>
            <w:r w:rsidR="007F51D0">
              <w:rPr>
                <w:rFonts w:ascii="Helvetica" w:eastAsia="Helvetica" w:hAnsi="Helvetica" w:cs="Helvetica"/>
                <w:color w:val="3F3F3F"/>
              </w:rPr>
              <w:t>uced the administrative burden placed o</w:t>
            </w:r>
            <w:r>
              <w:rPr>
                <w:rFonts w:ascii="Helvetica" w:eastAsia="Helvetica" w:hAnsi="Helvetica" w:cs="Helvetica"/>
                <w:color w:val="3F3F3F"/>
              </w:rPr>
              <w:t xml:space="preserve">n employers and employment service providers by designing an online agreement </w:t>
            </w:r>
            <w:r w:rsidR="007F51D0">
              <w:rPr>
                <w:rFonts w:ascii="Helvetica" w:eastAsia="Helvetica" w:hAnsi="Helvetica" w:cs="Helvetica"/>
                <w:color w:val="3F3F3F"/>
              </w:rPr>
              <w:t>in place of the</w:t>
            </w:r>
            <w:r>
              <w:rPr>
                <w:rFonts w:ascii="Helvetica" w:eastAsia="Helvetica" w:hAnsi="Helvetica" w:cs="Helvetica"/>
                <w:color w:val="3F3F3F"/>
              </w:rPr>
              <w:t xml:space="preserve"> paper forms</w:t>
            </w:r>
            <w:r w:rsidR="00445E48">
              <w:rPr>
                <w:rFonts w:ascii="Helvetica" w:eastAsia="Helvetica" w:hAnsi="Helvetica" w:cs="Helvetica"/>
                <w:color w:val="3F3F3F"/>
              </w:rPr>
              <w:t>.</w:t>
            </w:r>
          </w:p>
          <w:p w14:paraId="5BAB0B47" w14:textId="2B7F5EE3" w:rsidR="00251049" w:rsidRDefault="00251049" w:rsidP="003A373A">
            <w:pPr>
              <w:numPr>
                <w:ilvl w:val="0"/>
                <w:numId w:val="14"/>
              </w:numPr>
              <w:tabs>
                <w:tab w:val="left" w:pos="360"/>
              </w:tabs>
              <w:spacing w:line="260" w:lineRule="auto"/>
              <w:ind w:left="360" w:hanging="360"/>
              <w:rPr>
                <w:rFonts w:ascii="Helvetica" w:eastAsia="Helvetica" w:hAnsi="Helvetica" w:cs="Helvetica"/>
                <w:color w:val="3F3F3F"/>
              </w:rPr>
            </w:pPr>
            <w:r w:rsidRPr="004F14F9">
              <w:rPr>
                <w:rFonts w:ascii="Helvetica" w:eastAsia="Helvetica" w:hAnsi="Helvetica" w:cs="Helvetica"/>
                <w:b/>
                <w:color w:val="auto"/>
              </w:rPr>
              <w:t>Attractive:</w:t>
            </w:r>
            <w:r w:rsidRPr="004F14F9">
              <w:rPr>
                <w:rFonts w:ascii="Helvetica" w:eastAsia="Helvetica" w:hAnsi="Helvetica" w:cs="Helvetica"/>
                <w:color w:val="auto"/>
              </w:rPr>
              <w:t xml:space="preserve"> </w:t>
            </w:r>
            <w:r w:rsidR="007F51D0">
              <w:rPr>
                <w:rFonts w:ascii="Helvetica" w:eastAsia="Helvetica" w:hAnsi="Helvetica" w:cs="Helvetica"/>
                <w:color w:val="auto"/>
              </w:rPr>
              <w:t>We r</w:t>
            </w:r>
            <w:r>
              <w:rPr>
                <w:rFonts w:ascii="Helvetica" w:eastAsia="Helvetica" w:hAnsi="Helvetica" w:cs="Helvetica"/>
                <w:color w:val="3F3F3F"/>
              </w:rPr>
              <w:t xml:space="preserve">emoved </w:t>
            </w:r>
            <w:r w:rsidR="007F51D0">
              <w:rPr>
                <w:rFonts w:ascii="Helvetica" w:eastAsia="Helvetica" w:hAnsi="Helvetica" w:cs="Helvetica"/>
                <w:color w:val="3F3F3F"/>
              </w:rPr>
              <w:t xml:space="preserve">the </w:t>
            </w:r>
            <w:r>
              <w:rPr>
                <w:rFonts w:ascii="Helvetica" w:eastAsia="Helvetica" w:hAnsi="Helvetica" w:cs="Helvetica"/>
                <w:color w:val="3F3F3F"/>
              </w:rPr>
              <w:t xml:space="preserve">negative framing </w:t>
            </w:r>
            <w:r w:rsidR="007F51D0">
              <w:rPr>
                <w:rFonts w:ascii="Helvetica" w:eastAsia="Helvetica" w:hAnsi="Helvetica" w:cs="Helvetica"/>
                <w:color w:val="3F3F3F"/>
              </w:rPr>
              <w:t>of</w:t>
            </w:r>
            <w:r>
              <w:rPr>
                <w:rFonts w:ascii="Helvetica" w:eastAsia="Helvetica" w:hAnsi="Helvetica" w:cs="Helvetica"/>
                <w:color w:val="3F3F3F"/>
              </w:rPr>
              <w:t xml:space="preserve"> communication</w:t>
            </w:r>
            <w:r w:rsidR="007F51D0">
              <w:rPr>
                <w:rFonts w:ascii="Helvetica" w:eastAsia="Helvetica" w:hAnsi="Helvetica" w:cs="Helvetica"/>
                <w:color w:val="3F3F3F"/>
              </w:rPr>
              <w:t>s relating to the subsidy</w:t>
            </w:r>
            <w:r>
              <w:rPr>
                <w:rFonts w:ascii="Helvetica" w:eastAsia="Helvetica" w:hAnsi="Helvetica" w:cs="Helvetica"/>
                <w:color w:val="3F3F3F"/>
              </w:rPr>
              <w:t xml:space="preserve"> (e.g.</w:t>
            </w:r>
            <w:r w:rsidR="007F51D0">
              <w:rPr>
                <w:rFonts w:ascii="Helvetica" w:eastAsia="Helvetica" w:hAnsi="Helvetica" w:cs="Helvetica"/>
                <w:color w:val="3F3F3F"/>
              </w:rPr>
              <w:t>,</w:t>
            </w:r>
            <w:r>
              <w:rPr>
                <w:rFonts w:ascii="Helvetica" w:eastAsia="Helvetica" w:hAnsi="Helvetica" w:cs="Helvetica"/>
                <w:color w:val="3F3F3F"/>
              </w:rPr>
              <w:t xml:space="preserve"> </w:t>
            </w:r>
            <w:r w:rsidR="007F51D0">
              <w:rPr>
                <w:rFonts w:ascii="Helvetica" w:eastAsia="Helvetica" w:hAnsi="Helvetica" w:cs="Helvetica"/>
                <w:color w:val="3F3F3F"/>
              </w:rPr>
              <w:t>we changed the title of the a</w:t>
            </w:r>
            <w:r>
              <w:rPr>
                <w:rFonts w:ascii="Helvetica" w:eastAsia="Helvetica" w:hAnsi="Helvetica" w:cs="Helvetica"/>
                <w:color w:val="3F3F3F"/>
              </w:rPr>
              <w:t>greeme</w:t>
            </w:r>
            <w:r w:rsidR="007F51D0">
              <w:rPr>
                <w:rFonts w:ascii="Helvetica" w:eastAsia="Helvetica" w:hAnsi="Helvetica" w:cs="Helvetica"/>
                <w:color w:val="3F3F3F"/>
              </w:rPr>
              <w:t>nts from ‘Wage s</w:t>
            </w:r>
            <w:r>
              <w:rPr>
                <w:rFonts w:ascii="Helvetica" w:eastAsia="Helvetica" w:hAnsi="Helvetica" w:cs="Helvetica"/>
                <w:color w:val="3F3F3F"/>
              </w:rPr>
              <w:t>ubsidies for long-term un</w:t>
            </w:r>
            <w:r w:rsidR="007F51D0">
              <w:rPr>
                <w:rFonts w:ascii="Helvetica" w:eastAsia="Helvetica" w:hAnsi="Helvetica" w:cs="Helvetica"/>
                <w:color w:val="3F3F3F"/>
              </w:rPr>
              <w:t>employed job seekers’ to ‘Wage s</w:t>
            </w:r>
            <w:r>
              <w:rPr>
                <w:rFonts w:ascii="Helvetica" w:eastAsia="Helvetica" w:hAnsi="Helvetica" w:cs="Helvetica"/>
                <w:color w:val="3F3F3F"/>
              </w:rPr>
              <w:t>u</w:t>
            </w:r>
            <w:r w:rsidR="007F51D0">
              <w:rPr>
                <w:rFonts w:ascii="Helvetica" w:eastAsia="Helvetica" w:hAnsi="Helvetica" w:cs="Helvetica"/>
                <w:color w:val="3F3F3F"/>
              </w:rPr>
              <w:t>bsidies bonus to hire new staff’</w:t>
            </w:r>
            <w:r>
              <w:rPr>
                <w:rFonts w:ascii="Helvetica" w:eastAsia="Helvetica" w:hAnsi="Helvetica" w:cs="Helvetica"/>
                <w:color w:val="3F3F3F"/>
              </w:rPr>
              <w:t>)</w:t>
            </w:r>
            <w:r w:rsidR="00445E48">
              <w:rPr>
                <w:rFonts w:ascii="Helvetica" w:eastAsia="Helvetica" w:hAnsi="Helvetica" w:cs="Helvetica"/>
                <w:color w:val="3F3F3F"/>
              </w:rPr>
              <w:t>.</w:t>
            </w:r>
          </w:p>
          <w:p w14:paraId="4BDC85C6" w14:textId="4C31F41B" w:rsidR="00251049" w:rsidRDefault="00251049" w:rsidP="003A373A">
            <w:pPr>
              <w:numPr>
                <w:ilvl w:val="0"/>
                <w:numId w:val="14"/>
              </w:numPr>
              <w:tabs>
                <w:tab w:val="left" w:pos="360"/>
              </w:tabs>
              <w:spacing w:line="260" w:lineRule="auto"/>
              <w:ind w:left="360" w:hanging="360"/>
              <w:rPr>
                <w:rFonts w:ascii="Helvetica" w:eastAsia="Helvetica" w:hAnsi="Helvetica" w:cs="Helvetica"/>
                <w:color w:val="3F3F3F"/>
              </w:rPr>
            </w:pPr>
            <w:r w:rsidRPr="004F14F9">
              <w:rPr>
                <w:rFonts w:ascii="Helvetica" w:eastAsia="Helvetica" w:hAnsi="Helvetica" w:cs="Helvetica"/>
                <w:b/>
                <w:color w:val="auto"/>
              </w:rPr>
              <w:t>Social:</w:t>
            </w:r>
            <w:r w:rsidRPr="004F14F9">
              <w:rPr>
                <w:rFonts w:ascii="Helvetica" w:eastAsia="Helvetica" w:hAnsi="Helvetica" w:cs="Helvetica"/>
                <w:color w:val="auto"/>
              </w:rPr>
              <w:t xml:space="preserve"> </w:t>
            </w:r>
            <w:r w:rsidR="009525C3">
              <w:rPr>
                <w:rFonts w:ascii="Helvetica" w:eastAsia="Helvetica" w:hAnsi="Helvetica" w:cs="Helvetica"/>
              </w:rPr>
              <w:t>We m</w:t>
            </w:r>
            <w:r w:rsidR="009525C3">
              <w:rPr>
                <w:rFonts w:ascii="Helvetica" w:eastAsia="Helvetica" w:hAnsi="Helvetica" w:cs="Helvetica"/>
                <w:color w:val="3F3F3F"/>
              </w:rPr>
              <w:t xml:space="preserve">entioned </w:t>
            </w:r>
            <w:r>
              <w:rPr>
                <w:rFonts w:ascii="Helvetica" w:eastAsia="Helvetica" w:hAnsi="Helvetica" w:cs="Helvetica"/>
                <w:color w:val="3F3F3F"/>
              </w:rPr>
              <w:t>other employer</w:t>
            </w:r>
            <w:r w:rsidR="009525C3">
              <w:rPr>
                <w:rFonts w:ascii="Helvetica" w:eastAsia="Helvetica" w:hAnsi="Helvetica" w:cs="Helvetica"/>
                <w:color w:val="3F3F3F"/>
              </w:rPr>
              <w:t>s were taking advantage of this opportunity in promotional material.</w:t>
            </w:r>
          </w:p>
          <w:p w14:paraId="6604D4BE" w14:textId="718CECD3" w:rsidR="00251049" w:rsidRDefault="00251049" w:rsidP="003A373A">
            <w:pPr>
              <w:numPr>
                <w:ilvl w:val="0"/>
                <w:numId w:val="14"/>
              </w:numPr>
              <w:tabs>
                <w:tab w:val="left" w:pos="360"/>
              </w:tabs>
              <w:spacing w:line="260" w:lineRule="auto"/>
              <w:ind w:left="360" w:hanging="360"/>
            </w:pPr>
            <w:r w:rsidRPr="004F14F9">
              <w:rPr>
                <w:rFonts w:ascii="Helvetica" w:eastAsia="Helvetica" w:hAnsi="Helvetica" w:cs="Helvetica"/>
                <w:b/>
                <w:color w:val="auto"/>
              </w:rPr>
              <w:t>Timely:</w:t>
            </w:r>
            <w:r w:rsidRPr="004F14F9">
              <w:rPr>
                <w:rFonts w:ascii="Helvetica" w:eastAsia="Helvetica" w:hAnsi="Helvetica" w:cs="Helvetica"/>
                <w:color w:val="auto"/>
              </w:rPr>
              <w:t xml:space="preserve"> </w:t>
            </w:r>
            <w:r w:rsidR="009525C3">
              <w:rPr>
                <w:rFonts w:ascii="Helvetica" w:eastAsia="Helvetica" w:hAnsi="Helvetica" w:cs="Helvetica"/>
                <w:color w:val="3F3F3F"/>
              </w:rPr>
              <w:t>We r</w:t>
            </w:r>
            <w:r>
              <w:rPr>
                <w:rFonts w:ascii="Helvetica" w:eastAsia="Helvetica" w:hAnsi="Helvetica" w:cs="Helvetica"/>
                <w:color w:val="3F3F3F"/>
              </w:rPr>
              <w:t xml:space="preserve">estructured </w:t>
            </w:r>
            <w:r w:rsidR="009525C3">
              <w:rPr>
                <w:rFonts w:ascii="Helvetica" w:eastAsia="Helvetica" w:hAnsi="Helvetica" w:cs="Helvetica"/>
                <w:color w:val="3F3F3F"/>
              </w:rPr>
              <w:t xml:space="preserve">the payment of </w:t>
            </w:r>
            <w:r>
              <w:rPr>
                <w:rFonts w:ascii="Helvetica" w:eastAsia="Helvetica" w:hAnsi="Helvetica" w:cs="Helvetica"/>
                <w:color w:val="3F3F3F"/>
              </w:rPr>
              <w:t xml:space="preserve">instalments </w:t>
            </w:r>
            <w:r w:rsidR="009525C3">
              <w:rPr>
                <w:rFonts w:ascii="Helvetica" w:eastAsia="Helvetica" w:hAnsi="Helvetica" w:cs="Helvetica"/>
                <w:color w:val="3F3F3F"/>
              </w:rPr>
              <w:t>so that they were</w:t>
            </w:r>
            <w:r>
              <w:rPr>
                <w:rFonts w:ascii="Helvetica" w:eastAsia="Helvetica" w:hAnsi="Helvetica" w:cs="Helvetica"/>
                <w:color w:val="3F3F3F"/>
              </w:rPr>
              <w:t xml:space="preserve"> </w:t>
            </w:r>
            <w:r w:rsidR="009525C3">
              <w:rPr>
                <w:rFonts w:ascii="Helvetica" w:eastAsia="Helvetica" w:hAnsi="Helvetica" w:cs="Helvetica"/>
                <w:color w:val="3F3F3F"/>
              </w:rPr>
              <w:t>received more</w:t>
            </w:r>
            <w:r>
              <w:rPr>
                <w:rFonts w:ascii="Helvetica" w:eastAsia="Helvetica" w:hAnsi="Helvetica" w:cs="Helvetica"/>
                <w:color w:val="3F3F3F"/>
              </w:rPr>
              <w:t xml:space="preserve"> frequent</w:t>
            </w:r>
            <w:r w:rsidR="009525C3">
              <w:rPr>
                <w:rFonts w:ascii="Helvetica" w:eastAsia="Helvetica" w:hAnsi="Helvetica" w:cs="Helvetica"/>
                <w:color w:val="3F3F3F"/>
              </w:rPr>
              <w:t>ly</w:t>
            </w:r>
            <w:r>
              <w:rPr>
                <w:rFonts w:ascii="Helvetica" w:eastAsia="Helvetica" w:hAnsi="Helvetica" w:cs="Helvetica"/>
                <w:color w:val="3F3F3F"/>
              </w:rPr>
              <w:t xml:space="preserve">, but </w:t>
            </w:r>
            <w:r w:rsidR="009525C3">
              <w:rPr>
                <w:rFonts w:ascii="Helvetica" w:eastAsia="Helvetica" w:hAnsi="Helvetica" w:cs="Helvetica"/>
                <w:color w:val="3F3F3F"/>
              </w:rPr>
              <w:t>in</w:t>
            </w:r>
            <w:r>
              <w:rPr>
                <w:rFonts w:ascii="Helvetica" w:eastAsia="Helvetica" w:hAnsi="Helvetica" w:cs="Helvetica"/>
                <w:color w:val="3F3F3F"/>
              </w:rPr>
              <w:t xml:space="preserve"> smaller amounts</w:t>
            </w:r>
            <w:r w:rsidR="009525C3">
              <w:rPr>
                <w:rFonts w:ascii="Helvetica" w:eastAsia="Helvetica" w:hAnsi="Helvetica" w:cs="Helvetica"/>
                <w:color w:val="3F3F3F"/>
              </w:rPr>
              <w:t>. This allowed employers</w:t>
            </w:r>
            <w:r>
              <w:rPr>
                <w:rFonts w:ascii="Helvetica" w:eastAsia="Helvetica" w:hAnsi="Helvetica" w:cs="Helvetica"/>
                <w:color w:val="3F3F3F"/>
              </w:rPr>
              <w:t xml:space="preserve"> to receive funds earlier </w:t>
            </w:r>
            <w:r w:rsidR="009525C3">
              <w:rPr>
                <w:rFonts w:ascii="Helvetica" w:eastAsia="Helvetica" w:hAnsi="Helvetica" w:cs="Helvetica"/>
                <w:color w:val="3F3F3F"/>
              </w:rPr>
              <w:t>but did not affect</w:t>
            </w:r>
            <w:r>
              <w:rPr>
                <w:rFonts w:ascii="Helvetica" w:eastAsia="Helvetica" w:hAnsi="Helvetica" w:cs="Helvetica"/>
                <w:color w:val="3F3F3F"/>
              </w:rPr>
              <w:t xml:space="preserve"> the overal</w:t>
            </w:r>
            <w:r w:rsidR="00445E48">
              <w:rPr>
                <w:rFonts w:ascii="Helvetica" w:eastAsia="Helvetica" w:hAnsi="Helvetica" w:cs="Helvetica"/>
                <w:color w:val="3F3F3F"/>
              </w:rPr>
              <w:t xml:space="preserve">l amount </w:t>
            </w:r>
            <w:r w:rsidR="009525C3">
              <w:rPr>
                <w:rFonts w:ascii="Helvetica" w:eastAsia="Helvetica" w:hAnsi="Helvetica" w:cs="Helvetica"/>
                <w:color w:val="3F3F3F"/>
              </w:rPr>
              <w:t>that</w:t>
            </w:r>
            <w:r w:rsidR="00445E48">
              <w:rPr>
                <w:rFonts w:ascii="Helvetica" w:eastAsia="Helvetica" w:hAnsi="Helvetica" w:cs="Helvetica"/>
                <w:color w:val="3F3F3F"/>
              </w:rPr>
              <w:t xml:space="preserve"> could be claimed.</w:t>
            </w:r>
          </w:p>
        </w:tc>
      </w:tr>
    </w:tbl>
    <w:p w14:paraId="68B00123" w14:textId="77777777" w:rsidR="008844DA" w:rsidRDefault="008844DA" w:rsidP="007A3700">
      <w:pPr>
        <w:rPr>
          <w:rFonts w:eastAsia="Helvetica"/>
        </w:rPr>
      </w:pPr>
    </w:p>
    <w:p w14:paraId="76BE7380" w14:textId="0B8C2992" w:rsidR="00251049" w:rsidRDefault="00251049" w:rsidP="007A3700">
      <w:pPr>
        <w:rPr>
          <w:rFonts w:eastAsia="Helvetica"/>
        </w:rPr>
      </w:pPr>
      <w:r>
        <w:rPr>
          <w:rFonts w:eastAsia="Helvetica"/>
        </w:rPr>
        <w:lastRenderedPageBreak/>
        <w:t xml:space="preserve">Our trial produced an increase in the number of </w:t>
      </w:r>
      <w:r w:rsidR="009525C3">
        <w:rPr>
          <w:rFonts w:eastAsia="Helvetica"/>
        </w:rPr>
        <w:t xml:space="preserve">signed </w:t>
      </w:r>
      <w:r>
        <w:rPr>
          <w:rFonts w:eastAsia="Helvetica"/>
        </w:rPr>
        <w:t xml:space="preserve">wage subsidy agreements (an additional two agreements </w:t>
      </w:r>
      <w:r w:rsidR="009525C3">
        <w:rPr>
          <w:rFonts w:eastAsia="Helvetica"/>
        </w:rPr>
        <w:t xml:space="preserve">were </w:t>
      </w:r>
      <w:r>
        <w:rPr>
          <w:rFonts w:eastAsia="Helvetica"/>
        </w:rPr>
        <w:t>signed per month at each si</w:t>
      </w:r>
      <w:r w:rsidR="009525C3">
        <w:rPr>
          <w:rFonts w:eastAsia="Helvetica"/>
        </w:rPr>
        <w:t>te)</w:t>
      </w:r>
      <w:r>
        <w:rPr>
          <w:rFonts w:eastAsia="Helvetica"/>
        </w:rPr>
        <w:t xml:space="preserve"> and a substantial decrease in </w:t>
      </w:r>
      <w:r w:rsidR="009525C3">
        <w:rPr>
          <w:rFonts w:eastAsia="Helvetica"/>
        </w:rPr>
        <w:t xml:space="preserve">the </w:t>
      </w:r>
      <w:r>
        <w:rPr>
          <w:rFonts w:eastAsia="Helvetica"/>
        </w:rPr>
        <w:t>administrative time</w:t>
      </w:r>
      <w:r w:rsidR="009525C3">
        <w:rPr>
          <w:rFonts w:eastAsia="Helvetica"/>
        </w:rPr>
        <w:t>s</w:t>
      </w:r>
      <w:r>
        <w:rPr>
          <w:rFonts w:eastAsia="Helvetica"/>
        </w:rPr>
        <w:t xml:space="preserve"> reported by </w:t>
      </w:r>
      <w:r w:rsidR="009525C3">
        <w:rPr>
          <w:rFonts w:eastAsia="Helvetica"/>
        </w:rPr>
        <w:t xml:space="preserve">the </w:t>
      </w:r>
      <w:r>
        <w:rPr>
          <w:rFonts w:eastAsia="Helvetica"/>
        </w:rPr>
        <w:t xml:space="preserve">provider staff.  </w:t>
      </w:r>
    </w:p>
    <w:p w14:paraId="0361DFFA" w14:textId="4CEE6FB9" w:rsidR="00251049" w:rsidRDefault="00251049" w:rsidP="007A3700">
      <w:pPr>
        <w:rPr>
          <w:rFonts w:eastAsia="Helvetica"/>
        </w:rPr>
      </w:pPr>
      <w:r>
        <w:rPr>
          <w:rFonts w:eastAsia="Helvetica"/>
        </w:rPr>
        <w:t xml:space="preserve">The insights </w:t>
      </w:r>
      <w:r w:rsidR="009525C3">
        <w:rPr>
          <w:rFonts w:eastAsia="Helvetica"/>
        </w:rPr>
        <w:t>gained from</w:t>
      </w:r>
      <w:r>
        <w:rPr>
          <w:rFonts w:eastAsia="Helvetica"/>
        </w:rPr>
        <w:t xml:space="preserve"> this trial confirm</w:t>
      </w:r>
      <w:r w:rsidR="009525C3">
        <w:rPr>
          <w:rFonts w:eastAsia="Helvetica"/>
        </w:rPr>
        <w:t xml:space="preserve"> the</w:t>
      </w:r>
      <w:r>
        <w:rPr>
          <w:rFonts w:eastAsia="Helvetica"/>
        </w:rPr>
        <w:t xml:space="preserve"> findings </w:t>
      </w:r>
      <w:r w:rsidR="009525C3">
        <w:rPr>
          <w:rFonts w:eastAsia="Helvetica"/>
        </w:rPr>
        <w:t>of</w:t>
      </w:r>
      <w:r>
        <w:rPr>
          <w:rFonts w:eastAsia="Helvetica"/>
        </w:rPr>
        <w:t xml:space="preserve"> previous behavioural economics studies </w:t>
      </w:r>
      <w:r w:rsidR="00CA20BC">
        <w:rPr>
          <w:rFonts w:eastAsia="Helvetica"/>
        </w:rPr>
        <w:t xml:space="preserve">that </w:t>
      </w:r>
      <w:r w:rsidR="009525C3">
        <w:rPr>
          <w:rFonts w:eastAsia="Helvetica"/>
        </w:rPr>
        <w:t>suggest</w:t>
      </w:r>
      <w:r>
        <w:rPr>
          <w:rFonts w:eastAsia="Helvetica"/>
        </w:rPr>
        <w:t xml:space="preserve"> financial incentives alone </w:t>
      </w:r>
      <w:r w:rsidR="009525C3">
        <w:rPr>
          <w:rFonts w:eastAsia="Helvetica"/>
        </w:rPr>
        <w:t>will</w:t>
      </w:r>
      <w:r>
        <w:rPr>
          <w:rFonts w:eastAsia="Helvetica"/>
        </w:rPr>
        <w:t xml:space="preserve"> often not </w:t>
      </w:r>
      <w:r w:rsidR="009525C3">
        <w:rPr>
          <w:rFonts w:eastAsia="Helvetica"/>
        </w:rPr>
        <w:t xml:space="preserve">be </w:t>
      </w:r>
      <w:r>
        <w:rPr>
          <w:rFonts w:eastAsia="Helvetica"/>
        </w:rPr>
        <w:t>sufficient to change behaviou</w:t>
      </w:r>
      <w:r w:rsidR="009525C3">
        <w:rPr>
          <w:rFonts w:eastAsia="Helvetica"/>
        </w:rPr>
        <w:t xml:space="preserve">rs </w:t>
      </w:r>
      <w:r>
        <w:rPr>
          <w:rFonts w:eastAsia="Helvetica"/>
        </w:rPr>
        <w:t>if they are not framed correctly.</w:t>
      </w:r>
      <w:r w:rsidR="009525C3">
        <w:rPr>
          <w:rFonts w:eastAsia="Helvetica"/>
        </w:rPr>
        <w:t xml:space="preserve"> The trial</w:t>
      </w:r>
      <w:r>
        <w:rPr>
          <w:rFonts w:eastAsia="Helvetica"/>
        </w:rPr>
        <w:t xml:space="preserve"> </w:t>
      </w:r>
      <w:r w:rsidR="009525C3">
        <w:rPr>
          <w:rFonts w:eastAsia="Helvetica"/>
        </w:rPr>
        <w:t>increased</w:t>
      </w:r>
      <w:r>
        <w:rPr>
          <w:rFonts w:eastAsia="Helvetica"/>
        </w:rPr>
        <w:t xml:space="preserve"> understanding of human behaviour </w:t>
      </w:r>
      <w:r w:rsidR="009525C3">
        <w:rPr>
          <w:rFonts w:eastAsia="Helvetica"/>
        </w:rPr>
        <w:t>by showing people</w:t>
      </w:r>
      <w:r>
        <w:rPr>
          <w:rFonts w:eastAsia="Helvetica"/>
        </w:rPr>
        <w:t xml:space="preserve"> </w:t>
      </w:r>
      <w:r w:rsidR="009525C3">
        <w:rPr>
          <w:rFonts w:eastAsia="Helvetica"/>
        </w:rPr>
        <w:t>(</w:t>
      </w:r>
      <w:r>
        <w:rPr>
          <w:rFonts w:eastAsia="Helvetica"/>
        </w:rPr>
        <w:t>employers and job service provider staff</w:t>
      </w:r>
      <w:r w:rsidR="009525C3">
        <w:rPr>
          <w:rFonts w:eastAsia="Helvetica"/>
        </w:rPr>
        <w:t>)</w:t>
      </w:r>
      <w:r>
        <w:rPr>
          <w:rFonts w:eastAsia="Helvetica"/>
        </w:rPr>
        <w:t xml:space="preserve"> can help improve</w:t>
      </w:r>
      <w:r w:rsidR="009525C3">
        <w:rPr>
          <w:rFonts w:eastAsia="Helvetica"/>
        </w:rPr>
        <w:t xml:space="preserve"> the</w:t>
      </w:r>
      <w:r>
        <w:rPr>
          <w:rFonts w:eastAsia="Helvetica"/>
        </w:rPr>
        <w:t xml:space="preserve"> efficiency and effectiveness of government programs. </w:t>
      </w:r>
    </w:p>
    <w:p w14:paraId="5CDA31A4" w14:textId="77777777" w:rsidR="00251049" w:rsidRPr="0004155D" w:rsidRDefault="00251049" w:rsidP="00D33213">
      <w:pPr>
        <w:pStyle w:val="h4"/>
      </w:pPr>
      <w:r w:rsidRPr="0004155D">
        <w:t xml:space="preserve">Future opportunities </w:t>
      </w:r>
    </w:p>
    <w:p w14:paraId="705F9257" w14:textId="77777777" w:rsidR="009525C3" w:rsidRDefault="009525C3" w:rsidP="007A3700">
      <w:pPr>
        <w:rPr>
          <w:rFonts w:eastAsia="Helvetica"/>
        </w:rPr>
      </w:pPr>
      <w:r>
        <w:rPr>
          <w:rFonts w:eastAsia="Helvetica"/>
        </w:rPr>
        <w:t>The findings of this trial informed policy changes to wage subsidies and led to the introduction of an online Wage Subsidy Agreement. Additionally, behavioural economic principles were also embedded into a broader set of department programs and policies. Findings related to this trial have since been implemented nationally.</w:t>
      </w:r>
    </w:p>
    <w:p w14:paraId="143B3735" w14:textId="01FC47E0" w:rsidR="00251049" w:rsidRDefault="009525C3" w:rsidP="007A3700">
      <w:pPr>
        <w:rPr>
          <w:rFonts w:eastAsia="Helvetica"/>
        </w:rPr>
      </w:pPr>
      <w:r>
        <w:rPr>
          <w:rFonts w:eastAsia="Helvetica"/>
        </w:rPr>
        <w:t>For further information about the trial, read the full report</w:t>
      </w:r>
      <w:r w:rsidR="00966AF1">
        <w:rPr>
          <w:rFonts w:eastAsia="Helvetica"/>
        </w:rPr>
        <w:t xml:space="preserve"> at</w:t>
      </w:r>
      <w:r w:rsidR="00251049">
        <w:rPr>
          <w:rFonts w:eastAsia="Helvetica"/>
        </w:rPr>
        <w:t xml:space="preserve"> </w:t>
      </w:r>
      <w:hyperlink r:id="rId77">
        <w:r w:rsidR="00966AF1">
          <w:rPr>
            <w:rFonts w:eastAsia="Helvetica"/>
            <w:color w:val="2158A8"/>
            <w:u w:val="single"/>
          </w:rPr>
          <w:t>the Department of Jobs and Small Business website</w:t>
        </w:r>
      </w:hyperlink>
      <w:r w:rsidR="00251049">
        <w:rPr>
          <w:rFonts w:eastAsia="Helvetica"/>
        </w:rPr>
        <w:t>.</w:t>
      </w:r>
    </w:p>
    <w:p w14:paraId="096EDCF1" w14:textId="7499F333" w:rsidR="00251049" w:rsidRPr="00B52690" w:rsidRDefault="00251049" w:rsidP="004E3FC0">
      <w:pPr>
        <w:spacing w:before="0" w:after="0" w:line="240" w:lineRule="auto"/>
        <w:jc w:val="both"/>
        <w:rPr>
          <w:rFonts w:ascii="Helvetica" w:eastAsia="Helvetica" w:hAnsi="Helvetica" w:cs="Helvetica"/>
          <w:color w:val="A6A6A6" w:themeColor="background1" w:themeShade="A6"/>
          <w:sz w:val="4"/>
          <w:szCs w:val="4"/>
          <w:u w:val="single"/>
        </w:rPr>
      </w:pPr>
    </w:p>
    <w:p w14:paraId="6EF02C8A" w14:textId="77777777" w:rsidR="00E0639C" w:rsidRPr="00B52690" w:rsidRDefault="00E0639C" w:rsidP="004E3FC0">
      <w:pPr>
        <w:spacing w:before="0" w:after="0" w:line="240" w:lineRule="auto"/>
        <w:jc w:val="both"/>
        <w:rPr>
          <w:rFonts w:ascii="Helvetica" w:eastAsia="Helvetica" w:hAnsi="Helvetica" w:cs="Helvetica"/>
          <w:color w:val="3F3F3F"/>
          <w:sz w:val="4"/>
          <w:szCs w:val="4"/>
          <w:u w:val="single"/>
        </w:rPr>
        <w:sectPr w:rsidR="00E0639C" w:rsidRPr="00B52690" w:rsidSect="00272E56">
          <w:headerReference w:type="even" r:id="rId78"/>
          <w:headerReference w:type="default" r:id="rId79"/>
          <w:headerReference w:type="first" r:id="rId80"/>
          <w:pgSz w:w="11906" w:h="16838" w:code="9"/>
          <w:pgMar w:top="1474" w:right="1985" w:bottom="1247" w:left="1418" w:header="680" w:footer="680" w:gutter="0"/>
          <w:cols w:space="708"/>
          <w:titlePg/>
          <w:docGrid w:linePitch="360"/>
        </w:sectPr>
      </w:pPr>
    </w:p>
    <w:p w14:paraId="1ADC12DF" w14:textId="77777777" w:rsidR="00FF1508" w:rsidRDefault="00FF1508" w:rsidP="004E3FC0">
      <w:pPr>
        <w:spacing w:line="260" w:lineRule="auto"/>
        <w:jc w:val="both"/>
        <w:rPr>
          <w:rFonts w:ascii="Helvetica" w:eastAsia="Helvetica" w:hAnsi="Helvetica" w:cs="Helvetica"/>
          <w:color w:val="3F3F3F"/>
        </w:rPr>
      </w:pPr>
    </w:p>
    <w:p w14:paraId="07CCB6F4" w14:textId="77777777" w:rsidR="00FF1508" w:rsidRDefault="00FF1508" w:rsidP="004E3FC0">
      <w:pPr>
        <w:spacing w:line="260" w:lineRule="auto"/>
        <w:ind w:left="567"/>
        <w:jc w:val="both"/>
        <w:rPr>
          <w:rFonts w:ascii="Helvetica" w:eastAsia="Helvetica" w:hAnsi="Helvetica" w:cs="Helvetica"/>
          <w:color w:val="3F3F3F"/>
        </w:rPr>
      </w:pPr>
      <w:r w:rsidRPr="00252756">
        <w:rPr>
          <w:noProof/>
        </w:rPr>
        <w:drawing>
          <wp:inline distT="0" distB="0" distL="0" distR="0" wp14:anchorId="53935C1F" wp14:editId="4EA32CD1">
            <wp:extent cx="1258525" cy="1258525"/>
            <wp:effectExtent l="0" t="0" r="0" b="0"/>
            <wp:docPr id="63507" name="Picture 63507" descr="Improvement"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58525" cy="1258525"/>
                    </a:xfrm>
                    <a:prstGeom prst="rect">
                      <a:avLst/>
                    </a:prstGeom>
                  </pic:spPr>
                </pic:pic>
              </a:graphicData>
            </a:graphic>
          </wp:inline>
        </w:drawing>
      </w:r>
      <w:r>
        <w:rPr>
          <w:rFonts w:ascii="Helvetica" w:eastAsia="Helvetica" w:hAnsi="Helvetica" w:cs="Helvetica"/>
          <w:color w:val="3F3F3F"/>
        </w:rPr>
        <w:t xml:space="preserve"> </w:t>
      </w:r>
    </w:p>
    <w:p w14:paraId="7D1EBD9F" w14:textId="31D5AD8A" w:rsidR="00251049" w:rsidRDefault="00E0639C" w:rsidP="000C7425">
      <w:pPr>
        <w:pStyle w:val="Heading2"/>
      </w:pPr>
      <w:bookmarkStart w:id="56" w:name="_Toc515874440"/>
      <w:bookmarkStart w:id="57" w:name="_Toc515874511"/>
      <w:bookmarkStart w:id="58" w:name="_Toc515874681"/>
      <w:bookmarkStart w:id="59" w:name="_Toc516827452"/>
      <w:r>
        <w:t>Improving government service delivery</w:t>
      </w:r>
      <w:bookmarkEnd w:id="56"/>
      <w:bookmarkEnd w:id="57"/>
      <w:bookmarkEnd w:id="58"/>
      <w:bookmarkEnd w:id="59"/>
    </w:p>
    <w:p w14:paraId="5BB475FB" w14:textId="1CD11B8F" w:rsidR="00E0639C" w:rsidRDefault="00E0639C" w:rsidP="004E3FC0">
      <w:pPr>
        <w:keepLines w:val="0"/>
        <w:spacing w:before="0" w:after="0" w:line="240" w:lineRule="auto"/>
        <w:jc w:val="both"/>
        <w:rPr>
          <w:rFonts w:eastAsia="Helvetica"/>
        </w:rPr>
      </w:pPr>
      <w:r>
        <w:rPr>
          <w:rFonts w:eastAsia="Helvetica"/>
        </w:rPr>
        <w:br w:type="page"/>
      </w:r>
    </w:p>
    <w:p w14:paraId="1D1AFF7D" w14:textId="1CA9BDFC" w:rsidR="00785431" w:rsidRDefault="00785431" w:rsidP="00785431">
      <w:pPr>
        <w:pStyle w:val="Heading3"/>
        <w:framePr w:wrap="around"/>
        <w:spacing w:after="240"/>
        <w:ind w:right="-13"/>
        <w:rPr>
          <w:bCs/>
        </w:rPr>
      </w:pPr>
      <w:r w:rsidRPr="00785431">
        <w:rPr>
          <w:bCs/>
        </w:rPr>
        <w:lastRenderedPageBreak/>
        <w:t>Encouraging greater survey completion to improve service delivery</w:t>
      </w:r>
    </w:p>
    <w:p w14:paraId="36EA2D70" w14:textId="41AA2D23" w:rsidR="005A2A67" w:rsidRDefault="001B5DD4" w:rsidP="001B5DD4">
      <w:pPr>
        <w:pStyle w:val="h4"/>
      </w:pPr>
      <w:r w:rsidRPr="004E3FC0">
        <w:t>Abstract</w:t>
      </w:r>
    </w:p>
    <w:tbl>
      <w:tblPr>
        <w:tblStyle w:val="TableGrid"/>
        <w:tblpPr w:leftFromText="180" w:rightFromText="180" w:vertAnchor="page" w:horzAnchor="margin" w:tblpY="5493"/>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Encouraging greater survey completion to improve service delivery"/>
        <w:tblDescription w:val="Text box description of a trial designed to encourage more people to complete surveys, so we can improve service delivery. "/>
      </w:tblPr>
      <w:tblGrid>
        <w:gridCol w:w="9162"/>
      </w:tblGrid>
      <w:tr w:rsidR="001B5DD4" w14:paraId="5DBF5704" w14:textId="77777777" w:rsidTr="001B5DD4">
        <w:trPr>
          <w:trHeight w:val="4805"/>
        </w:trPr>
        <w:tc>
          <w:tcPr>
            <w:tcW w:w="9162" w:type="dxa"/>
            <w:tcBorders>
              <w:bottom w:val="nil"/>
            </w:tcBorders>
            <w:shd w:val="clear" w:color="auto" w:fill="D9D9D9" w:themeFill="background1" w:themeFillShade="D9"/>
          </w:tcPr>
          <w:p w14:paraId="50322E8E" w14:textId="77777777" w:rsidR="001B5DD4" w:rsidRPr="00344692" w:rsidRDefault="001B5DD4" w:rsidP="001B5DD4">
            <w:pPr>
              <w:spacing w:after="240" w:line="320" w:lineRule="auto"/>
              <w:rPr>
                <w:rFonts w:ascii="Helvetica" w:eastAsia="Helvetica" w:hAnsi="Helvetica" w:cs="Helvetica"/>
                <w:color w:val="3F3F3F"/>
                <w:sz w:val="24"/>
              </w:rPr>
            </w:pPr>
            <w:bookmarkStart w:id="60" w:name="_Toc515874441"/>
            <w:bookmarkStart w:id="61" w:name="_Toc515874512"/>
            <w:bookmarkStart w:id="62" w:name="_Toc515874682"/>
            <w:r w:rsidRPr="00344692">
              <w:rPr>
                <w:rFonts w:ascii="Helvetica" w:eastAsia="Helvetica" w:hAnsi="Helvetica" w:cs="Helvetica"/>
                <w:color w:val="3F3F3F"/>
                <w:sz w:val="24"/>
              </w:rPr>
              <w:t>It is vitally important for governments to understand the people who use their services and to gauge the impact of these services. One of the more common ways of collecting this information is by asking clients to complete a survey.</w:t>
            </w:r>
          </w:p>
          <w:p w14:paraId="3030DDF2" w14:textId="77777777" w:rsidR="001B5DD4" w:rsidRPr="004E3FC0" w:rsidRDefault="001B5DD4" w:rsidP="001B5DD4">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We tested whether incorporating behavioural insights into the Department of Social Services’ Data Exchange client survey would encourage more people to complete the survey. We found our changes had a substantial and statistically significant effect, increasing survey completion by 6.8 percentage points, from 84.7 to 91.5 per</w:t>
            </w:r>
            <w:r>
              <w:rPr>
                <w:rFonts w:ascii="Helvetica" w:eastAsia="Helvetica" w:hAnsi="Helvetica" w:cs="Helvetica"/>
                <w:color w:val="3F3F3F"/>
                <w:sz w:val="24"/>
              </w:rPr>
              <w:t> </w:t>
            </w:r>
            <w:r w:rsidRPr="00344692">
              <w:rPr>
                <w:rFonts w:ascii="Helvetica" w:eastAsia="Helvetica" w:hAnsi="Helvetica" w:cs="Helvetica"/>
                <w:color w:val="3F3F3F"/>
                <w:sz w:val="24"/>
              </w:rPr>
              <w:t>cent.</w:t>
            </w:r>
          </w:p>
        </w:tc>
      </w:tr>
    </w:tbl>
    <w:bookmarkEnd w:id="60"/>
    <w:bookmarkEnd w:id="61"/>
    <w:bookmarkEnd w:id="62"/>
    <w:p w14:paraId="06C1AC83" w14:textId="5458C5DA" w:rsidR="00EB6B12" w:rsidRDefault="00EB6B12" w:rsidP="00EB6B12">
      <w:pPr>
        <w:pStyle w:val="h4"/>
      </w:pPr>
      <w:r w:rsidRPr="00573712">
        <w:t>Project by</w:t>
      </w:r>
    </w:p>
    <w:p w14:paraId="4F03CB98" w14:textId="24C90E1F" w:rsidR="00EB6B12" w:rsidRDefault="00EB6B12" w:rsidP="00EB6B12"/>
    <w:p w14:paraId="5CFB6CFD" w14:textId="15A694D2" w:rsidR="00EB6B12" w:rsidRDefault="00EB6B12" w:rsidP="00EB6B12">
      <w:r w:rsidRPr="000B0B98">
        <w:rPr>
          <w:noProof/>
        </w:rPr>
        <w:drawing>
          <wp:anchor distT="0" distB="0" distL="114300" distR="114300" simplePos="0" relativeHeight="251810304" behindDoc="0" locked="0" layoutInCell="1" allowOverlap="1" wp14:anchorId="0A526AA5" wp14:editId="2F8FD97F">
            <wp:simplePos x="0" y="0"/>
            <wp:positionH relativeFrom="column">
              <wp:posOffset>3885329</wp:posOffset>
            </wp:positionH>
            <wp:positionV relativeFrom="paragraph">
              <wp:posOffset>77470</wp:posOffset>
            </wp:positionV>
            <wp:extent cx="1910715" cy="499110"/>
            <wp:effectExtent l="0" t="0" r="0" b="0"/>
            <wp:wrapNone/>
            <wp:docPr id="12" name="Picture 12"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280" behindDoc="0" locked="0" layoutInCell="1" allowOverlap="1" wp14:anchorId="0FC80E35" wp14:editId="781243AE">
            <wp:simplePos x="0" y="0"/>
            <wp:positionH relativeFrom="column">
              <wp:posOffset>59070</wp:posOffset>
            </wp:positionH>
            <wp:positionV relativeFrom="paragraph">
              <wp:posOffset>6912</wp:posOffset>
            </wp:positionV>
            <wp:extent cx="2541905" cy="565150"/>
            <wp:effectExtent l="0" t="0" r="0" b="6350"/>
            <wp:wrapNone/>
            <wp:docPr id="63508" name="Picture 63508" descr="Australian Government Department of Social Service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8" name="DS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41905" cy="565150"/>
                    </a:xfrm>
                    <a:prstGeom prst="rect">
                      <a:avLst/>
                    </a:prstGeom>
                  </pic:spPr>
                </pic:pic>
              </a:graphicData>
            </a:graphic>
            <wp14:sizeRelH relativeFrom="page">
              <wp14:pctWidth>0</wp14:pctWidth>
            </wp14:sizeRelH>
            <wp14:sizeRelV relativeFrom="page">
              <wp14:pctHeight>0</wp14:pctHeight>
            </wp14:sizeRelV>
          </wp:anchor>
        </w:drawing>
      </w:r>
      <w:r w:rsidRPr="0004155D">
        <w:t xml:space="preserve"> </w:t>
      </w:r>
    </w:p>
    <w:p w14:paraId="2C1C1311" w14:textId="77777777" w:rsidR="00EB6B12" w:rsidRDefault="00EB6B12">
      <w:pPr>
        <w:keepLines w:val="0"/>
        <w:spacing w:before="0" w:after="0" w:line="240" w:lineRule="auto"/>
        <w:rPr>
          <w:rFonts w:ascii="Helvetica" w:eastAsia="Helvetica" w:hAnsi="Helvetica" w:cs="Helvetica"/>
          <w:b/>
          <w:color w:val="117479"/>
          <w:sz w:val="36"/>
        </w:rPr>
      </w:pPr>
      <w:r>
        <w:br w:type="page"/>
      </w:r>
    </w:p>
    <w:p w14:paraId="4CA3CAEC" w14:textId="62387CE4" w:rsidR="00E0639C" w:rsidRPr="0004155D" w:rsidRDefault="00E0639C" w:rsidP="00EB6B12">
      <w:pPr>
        <w:pStyle w:val="h4"/>
      </w:pPr>
      <w:r w:rsidRPr="0004155D">
        <w:lastRenderedPageBreak/>
        <w:t xml:space="preserve">The policy problem </w:t>
      </w:r>
    </w:p>
    <w:p w14:paraId="4DC79D91" w14:textId="77777777" w:rsidR="006A0837" w:rsidRDefault="006A0837" w:rsidP="007A3700">
      <w:pPr>
        <w:rPr>
          <w:rFonts w:eastAsia="Helvetica"/>
        </w:rPr>
      </w:pPr>
      <w:r w:rsidRPr="005F5633">
        <w:rPr>
          <w:rFonts w:eastAsia="Helvetica"/>
        </w:rPr>
        <w:t xml:space="preserve">The Community Grants Hub, implemented by the Department of Social Services, supports the administration and delivery of over 21,000 community grants across government. These grants, worth around $7.8 billion, provide valuable support services to </w:t>
      </w:r>
      <w:r>
        <w:rPr>
          <w:rFonts w:eastAsia="Helvetica"/>
        </w:rPr>
        <w:t>people and</w:t>
      </w:r>
      <w:r w:rsidRPr="005F5633">
        <w:rPr>
          <w:rFonts w:eastAsia="Helvetica"/>
        </w:rPr>
        <w:t xml:space="preserve"> communities </w:t>
      </w:r>
      <w:r>
        <w:rPr>
          <w:rFonts w:eastAsia="Helvetica"/>
        </w:rPr>
        <w:t>facing difficult circumstances. Grants can relate to areas like health, wellbeing, family resilience and community harmony.</w:t>
      </w:r>
    </w:p>
    <w:p w14:paraId="7DF49665" w14:textId="5684C65A" w:rsidR="006A0837" w:rsidRPr="008E22C4" w:rsidRDefault="006A0837" w:rsidP="007A3700">
      <w:pPr>
        <w:rPr>
          <w:rFonts w:eastAsia="Helvetica"/>
        </w:rPr>
      </w:pPr>
      <w:r>
        <w:rPr>
          <w:rFonts w:eastAsia="Helvetica"/>
        </w:rPr>
        <w:t xml:space="preserve">To enable the collection of meaningful data about service delivery outcomes, </w:t>
      </w:r>
      <w:r w:rsidR="000D510E">
        <w:rPr>
          <w:rFonts w:eastAsia="Helvetica"/>
        </w:rPr>
        <w:t xml:space="preserve">a new </w:t>
      </w:r>
      <w:r>
        <w:rPr>
          <w:rFonts w:eastAsia="Helvetica"/>
        </w:rPr>
        <w:t>Data Exchange reporting platform</w:t>
      </w:r>
      <w:r w:rsidR="00AB7F22">
        <w:rPr>
          <w:rFonts w:eastAsia="Helvetica"/>
        </w:rPr>
        <w:t xml:space="preserve"> was established</w:t>
      </w:r>
      <w:r>
        <w:rPr>
          <w:rFonts w:eastAsia="Helvetica"/>
        </w:rPr>
        <w:t xml:space="preserve">. </w:t>
      </w:r>
      <w:r w:rsidRPr="005F5633">
        <w:rPr>
          <w:rFonts w:eastAsia="Helvetica"/>
        </w:rPr>
        <w:t xml:space="preserve">As part of </w:t>
      </w:r>
      <w:r>
        <w:rPr>
          <w:rFonts w:eastAsia="Helvetica"/>
        </w:rPr>
        <w:t>the</w:t>
      </w:r>
      <w:r w:rsidRPr="005F5633">
        <w:rPr>
          <w:rFonts w:eastAsia="Helvetica"/>
        </w:rPr>
        <w:t xml:space="preserve"> platform, a client survey </w:t>
      </w:r>
      <w:r w:rsidR="00AB7F22">
        <w:rPr>
          <w:rFonts w:eastAsia="Helvetica"/>
        </w:rPr>
        <w:t xml:space="preserve">was piloted </w:t>
      </w:r>
      <w:r w:rsidRPr="005F5633">
        <w:rPr>
          <w:rFonts w:eastAsia="Helvetica"/>
        </w:rPr>
        <w:t xml:space="preserve">to enable clients to self-report on why they sought assistance and the outcomes of </w:t>
      </w:r>
      <w:r w:rsidRPr="008E22C4">
        <w:rPr>
          <w:rFonts w:eastAsia="Helvetica"/>
        </w:rPr>
        <w:t xml:space="preserve">accessing the service. </w:t>
      </w:r>
    </w:p>
    <w:p w14:paraId="2B3A8EEA" w14:textId="04C0868E" w:rsidR="006A0837" w:rsidRDefault="006A0837" w:rsidP="007A3700">
      <w:pPr>
        <w:rPr>
          <w:rFonts w:eastAsia="Helvetica"/>
        </w:rPr>
      </w:pPr>
      <w:r w:rsidRPr="008E22C4">
        <w:rPr>
          <w:rFonts w:eastAsia="Helvetica"/>
        </w:rPr>
        <w:t>We develop</w:t>
      </w:r>
      <w:r w:rsidR="00AB7F22">
        <w:rPr>
          <w:rFonts w:eastAsia="Helvetica"/>
        </w:rPr>
        <w:t>ed</w:t>
      </w:r>
      <w:r w:rsidRPr="008E22C4">
        <w:rPr>
          <w:rFonts w:eastAsia="Helvetica"/>
        </w:rPr>
        <w:t xml:space="preserve"> and test</w:t>
      </w:r>
      <w:r w:rsidR="00AB7F22">
        <w:rPr>
          <w:rFonts w:eastAsia="Helvetica"/>
        </w:rPr>
        <w:t>ed</w:t>
      </w:r>
      <w:r w:rsidRPr="008E22C4">
        <w:rPr>
          <w:rFonts w:eastAsia="Helvetica"/>
        </w:rPr>
        <w:t xml:space="preserve"> ways to encourage greater survey completion rates. High completion rates are important to ensure results reflect representative views of all the clients and</w:t>
      </w:r>
      <w:r>
        <w:rPr>
          <w:rFonts w:eastAsia="Helvetica"/>
        </w:rPr>
        <w:t xml:space="preserve"> the feedback is used to</w:t>
      </w:r>
      <w:r w:rsidRPr="008E22C4">
        <w:rPr>
          <w:rFonts w:eastAsia="Helvetica"/>
        </w:rPr>
        <w:t xml:space="preserve"> </w:t>
      </w:r>
      <w:r w:rsidR="000D510E">
        <w:rPr>
          <w:rFonts w:eastAsia="Helvetica"/>
        </w:rPr>
        <w:t>improve service delivery.</w:t>
      </w:r>
      <w:r w:rsidRPr="008E22C4">
        <w:rPr>
          <w:rFonts w:eastAsia="Helvetica"/>
        </w:rPr>
        <w:t xml:space="preserve"> </w:t>
      </w:r>
    </w:p>
    <w:p w14:paraId="75806C0F" w14:textId="77777777" w:rsidR="00E0639C" w:rsidRPr="0004155D" w:rsidRDefault="00E0639C" w:rsidP="00D33213">
      <w:pPr>
        <w:pStyle w:val="h4"/>
      </w:pPr>
      <w:r w:rsidRPr="0004155D">
        <w:t xml:space="preserve">Our findings and learnings </w:t>
      </w:r>
    </w:p>
    <w:p w14:paraId="460631A9" w14:textId="77777777" w:rsidR="006A0837" w:rsidRDefault="006A0837" w:rsidP="007A3700">
      <w:pPr>
        <w:rPr>
          <w:rFonts w:eastAsia="Helvetica"/>
        </w:rPr>
      </w:pPr>
      <w:r w:rsidRPr="00F13BDB">
        <w:rPr>
          <w:rFonts w:eastAsia="Helvetica"/>
        </w:rPr>
        <w:t>To encourage more people to complete the survey,</w:t>
      </w:r>
      <w:r w:rsidRPr="00F13BDB">
        <w:t xml:space="preserve"> </w:t>
      </w:r>
      <w:r w:rsidRPr="00F13BDB">
        <w:rPr>
          <w:rFonts w:eastAsia="Helvetica"/>
        </w:rPr>
        <w:t xml:space="preserve">we incorporated behaviourally-informed </w:t>
      </w:r>
      <w:r>
        <w:rPr>
          <w:rFonts w:eastAsia="Helvetica"/>
        </w:rPr>
        <w:t xml:space="preserve">progress </w:t>
      </w:r>
      <w:r w:rsidRPr="00F13BDB">
        <w:rPr>
          <w:rFonts w:eastAsia="Helvetica"/>
        </w:rPr>
        <w:t>updates</w:t>
      </w:r>
      <w:r>
        <w:rPr>
          <w:rFonts w:eastAsia="Helvetica"/>
        </w:rPr>
        <w:t xml:space="preserve"> into the survey</w:t>
      </w:r>
      <w:r w:rsidRPr="00F13BDB">
        <w:rPr>
          <w:rFonts w:eastAsia="Helvetica"/>
        </w:rPr>
        <w:t xml:space="preserve">. </w:t>
      </w:r>
    </w:p>
    <w:p w14:paraId="76ABEEC4" w14:textId="77777777" w:rsidR="006A0837" w:rsidRDefault="006A0837" w:rsidP="007A3700">
      <w:r w:rsidRPr="00F13BDB">
        <w:rPr>
          <w:rFonts w:eastAsia="Helvetica"/>
        </w:rPr>
        <w:t>Updates were presented in a</w:t>
      </w:r>
      <w:r>
        <w:rPr>
          <w:rFonts w:eastAsia="Helvetica"/>
        </w:rPr>
        <w:t xml:space="preserve"> form of a gradually completing</w:t>
      </w:r>
      <w:r w:rsidRPr="00F13BDB">
        <w:rPr>
          <w:rFonts w:eastAsia="Helvetica"/>
        </w:rPr>
        <w:t xml:space="preserve"> pie-chart and</w:t>
      </w:r>
      <w:r>
        <w:rPr>
          <w:rFonts w:eastAsia="Helvetica"/>
        </w:rPr>
        <w:t xml:space="preserve"> were</w:t>
      </w:r>
      <w:r w:rsidRPr="00F13BDB">
        <w:rPr>
          <w:rFonts w:eastAsia="Helvetica"/>
        </w:rPr>
        <w:t xml:space="preserve"> accompanied by short </w:t>
      </w:r>
      <w:r>
        <w:rPr>
          <w:rFonts w:eastAsia="Helvetica"/>
        </w:rPr>
        <w:t xml:space="preserve">written </w:t>
      </w:r>
      <w:r w:rsidRPr="00F13BDB">
        <w:rPr>
          <w:rFonts w:eastAsia="Helvetica"/>
        </w:rPr>
        <w:t>messages</w:t>
      </w:r>
      <w:r>
        <w:rPr>
          <w:rFonts w:eastAsia="Helvetica"/>
        </w:rPr>
        <w:t>. Overall we</w:t>
      </w:r>
      <w:r w:rsidRPr="006A60EF">
        <w:rPr>
          <w:rFonts w:eastAsia="Helvetica"/>
        </w:rPr>
        <w:t xml:space="preserve"> </w:t>
      </w:r>
      <w:r>
        <w:rPr>
          <w:rFonts w:eastAsia="Helvetica"/>
        </w:rPr>
        <w:t>provided five updates over the course of the survey. Each update appeared</w:t>
      </w:r>
      <w:r w:rsidRPr="006A60EF">
        <w:rPr>
          <w:rFonts w:eastAsia="Helvetica"/>
        </w:rPr>
        <w:t xml:space="preserve"> every time a person completed another fifth </w:t>
      </w:r>
      <w:r w:rsidRPr="006A60EF">
        <w:t xml:space="preserve">of the survey. </w:t>
      </w:r>
    </w:p>
    <w:p w14:paraId="69848215" w14:textId="77777777" w:rsidR="000933C6" w:rsidRDefault="006A0837" w:rsidP="007A3700">
      <w:pPr>
        <w:rPr>
          <w:rFonts w:eastAsia="Helvetica"/>
        </w:rPr>
      </w:pPr>
      <w:r>
        <w:t>To enhance the effectiveness of these updates, we incorporated social norms</w:t>
      </w:r>
      <w:r w:rsidRPr="00874D48">
        <w:t xml:space="preserve"> messaging, appealed to </w:t>
      </w:r>
      <w:r>
        <w:t>respondents’ altruistic motivations</w:t>
      </w:r>
      <w:r w:rsidRPr="00874D48">
        <w:t xml:space="preserve"> and made the benefit of completing the survey more </w:t>
      </w:r>
      <w:r w:rsidRPr="00E50205">
        <w:t>salient</w:t>
      </w:r>
      <w:r w:rsidRPr="00E50205">
        <w:rPr>
          <w:rFonts w:eastAsia="Helvetica"/>
        </w:rPr>
        <w:t>.</w:t>
      </w:r>
      <w:r>
        <w:rPr>
          <w:rFonts w:eastAsia="Helvetica"/>
        </w:rPr>
        <w:t xml:space="preserve"> The box below describes those behavioural insights aspects in a bit more detail.</w:t>
      </w:r>
    </w:p>
    <w:p w14:paraId="3CF3D542" w14:textId="2FDDC2BC" w:rsidR="006A0837" w:rsidRDefault="006A0837" w:rsidP="007A3700">
      <w:pPr>
        <w:rPr>
          <w:rFonts w:eastAsia="Helvetica"/>
        </w:rPr>
      </w:pPr>
      <w:r>
        <w:rPr>
          <w:rFonts w:eastAsia="Helvetica"/>
        </w:rPr>
        <w:t xml:space="preserve"> </w:t>
      </w: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E0639C" w14:paraId="36B676B4" w14:textId="77777777" w:rsidTr="00FA42F4">
        <w:trPr>
          <w:trHeight w:val="1"/>
        </w:trPr>
        <w:tc>
          <w:tcPr>
            <w:tcW w:w="5000" w:type="pct"/>
            <w:shd w:val="clear" w:color="auto" w:fill="F2F2F2"/>
            <w:tcMar>
              <w:left w:w="108" w:type="dxa"/>
              <w:right w:w="108" w:type="dxa"/>
            </w:tcMar>
          </w:tcPr>
          <w:p w14:paraId="571678CC" w14:textId="122A4A84" w:rsidR="00E0639C" w:rsidRDefault="00E0639C"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21888" behindDoc="1" locked="0" layoutInCell="1" allowOverlap="1" wp14:anchorId="11DAB55B" wp14:editId="56B3AF74">
                  <wp:simplePos x="0" y="0"/>
                  <wp:positionH relativeFrom="margin">
                    <wp:posOffset>-2509</wp:posOffset>
                  </wp:positionH>
                  <wp:positionV relativeFrom="paragraph">
                    <wp:posOffset>39148</wp:posOffset>
                  </wp:positionV>
                  <wp:extent cx="370800" cy="370800"/>
                  <wp:effectExtent l="0" t="0" r="0" b="3175"/>
                  <wp:wrapTight wrapText="bothSides">
                    <wp:wrapPolygon edited="0">
                      <wp:start x="0" y="0"/>
                      <wp:lineTo x="0" y="20007"/>
                      <wp:lineTo x="20007" y="20007"/>
                      <wp:lineTo x="20007" y="0"/>
                      <wp:lineTo x="0" y="0"/>
                    </wp:wrapPolygon>
                  </wp:wrapTight>
                  <wp:docPr id="11" name="Picture 11"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42E3B"/>
                <w:sz w:val="24"/>
              </w:rPr>
              <w:t>Behavioural insight</w:t>
            </w:r>
            <w:r w:rsidR="00861581">
              <w:rPr>
                <w:rFonts w:ascii="Helvetica" w:eastAsia="Helvetica" w:hAnsi="Helvetica" w:cs="Helvetica"/>
                <w:b/>
                <w:color w:val="142E3B"/>
                <w:sz w:val="24"/>
              </w:rPr>
              <w:t>s</w:t>
            </w:r>
          </w:p>
          <w:p w14:paraId="1B43A486" w14:textId="5547DFE3" w:rsidR="00F13BDB" w:rsidRPr="00B8411D" w:rsidRDefault="00F13BDB" w:rsidP="007A3700">
            <w:pPr>
              <w:rPr>
                <w:rFonts w:ascii="Times New Roman" w:eastAsiaTheme="minorHAnsi" w:hAnsi="Times New Roman"/>
                <w:color w:val="auto"/>
                <w:sz w:val="24"/>
                <w:szCs w:val="24"/>
              </w:rPr>
            </w:pPr>
            <w:r w:rsidRPr="006064CA">
              <w:rPr>
                <w:b/>
                <w:color w:val="auto"/>
              </w:rPr>
              <w:t>Social norms</w:t>
            </w:r>
            <w:r w:rsidRPr="006064CA">
              <w:rPr>
                <w:color w:val="auto"/>
              </w:rPr>
              <w:t xml:space="preserve"> </w:t>
            </w:r>
            <w:r w:rsidRPr="00BE683C">
              <w:t xml:space="preserve">are behavioural expectations or rules within a group of people </w:t>
            </w:r>
            <w:r w:rsidR="00B8411D">
              <w:t>that signal</w:t>
            </w:r>
            <w:r w:rsidRPr="00BE683C">
              <w:t xml:space="preserve"> appropriate behaviour</w:t>
            </w:r>
            <w:r w:rsidR="00B8411D">
              <w:t>s</w:t>
            </w:r>
            <w:r w:rsidRPr="00BE683C">
              <w:t>. Social norms can have a significant effect on people’s behaviour and influence their actions.</w:t>
            </w:r>
            <w:r>
              <w:t xml:space="preserve"> </w:t>
            </w:r>
            <w:r w:rsidRPr="00FB08BE">
              <w:t xml:space="preserve">A number of studies have shown people </w:t>
            </w:r>
            <w:r>
              <w:t>are</w:t>
            </w:r>
            <w:r w:rsidRPr="00FB08BE">
              <w:t xml:space="preserve"> more likely to complete a survey </w:t>
            </w:r>
            <w:r w:rsidR="00B8411D">
              <w:t>if they are</w:t>
            </w:r>
            <w:r w:rsidRPr="00FB08BE">
              <w:t xml:space="preserve"> presented with a social </w:t>
            </w:r>
            <w:r w:rsidR="00B8411D">
              <w:t>norms</w:t>
            </w:r>
            <w:r w:rsidRPr="00FB08BE">
              <w:t xml:space="preserve"> message.</w:t>
            </w:r>
            <w:r w:rsidR="00B8411D">
              <w:rPr>
                <w:rStyle w:val="FootnoteReference"/>
                <w:szCs w:val="22"/>
              </w:rPr>
              <w:footnoteReference w:id="37"/>
            </w:r>
            <w:r w:rsidR="00B8411D">
              <w:rPr>
                <w:rFonts w:ascii="Times New Roman" w:eastAsiaTheme="minorHAnsi" w:hAnsi="Times New Roman"/>
                <w:color w:val="auto"/>
                <w:sz w:val="24"/>
                <w:szCs w:val="24"/>
              </w:rPr>
              <w:t xml:space="preserve"> </w:t>
            </w:r>
            <w:r w:rsidR="00B8411D">
              <w:t xml:space="preserve"> </w:t>
            </w:r>
          </w:p>
          <w:p w14:paraId="0828D8B7" w14:textId="6AD8E6F5" w:rsidR="00F13BDB" w:rsidRPr="00F24EAE" w:rsidRDefault="00F13BDB" w:rsidP="007A3700">
            <w:r w:rsidRPr="006064CA">
              <w:rPr>
                <w:b/>
                <w:color w:val="auto"/>
              </w:rPr>
              <w:t xml:space="preserve">Altruism </w:t>
            </w:r>
            <w:r w:rsidR="00B8411D">
              <w:t>refers to a</w:t>
            </w:r>
            <w:r w:rsidRPr="00F24EAE">
              <w:t xml:space="preserve"> desire to help others without gaining anything in return. </w:t>
            </w:r>
            <w:r>
              <w:t>M</w:t>
            </w:r>
            <w:r w:rsidRPr="00F24EAE">
              <w:t xml:space="preserve">ore people </w:t>
            </w:r>
            <w:r w:rsidR="00B8411D">
              <w:t>might</w:t>
            </w:r>
            <w:r w:rsidRPr="00F24EAE">
              <w:t xml:space="preserve"> be inclined to compl</w:t>
            </w:r>
            <w:r>
              <w:t xml:space="preserve">ete </w:t>
            </w:r>
            <w:r w:rsidR="00B8411D">
              <w:t>a</w:t>
            </w:r>
            <w:r>
              <w:t xml:space="preserve"> survey if they </w:t>
            </w:r>
            <w:r w:rsidR="00B8411D">
              <w:t>understand that</w:t>
            </w:r>
            <w:r>
              <w:t xml:space="preserve"> their responses </w:t>
            </w:r>
            <w:r w:rsidR="00B8411D">
              <w:t xml:space="preserve">could </w:t>
            </w:r>
            <w:r>
              <w:t>improve service delivery in their communities.</w:t>
            </w:r>
          </w:p>
          <w:p w14:paraId="0717CA3F" w14:textId="3F7EC0E0" w:rsidR="00E0639C" w:rsidRDefault="00F13BDB" w:rsidP="00CA20BC">
            <w:r w:rsidRPr="006064CA">
              <w:rPr>
                <w:b/>
                <w:color w:val="auto"/>
              </w:rPr>
              <w:t>Pseudo sets</w:t>
            </w:r>
            <w:r w:rsidRPr="006064CA">
              <w:rPr>
                <w:color w:val="auto"/>
              </w:rPr>
              <w:t xml:space="preserve"> </w:t>
            </w:r>
            <w:r w:rsidRPr="00F24EAE">
              <w:t>theory suggests arbitrarily grouping items or tasks together as part of an apparent ‘set’</w:t>
            </w:r>
            <w:r>
              <w:t xml:space="preserve"> of items or tasks</w:t>
            </w:r>
            <w:r w:rsidRPr="00F24EAE">
              <w:t xml:space="preserve"> motivates people to r</w:t>
            </w:r>
            <w:r w:rsidR="00B8411D">
              <w:t>each perceived completion point (i.e.,</w:t>
            </w:r>
            <w:r w:rsidRPr="00F24EAE">
              <w:t xml:space="preserve"> to finish a pseudo-set</w:t>
            </w:r>
            <w:r w:rsidR="00B8411D">
              <w:t>)</w:t>
            </w:r>
            <w:r w:rsidRPr="00F24EAE">
              <w:t xml:space="preserve">. This form of goal-setting </w:t>
            </w:r>
            <w:r w:rsidR="00B8411D">
              <w:t xml:space="preserve">encourages </w:t>
            </w:r>
            <w:r>
              <w:t>people to reach a target</w:t>
            </w:r>
            <w:r w:rsidRPr="00F24EAE">
              <w:t>.</w:t>
            </w:r>
            <w:r w:rsidR="00B8411D">
              <w:rPr>
                <w:rStyle w:val="FootnoteReference"/>
                <w:bCs/>
                <w:szCs w:val="22"/>
              </w:rPr>
              <w:footnoteReference w:id="38"/>
            </w:r>
            <w:r w:rsidRPr="00F24EAE">
              <w:t xml:space="preserve"> </w:t>
            </w:r>
            <w:r w:rsidR="00B8411D">
              <w:t>When c</w:t>
            </w:r>
            <w:r w:rsidRPr="00F24EAE">
              <w:t>oupled with</w:t>
            </w:r>
            <w:r w:rsidR="00B8411D">
              <w:t xml:space="preserve"> the</w:t>
            </w:r>
            <w:r w:rsidRPr="00F24EAE">
              <w:t xml:space="preserve"> provision of </w:t>
            </w:r>
            <w:r w:rsidRPr="00F24EAE">
              <w:rPr>
                <w:b/>
              </w:rPr>
              <w:t>progress updates</w:t>
            </w:r>
            <w:r w:rsidRPr="00F24EAE">
              <w:t xml:space="preserve">, this approach </w:t>
            </w:r>
            <w:r w:rsidR="00B8411D">
              <w:t>could</w:t>
            </w:r>
            <w:r w:rsidRPr="00F24EAE">
              <w:t xml:space="preserve"> be used to encourage more people to complete a greater portion of </w:t>
            </w:r>
            <w:r w:rsidR="00B8411D">
              <w:t>a</w:t>
            </w:r>
            <w:r w:rsidRPr="00F24EAE">
              <w:t xml:space="preserve"> survey.</w:t>
            </w:r>
          </w:p>
        </w:tc>
      </w:tr>
    </w:tbl>
    <w:p w14:paraId="4BD0CA20" w14:textId="77777777" w:rsidR="009B3D17" w:rsidRDefault="009B3D17" w:rsidP="007A3700">
      <w:pPr>
        <w:rPr>
          <w:rFonts w:eastAsia="Helvetica"/>
        </w:rPr>
      </w:pPr>
    </w:p>
    <w:bookmarkStart w:id="63" w:name="_Ref513798943"/>
    <w:p w14:paraId="20E8B0B0" w14:textId="4AE3453E" w:rsidR="006A0837" w:rsidRDefault="00C144BF" w:rsidP="007A3700">
      <w:pPr>
        <w:rPr>
          <w:rFonts w:eastAsia="Helvetica"/>
        </w:rPr>
      </w:pPr>
      <w:r>
        <w:rPr>
          <w:rFonts w:eastAsia="Helvetica"/>
        </w:rPr>
        <w:fldChar w:fldCharType="begin"/>
      </w:r>
      <w:r>
        <w:rPr>
          <w:rFonts w:eastAsia="Helvetica"/>
        </w:rPr>
        <w:instrText xml:space="preserve"> REF _Ref515868581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14</w:t>
      </w:r>
      <w:r>
        <w:rPr>
          <w:rFonts w:eastAsia="Helvetica"/>
        </w:rPr>
        <w:fldChar w:fldCharType="end"/>
      </w:r>
      <w:r w:rsidR="006A0837" w:rsidRPr="0030281E">
        <w:rPr>
          <w:rFonts w:eastAsia="Helvetica"/>
        </w:rPr>
        <w:t xml:space="preserve"> contains </w:t>
      </w:r>
      <w:r w:rsidR="006A0837">
        <w:rPr>
          <w:rFonts w:eastAsia="Helvetica"/>
        </w:rPr>
        <w:t>two examples of</w:t>
      </w:r>
      <w:r w:rsidR="006A0837" w:rsidRPr="0030281E">
        <w:rPr>
          <w:rFonts w:eastAsia="Helvetica"/>
        </w:rPr>
        <w:t xml:space="preserve"> </w:t>
      </w:r>
      <w:r w:rsidR="006A0837">
        <w:rPr>
          <w:rFonts w:eastAsia="Helvetica"/>
        </w:rPr>
        <w:t xml:space="preserve">the </w:t>
      </w:r>
      <w:r w:rsidR="006A0837" w:rsidRPr="0030281E">
        <w:rPr>
          <w:rFonts w:eastAsia="Helvetica"/>
        </w:rPr>
        <w:t xml:space="preserve">progress updates used in </w:t>
      </w:r>
      <w:r w:rsidR="006A0837">
        <w:rPr>
          <w:rFonts w:eastAsia="Helvetica"/>
        </w:rPr>
        <w:t>the</w:t>
      </w:r>
      <w:r w:rsidR="006A0837" w:rsidRPr="0030281E">
        <w:rPr>
          <w:rFonts w:eastAsia="Helvetica"/>
        </w:rPr>
        <w:t xml:space="preserve"> study</w:t>
      </w:r>
      <w:r w:rsidR="006A0837">
        <w:rPr>
          <w:rFonts w:eastAsia="Helvetica"/>
        </w:rPr>
        <w:t>.</w:t>
      </w:r>
    </w:p>
    <w:p w14:paraId="3F31D70C" w14:textId="78FF6FB3" w:rsidR="00E0639C" w:rsidRPr="006E2166" w:rsidRDefault="00E0639C" w:rsidP="004E3FC0">
      <w:pPr>
        <w:pStyle w:val="Caption"/>
        <w:jc w:val="both"/>
      </w:pPr>
      <w:bookmarkStart w:id="64" w:name="_Ref515868581"/>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14</w:t>
      </w:r>
      <w:r w:rsidR="003035A6">
        <w:rPr>
          <w:noProof/>
        </w:rPr>
        <w:fldChar w:fldCharType="end"/>
      </w:r>
      <w:bookmarkEnd w:id="63"/>
      <w:bookmarkEnd w:id="64"/>
      <w:r>
        <w:t xml:space="preserve">: </w:t>
      </w:r>
      <w:r w:rsidRPr="006E2166">
        <w:t>Content of progress updates</w:t>
      </w:r>
    </w:p>
    <w:tbl>
      <w:tblPr>
        <w:tblStyle w:val="TableGrid"/>
        <w:tblW w:w="8486" w:type="dxa"/>
        <w:tblLook w:val="04A0" w:firstRow="1" w:lastRow="0" w:firstColumn="1" w:lastColumn="0" w:noHBand="0" w:noVBand="1"/>
        <w:tblCaption w:val="Figure 14: Content of progress updates"/>
        <w:tblDescription w:val="Table showing what messages and graphics were shown in progress updates, as wel as the behavioural insights underpinning them. "/>
      </w:tblPr>
      <w:tblGrid>
        <w:gridCol w:w="1126"/>
        <w:gridCol w:w="2838"/>
        <w:gridCol w:w="2896"/>
        <w:gridCol w:w="1626"/>
      </w:tblGrid>
      <w:tr w:rsidR="00360661" w14:paraId="11C56623" w14:textId="77777777" w:rsidTr="00AA221E">
        <w:trPr>
          <w:tblHeader/>
        </w:trPr>
        <w:tc>
          <w:tcPr>
            <w:tcW w:w="1126" w:type="dxa"/>
            <w:shd w:val="clear" w:color="auto" w:fill="3F3F3F" w:themeFill="text1"/>
          </w:tcPr>
          <w:p w14:paraId="7613B91A" w14:textId="77777777" w:rsidR="00E0639C" w:rsidRPr="000F6BCF" w:rsidRDefault="00E0639C" w:rsidP="004E3FC0">
            <w:pPr>
              <w:spacing w:after="240"/>
              <w:jc w:val="both"/>
              <w:rPr>
                <w:b/>
                <w:color w:val="FFFFFF" w:themeColor="background1"/>
              </w:rPr>
            </w:pPr>
            <w:r w:rsidRPr="000F6BCF">
              <w:rPr>
                <w:b/>
                <w:color w:val="FFFFFF" w:themeColor="background1"/>
              </w:rPr>
              <w:t>Progress</w:t>
            </w:r>
            <w:r>
              <w:rPr>
                <w:b/>
                <w:color w:val="FFFFFF" w:themeColor="background1"/>
              </w:rPr>
              <w:t xml:space="preserve"> update</w:t>
            </w:r>
          </w:p>
        </w:tc>
        <w:tc>
          <w:tcPr>
            <w:tcW w:w="2838" w:type="dxa"/>
            <w:shd w:val="clear" w:color="auto" w:fill="3F3F3F" w:themeFill="text1"/>
          </w:tcPr>
          <w:p w14:paraId="6DB1212A" w14:textId="77777777" w:rsidR="00E0639C" w:rsidRPr="000F6BCF" w:rsidRDefault="00E0639C" w:rsidP="004E3FC0">
            <w:pPr>
              <w:spacing w:after="240"/>
              <w:jc w:val="both"/>
              <w:rPr>
                <w:b/>
                <w:color w:val="FFFFFF" w:themeColor="background1"/>
              </w:rPr>
            </w:pPr>
            <w:r w:rsidRPr="000F6BCF">
              <w:rPr>
                <w:b/>
                <w:color w:val="FFFFFF" w:themeColor="background1"/>
              </w:rPr>
              <w:t xml:space="preserve">Message </w:t>
            </w:r>
            <w:r>
              <w:rPr>
                <w:b/>
                <w:color w:val="FFFFFF" w:themeColor="background1"/>
              </w:rPr>
              <w:br/>
            </w:r>
            <w:r w:rsidRPr="000F6BCF">
              <w:rPr>
                <w:b/>
                <w:color w:val="FFFFFF" w:themeColor="background1"/>
              </w:rPr>
              <w:t>displayed</w:t>
            </w:r>
          </w:p>
        </w:tc>
        <w:tc>
          <w:tcPr>
            <w:tcW w:w="2896" w:type="dxa"/>
            <w:shd w:val="clear" w:color="auto" w:fill="3F3F3F" w:themeFill="text1"/>
          </w:tcPr>
          <w:p w14:paraId="3F5238E0" w14:textId="77777777" w:rsidR="00E0639C" w:rsidRPr="000F6BCF" w:rsidRDefault="00E0639C" w:rsidP="004E3FC0">
            <w:pPr>
              <w:spacing w:after="240"/>
              <w:ind w:left="33" w:hanging="33"/>
              <w:jc w:val="both"/>
              <w:rPr>
                <w:b/>
                <w:color w:val="FFFFFF" w:themeColor="background1"/>
              </w:rPr>
            </w:pPr>
            <w:r>
              <w:rPr>
                <w:b/>
                <w:color w:val="FFFFFF" w:themeColor="background1"/>
              </w:rPr>
              <w:t xml:space="preserve">Behavioural </w:t>
            </w:r>
            <w:r>
              <w:rPr>
                <w:b/>
                <w:color w:val="FFFFFF" w:themeColor="background1"/>
              </w:rPr>
              <w:br/>
              <w:t>insight</w:t>
            </w:r>
          </w:p>
        </w:tc>
        <w:tc>
          <w:tcPr>
            <w:tcW w:w="1626" w:type="dxa"/>
            <w:shd w:val="clear" w:color="auto" w:fill="3F3F3F" w:themeFill="text1"/>
          </w:tcPr>
          <w:p w14:paraId="505CC383" w14:textId="77777777" w:rsidR="00E0639C" w:rsidRPr="000F6BCF" w:rsidRDefault="00E0639C" w:rsidP="004E3FC0">
            <w:pPr>
              <w:spacing w:after="240"/>
              <w:jc w:val="both"/>
              <w:rPr>
                <w:b/>
                <w:color w:val="FFFFFF" w:themeColor="background1"/>
              </w:rPr>
            </w:pPr>
            <w:r w:rsidRPr="000F6BCF">
              <w:rPr>
                <w:b/>
                <w:color w:val="FFFFFF" w:themeColor="background1"/>
              </w:rPr>
              <w:t>Graphic displayed</w:t>
            </w:r>
          </w:p>
        </w:tc>
      </w:tr>
      <w:tr w:rsidR="00360661" w14:paraId="0F64C93D" w14:textId="77777777" w:rsidTr="00360661">
        <w:trPr>
          <w:trHeight w:val="1438"/>
        </w:trPr>
        <w:tc>
          <w:tcPr>
            <w:tcW w:w="1126" w:type="dxa"/>
            <w:vAlign w:val="center"/>
          </w:tcPr>
          <w:p w14:paraId="5CEC159E" w14:textId="77777777" w:rsidR="00E0639C" w:rsidRDefault="00E0639C" w:rsidP="004E3FC0">
            <w:pPr>
              <w:spacing w:after="240"/>
              <w:jc w:val="both"/>
            </w:pPr>
            <w:r>
              <w:rPr>
                <w:b/>
              </w:rPr>
              <w:t xml:space="preserve">First </w:t>
            </w:r>
            <w:r w:rsidRPr="001B56C8">
              <w:t>progress update</w:t>
            </w:r>
          </w:p>
        </w:tc>
        <w:tc>
          <w:tcPr>
            <w:tcW w:w="2838" w:type="dxa"/>
          </w:tcPr>
          <w:p w14:paraId="6806447C" w14:textId="40E23E7C" w:rsidR="00E0639C" w:rsidRPr="001B56C8" w:rsidRDefault="00E0639C" w:rsidP="004E3FC0">
            <w:pPr>
              <w:jc w:val="both"/>
              <w:rPr>
                <w:i/>
              </w:rPr>
            </w:pPr>
            <w:r w:rsidRPr="001B56C8">
              <w:rPr>
                <w:i/>
                <w:color w:val="auto"/>
              </w:rPr>
              <w:t xml:space="preserve">You just finished the first section. Thank you for </w:t>
            </w:r>
            <w:r w:rsidR="00360661">
              <w:rPr>
                <w:i/>
                <w:color w:val="auto"/>
              </w:rPr>
              <w:br/>
            </w:r>
            <w:r w:rsidRPr="001B56C8">
              <w:rPr>
                <w:i/>
                <w:color w:val="auto"/>
              </w:rPr>
              <w:t>joining thousands of other contributors by telling us your story</w:t>
            </w:r>
          </w:p>
        </w:tc>
        <w:tc>
          <w:tcPr>
            <w:tcW w:w="2896" w:type="dxa"/>
          </w:tcPr>
          <w:p w14:paraId="537E2D13" w14:textId="09A6D467" w:rsidR="00E0639C" w:rsidRDefault="00E0639C" w:rsidP="004E3FC0">
            <w:pPr>
              <w:spacing w:after="240"/>
              <w:jc w:val="both"/>
            </w:pPr>
            <w:r>
              <w:rPr>
                <w:b/>
                <w:color w:val="20B9A3"/>
              </w:rPr>
              <w:t>S</w:t>
            </w:r>
            <w:r w:rsidRPr="00480335">
              <w:rPr>
                <w:b/>
                <w:color w:val="20B9A3"/>
              </w:rPr>
              <w:t xml:space="preserve">ocial </w:t>
            </w:r>
            <w:r>
              <w:rPr>
                <w:b/>
                <w:color w:val="20B9A3"/>
              </w:rPr>
              <w:t>norm</w:t>
            </w:r>
            <w:r w:rsidR="006064CA">
              <w:rPr>
                <w:b/>
                <w:color w:val="20B9A3"/>
              </w:rPr>
              <w:t>s</w:t>
            </w:r>
            <w:r w:rsidRPr="0005649E">
              <w:t xml:space="preserve"> </w:t>
            </w:r>
            <w:r w:rsidR="006064CA">
              <w:t xml:space="preserve">message </w:t>
            </w:r>
            <w:r>
              <w:t xml:space="preserve">was used to signal </w:t>
            </w:r>
            <w:r w:rsidR="006064CA">
              <w:t xml:space="preserve">the </w:t>
            </w:r>
            <w:r>
              <w:t xml:space="preserve">appropriate behaviour </w:t>
            </w:r>
          </w:p>
        </w:tc>
        <w:tc>
          <w:tcPr>
            <w:tcW w:w="1626" w:type="dxa"/>
            <w:tcBorders>
              <w:right w:val="single" w:sz="4" w:space="0" w:color="auto"/>
            </w:tcBorders>
          </w:tcPr>
          <w:p w14:paraId="2A941E8D" w14:textId="75E5A336" w:rsidR="00E0639C" w:rsidRDefault="001536E8" w:rsidP="004E3FC0">
            <w:pPr>
              <w:spacing w:after="240"/>
              <w:jc w:val="both"/>
            </w:pPr>
            <w:r>
              <w:rPr>
                <w:noProof/>
              </w:rPr>
              <w:drawing>
                <wp:inline distT="0" distB="0" distL="0" distR="0" wp14:anchorId="05B34C6D" wp14:editId="4A5EA6C3">
                  <wp:extent cx="876300" cy="850900"/>
                  <wp:effectExtent l="0" t="0" r="0" b="0"/>
                  <wp:docPr id="128" name="Picture 128" descr="One fifth" title="Figure 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ig14A.png"/>
                          <pic:cNvPicPr/>
                        </pic:nvPicPr>
                        <pic:blipFill>
                          <a:blip r:embed="rId84">
                            <a:extLst>
                              <a:ext uri="{28A0092B-C50C-407E-A947-70E740481C1C}">
                                <a14:useLocalDpi xmlns:a14="http://schemas.microsoft.com/office/drawing/2010/main" val="0"/>
                              </a:ext>
                            </a:extLst>
                          </a:blip>
                          <a:stretch>
                            <a:fillRect/>
                          </a:stretch>
                        </pic:blipFill>
                        <pic:spPr>
                          <a:xfrm>
                            <a:off x="0" y="0"/>
                            <a:ext cx="876300" cy="850900"/>
                          </a:xfrm>
                          <a:prstGeom prst="rect">
                            <a:avLst/>
                          </a:prstGeom>
                        </pic:spPr>
                      </pic:pic>
                    </a:graphicData>
                  </a:graphic>
                </wp:inline>
              </w:drawing>
            </w:r>
          </w:p>
        </w:tc>
      </w:tr>
      <w:tr w:rsidR="00360661" w14:paraId="4CE0F492" w14:textId="77777777" w:rsidTr="00360661">
        <w:tc>
          <w:tcPr>
            <w:tcW w:w="1126" w:type="dxa"/>
            <w:vAlign w:val="center"/>
          </w:tcPr>
          <w:p w14:paraId="2888DD9D" w14:textId="77777777" w:rsidR="00E0639C" w:rsidRDefault="00E0639C" w:rsidP="004E3FC0">
            <w:pPr>
              <w:spacing w:after="240"/>
              <w:jc w:val="both"/>
            </w:pPr>
            <w:r>
              <w:rPr>
                <w:b/>
              </w:rPr>
              <w:t xml:space="preserve">Fourth </w:t>
            </w:r>
            <w:r w:rsidRPr="001B56C8">
              <w:t>progress update</w:t>
            </w:r>
          </w:p>
        </w:tc>
        <w:tc>
          <w:tcPr>
            <w:tcW w:w="2838" w:type="dxa"/>
          </w:tcPr>
          <w:p w14:paraId="25AA8935" w14:textId="4283DF3B" w:rsidR="00E0639C" w:rsidRPr="000F6BCF" w:rsidRDefault="00E0639C" w:rsidP="004E3FC0">
            <w:pPr>
              <w:spacing w:after="240"/>
              <w:jc w:val="both"/>
              <w:rPr>
                <w:i/>
              </w:rPr>
            </w:pPr>
            <w:r w:rsidRPr="000F6BCF">
              <w:rPr>
                <w:i/>
              </w:rPr>
              <w:t>Another section complete, last section coming up</w:t>
            </w:r>
          </w:p>
        </w:tc>
        <w:tc>
          <w:tcPr>
            <w:tcW w:w="2896" w:type="dxa"/>
          </w:tcPr>
          <w:p w14:paraId="1A5E806F" w14:textId="77777777" w:rsidR="00E0639C" w:rsidRDefault="00E0639C" w:rsidP="004E3FC0">
            <w:pPr>
              <w:spacing w:after="240"/>
              <w:jc w:val="both"/>
            </w:pPr>
            <w:r>
              <w:t xml:space="preserve">A further progress update to </w:t>
            </w:r>
            <w:r w:rsidRPr="009962A6">
              <w:rPr>
                <w:b/>
                <w:color w:val="20B9A3" w:themeColor="background2"/>
              </w:rPr>
              <w:t>reduce uncertainty</w:t>
            </w:r>
            <w:r>
              <w:rPr>
                <w:b/>
                <w:color w:val="20B9A3" w:themeColor="background2"/>
              </w:rPr>
              <w:t xml:space="preserve"> </w:t>
            </w:r>
            <w:r w:rsidRPr="00D25CBC">
              <w:t>around the length</w:t>
            </w:r>
            <w:r>
              <w:t xml:space="preserve"> of the survey</w:t>
            </w:r>
          </w:p>
        </w:tc>
        <w:tc>
          <w:tcPr>
            <w:tcW w:w="1626" w:type="dxa"/>
            <w:tcBorders>
              <w:right w:val="single" w:sz="4" w:space="0" w:color="auto"/>
            </w:tcBorders>
          </w:tcPr>
          <w:p w14:paraId="3671F56C" w14:textId="0EDF8A8B" w:rsidR="00E0639C" w:rsidRDefault="001536E8" w:rsidP="004E3FC0">
            <w:pPr>
              <w:spacing w:after="240"/>
              <w:jc w:val="both"/>
            </w:pPr>
            <w:r>
              <w:rPr>
                <w:noProof/>
              </w:rPr>
              <w:drawing>
                <wp:inline distT="0" distB="0" distL="0" distR="0" wp14:anchorId="30D29FC8" wp14:editId="5697DC5B">
                  <wp:extent cx="876300" cy="850900"/>
                  <wp:effectExtent l="0" t="0" r="0" b="0"/>
                  <wp:docPr id="129" name="Picture 129" descr="Four fifths" title="Figure 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ig14B.png"/>
                          <pic:cNvPicPr/>
                        </pic:nvPicPr>
                        <pic:blipFill>
                          <a:blip r:embed="rId85">
                            <a:extLst>
                              <a:ext uri="{28A0092B-C50C-407E-A947-70E740481C1C}">
                                <a14:useLocalDpi xmlns:a14="http://schemas.microsoft.com/office/drawing/2010/main" val="0"/>
                              </a:ext>
                            </a:extLst>
                          </a:blip>
                          <a:stretch>
                            <a:fillRect/>
                          </a:stretch>
                        </pic:blipFill>
                        <pic:spPr>
                          <a:xfrm>
                            <a:off x="0" y="0"/>
                            <a:ext cx="876300" cy="850900"/>
                          </a:xfrm>
                          <a:prstGeom prst="rect">
                            <a:avLst/>
                          </a:prstGeom>
                        </pic:spPr>
                      </pic:pic>
                    </a:graphicData>
                  </a:graphic>
                </wp:inline>
              </w:drawing>
            </w:r>
          </w:p>
        </w:tc>
      </w:tr>
    </w:tbl>
    <w:p w14:paraId="1C937BBF" w14:textId="54B12591" w:rsidR="006A0837" w:rsidRDefault="006A0837" w:rsidP="007A3700">
      <w:pPr>
        <w:rPr>
          <w:rFonts w:eastAsia="Helvetica"/>
        </w:rPr>
      </w:pPr>
      <w:bookmarkStart w:id="65" w:name="_Ref513799044"/>
      <w:r>
        <w:rPr>
          <w:rFonts w:eastAsia="Helvetica"/>
        </w:rPr>
        <w:t xml:space="preserve">Our trial ran over seven months and involved more than 500 people. We found </w:t>
      </w:r>
      <w:r w:rsidR="009657C4">
        <w:rPr>
          <w:rFonts w:eastAsia="Helvetica"/>
        </w:rPr>
        <w:t>r</w:t>
      </w:r>
      <w:r w:rsidRPr="00975FF5">
        <w:rPr>
          <w:rFonts w:eastAsia="Helvetica"/>
        </w:rPr>
        <w:t>eceiving progress updates</w:t>
      </w:r>
      <w:r>
        <w:rPr>
          <w:rFonts w:eastAsia="Helvetica"/>
        </w:rPr>
        <w:t xml:space="preserve"> </w:t>
      </w:r>
      <w:r w:rsidRPr="00975FF5">
        <w:rPr>
          <w:rFonts w:eastAsia="Helvetica"/>
        </w:rPr>
        <w:t>increased survey completion by 6.8</w:t>
      </w:r>
      <w:r>
        <w:rPr>
          <w:rFonts w:eastAsia="Helvetica"/>
        </w:rPr>
        <w:t> </w:t>
      </w:r>
      <w:r w:rsidRPr="00975FF5">
        <w:rPr>
          <w:rFonts w:eastAsia="Helvetica"/>
        </w:rPr>
        <w:t>percentage</w:t>
      </w:r>
      <w:r>
        <w:rPr>
          <w:rFonts w:eastAsia="Helvetica"/>
        </w:rPr>
        <w:t> </w:t>
      </w:r>
      <w:r w:rsidRPr="00975FF5">
        <w:rPr>
          <w:rFonts w:eastAsia="Helvetica"/>
        </w:rPr>
        <w:t>points</w:t>
      </w:r>
      <w:r>
        <w:rPr>
          <w:rFonts w:eastAsia="Helvetica"/>
        </w:rPr>
        <w:t>,</w:t>
      </w:r>
      <w:r w:rsidRPr="00190DBA">
        <w:t xml:space="preserve"> </w:t>
      </w:r>
      <w:r>
        <w:rPr>
          <w:rFonts w:eastAsia="Helvetica"/>
        </w:rPr>
        <w:t>from 84.7 to 91.5 per cent</w:t>
      </w:r>
      <w:r w:rsidRPr="00190DBA">
        <w:rPr>
          <w:rFonts w:eastAsia="Helvetica"/>
        </w:rPr>
        <w:t xml:space="preserve"> </w:t>
      </w:r>
      <w:r w:rsidRPr="00975FF5">
        <w:rPr>
          <w:rFonts w:eastAsia="Helvetica"/>
        </w:rPr>
        <w:t>(</w:t>
      </w:r>
      <w:r>
        <w:rPr>
          <w:rFonts w:eastAsia="Helvetica"/>
        </w:rPr>
        <w:t xml:space="preserve">see </w:t>
      </w:r>
      <w:r w:rsidR="00C144BF">
        <w:rPr>
          <w:rFonts w:eastAsia="Helvetica"/>
        </w:rPr>
        <w:fldChar w:fldCharType="begin"/>
      </w:r>
      <w:r w:rsidR="00C144BF">
        <w:rPr>
          <w:rFonts w:eastAsia="Helvetica"/>
        </w:rPr>
        <w:instrText xml:space="preserve"> REF _Ref515868598 \h </w:instrText>
      </w:r>
      <w:r w:rsidR="004E3FC0">
        <w:rPr>
          <w:rFonts w:eastAsia="Helvetica"/>
        </w:rPr>
        <w:instrText xml:space="preserve"> \* MERGEFORMAT </w:instrText>
      </w:r>
      <w:r w:rsidR="00C144BF">
        <w:rPr>
          <w:rFonts w:eastAsia="Helvetica"/>
        </w:rPr>
      </w:r>
      <w:r w:rsidR="00C144BF">
        <w:rPr>
          <w:rFonts w:eastAsia="Helvetica"/>
        </w:rPr>
        <w:fldChar w:fldCharType="separate"/>
      </w:r>
      <w:r w:rsidR="00B01953">
        <w:t xml:space="preserve">Figure </w:t>
      </w:r>
      <w:r w:rsidR="00B01953">
        <w:rPr>
          <w:noProof/>
        </w:rPr>
        <w:t>15</w:t>
      </w:r>
      <w:r w:rsidR="00C144BF">
        <w:rPr>
          <w:rFonts w:eastAsia="Helvetica"/>
        </w:rPr>
        <w:fldChar w:fldCharType="end"/>
      </w:r>
      <w:r w:rsidR="00C144BF">
        <w:rPr>
          <w:rFonts w:eastAsia="Helvetica"/>
        </w:rPr>
        <w:t>).</w:t>
      </w:r>
    </w:p>
    <w:p w14:paraId="258C5BEE" w14:textId="11D88981" w:rsidR="00E0639C" w:rsidRPr="006E2166" w:rsidRDefault="00E0639C" w:rsidP="004E3FC0">
      <w:pPr>
        <w:pStyle w:val="Caption"/>
        <w:jc w:val="both"/>
        <w:rPr>
          <w:rFonts w:ascii="Helvetica" w:eastAsia="Helvetica" w:hAnsi="Helvetica" w:cs="Helvetica"/>
          <w:color w:val="117479"/>
        </w:rPr>
      </w:pPr>
      <w:bookmarkStart w:id="66" w:name="_Ref515868598"/>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15</w:t>
      </w:r>
      <w:r w:rsidR="003035A6">
        <w:rPr>
          <w:noProof/>
        </w:rPr>
        <w:fldChar w:fldCharType="end"/>
      </w:r>
      <w:bookmarkEnd w:id="65"/>
      <w:bookmarkEnd w:id="66"/>
      <w:r>
        <w:t xml:space="preserve">: </w:t>
      </w:r>
      <w:r w:rsidR="000D510E">
        <w:t>Behaviourally-informed p</w:t>
      </w:r>
      <w:r w:rsidRPr="006E2166">
        <w:rPr>
          <w:rFonts w:ascii="Helvetica" w:eastAsia="Helvetica" w:hAnsi="Helvetica" w:cs="Helvetica"/>
          <w:color w:val="117479"/>
        </w:rPr>
        <w:t>rogress updates increase survey completion rates</w:t>
      </w:r>
    </w:p>
    <w:p w14:paraId="14AF7A0D" w14:textId="3BCD074F" w:rsidR="00E0639C" w:rsidRDefault="00ED22CF" w:rsidP="004E3FC0">
      <w:pPr>
        <w:keepNext/>
        <w:jc w:val="both"/>
      </w:pPr>
      <w:r>
        <w:rPr>
          <w:noProof/>
        </w:rPr>
        <w:drawing>
          <wp:inline distT="0" distB="0" distL="0" distR="0" wp14:anchorId="439E30C0" wp14:editId="21E3F02B">
            <wp:extent cx="5384800" cy="2311400"/>
            <wp:effectExtent l="0" t="0" r="0" b="0"/>
            <wp:docPr id="130" name="Picture 130" descr="Our trial ran over seven months and involved more than 500 people. We found receiving progress updates increased survey completion by 6.8 percentage points, from 84.7 to 91.5 per cent. (p = 0.02)."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ig15.png"/>
                    <pic:cNvPicPr/>
                  </pic:nvPicPr>
                  <pic:blipFill>
                    <a:blip r:embed="rId86">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2AEA0E3B" w14:textId="77777777" w:rsidR="00E0639C" w:rsidRPr="0004155D" w:rsidRDefault="00E0639C" w:rsidP="00D33213">
      <w:pPr>
        <w:pStyle w:val="h4"/>
      </w:pPr>
      <w:r w:rsidRPr="0004155D">
        <w:t xml:space="preserve">Future opportunities </w:t>
      </w:r>
    </w:p>
    <w:p w14:paraId="4C2AF833" w14:textId="68D56F14" w:rsidR="007A3700" w:rsidRDefault="006A0837" w:rsidP="007A3700">
      <w:r>
        <w:rPr>
          <w:rFonts w:eastAsia="Helvetica"/>
        </w:rPr>
        <w:t>This trial was</w:t>
      </w:r>
      <w:r w:rsidRPr="00F13BDB">
        <w:rPr>
          <w:rFonts w:eastAsia="Helvetica"/>
        </w:rPr>
        <w:t xml:space="preserve"> </w:t>
      </w:r>
      <w:r>
        <w:rPr>
          <w:rFonts w:eastAsia="Helvetica"/>
        </w:rPr>
        <w:t xml:space="preserve">one of the first field applications of pseudo-sets theory. The results showed simple low-cost changes to a survey design can increase survey completion. </w:t>
      </w:r>
      <w:r w:rsidR="00F15CC4">
        <w:t>T</w:t>
      </w:r>
      <w:r>
        <w:t xml:space="preserve">he significance of this finding extends beyond future redesigns of the Data Exchange survey and should be considered by other organisations </w:t>
      </w:r>
      <w:r w:rsidR="000D510E">
        <w:t>seeking</w:t>
      </w:r>
      <w:r>
        <w:t xml:space="preserve"> to</w:t>
      </w:r>
      <w:r w:rsidR="00F15CC4">
        <w:t xml:space="preserve"> understand and service their clients.</w:t>
      </w:r>
    </w:p>
    <w:p w14:paraId="0C125A71" w14:textId="725D638A" w:rsidR="007A3700" w:rsidRDefault="007A3700">
      <w:pPr>
        <w:keepLines w:val="0"/>
        <w:spacing w:before="0" w:after="0" w:line="240" w:lineRule="auto"/>
      </w:pPr>
      <w:r>
        <w:br w:type="page"/>
      </w:r>
    </w:p>
    <w:p w14:paraId="03C09EE5" w14:textId="5494B307" w:rsidR="00785431" w:rsidRDefault="00785431" w:rsidP="001B5DD4">
      <w:pPr>
        <w:pStyle w:val="Heading3"/>
        <w:framePr w:w="8801" w:wrap="around"/>
        <w:spacing w:after="240"/>
        <w:ind w:right="-13"/>
        <w:rPr>
          <w:bCs/>
        </w:rPr>
      </w:pPr>
      <w:r w:rsidRPr="00785431">
        <w:rPr>
          <w:bCs/>
        </w:rPr>
        <w:lastRenderedPageBreak/>
        <w:t>Using text message reminders to help income support recipients to report on time</w:t>
      </w:r>
    </w:p>
    <w:p w14:paraId="67A4F8D8" w14:textId="73C0E419" w:rsidR="001B5DD4" w:rsidRDefault="001B5DD4" w:rsidP="001B5DD4">
      <w:pPr>
        <w:pStyle w:val="h4"/>
      </w:pPr>
      <w:r w:rsidRPr="004E3FC0">
        <w:t>Abstract</w:t>
      </w:r>
    </w:p>
    <w:p w14:paraId="5D381342" w14:textId="6A0C3E1A" w:rsidR="00EB6B12" w:rsidRDefault="00EB6B12" w:rsidP="00EB6B12">
      <w:pPr>
        <w:pStyle w:val="h4"/>
      </w:pPr>
      <w:r w:rsidRPr="00573712">
        <w:t>Project by</w:t>
      </w:r>
    </w:p>
    <w:p w14:paraId="4B47B73F" w14:textId="72B76773" w:rsidR="00EB6B12" w:rsidRDefault="00EB6B12" w:rsidP="00EB6B12">
      <w:r w:rsidRPr="00642AEC">
        <w:rPr>
          <w:noProof/>
        </w:rPr>
        <w:drawing>
          <wp:anchor distT="0" distB="0" distL="114300" distR="114300" simplePos="0" relativeHeight="251812352" behindDoc="0" locked="0" layoutInCell="1" allowOverlap="1" wp14:anchorId="5A5C0313" wp14:editId="511EECE1">
            <wp:simplePos x="0" y="0"/>
            <wp:positionH relativeFrom="margin">
              <wp:align>left</wp:align>
            </wp:positionH>
            <wp:positionV relativeFrom="paragraph">
              <wp:posOffset>235526</wp:posOffset>
            </wp:positionV>
            <wp:extent cx="2477770" cy="565150"/>
            <wp:effectExtent l="0" t="0" r="0" b="6350"/>
            <wp:wrapNone/>
            <wp:docPr id="314" name="Picture 0" descr="Australian Government Department of Human Service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his image represents the Australian Government Department of Human Services Crest"/>
                    <pic:cNvPicPr>
                      <a:picLocks noChangeAspect="1" noChangeArrowheads="1"/>
                    </pic:cNvPicPr>
                  </pic:nvPicPr>
                  <pic:blipFill>
                    <a:blip r:embed="rId87" cstate="print">
                      <a:extLst>
                        <a:ext uri="{28A0092B-C50C-407E-A947-70E740481C1C}">
                          <a14:useLocalDpi xmlns:a14="http://schemas.microsoft.com/office/drawing/2010/main" val="0"/>
                        </a:ext>
                      </a:extLst>
                    </a:blip>
                    <a:srcRect r="63794" b="94312"/>
                    <a:stretch>
                      <a:fillRect/>
                    </a:stretch>
                  </pic:blipFill>
                  <pic:spPr bwMode="auto">
                    <a:xfrm>
                      <a:off x="0" y="0"/>
                      <a:ext cx="2477770" cy="56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413C6" w14:textId="39D718DC" w:rsidR="00EB6B12" w:rsidRPr="001B5DD4" w:rsidRDefault="00EB6B12" w:rsidP="00EB6B12">
      <w:r w:rsidRPr="000B0B98">
        <w:rPr>
          <w:noProof/>
        </w:rPr>
        <w:drawing>
          <wp:anchor distT="0" distB="0" distL="114300" distR="114300" simplePos="0" relativeHeight="251813376" behindDoc="0" locked="0" layoutInCell="1" allowOverlap="1" wp14:anchorId="6250E919" wp14:editId="6E567516">
            <wp:simplePos x="0" y="0"/>
            <wp:positionH relativeFrom="column">
              <wp:posOffset>3918201</wp:posOffset>
            </wp:positionH>
            <wp:positionV relativeFrom="paragraph">
              <wp:posOffset>12094</wp:posOffset>
            </wp:positionV>
            <wp:extent cx="1910715" cy="499110"/>
            <wp:effectExtent l="0" t="0" r="0" b="0"/>
            <wp:wrapNone/>
            <wp:docPr id="750" name="Picture 750"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page" w:horzAnchor="margin" w:tblpY="6062"/>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Using text message reminders to help income support recipients to report on time"/>
        <w:tblDescription w:val="Text box description of a trial to reduce delayed reporting of income support recipients. "/>
      </w:tblPr>
      <w:tblGrid>
        <w:gridCol w:w="9162"/>
      </w:tblGrid>
      <w:tr w:rsidR="00344692" w14:paraId="05DC113C" w14:textId="77777777" w:rsidTr="00785431">
        <w:trPr>
          <w:trHeight w:val="6123"/>
        </w:trPr>
        <w:tc>
          <w:tcPr>
            <w:tcW w:w="9162" w:type="dxa"/>
            <w:tcBorders>
              <w:bottom w:val="nil"/>
            </w:tcBorders>
            <w:shd w:val="clear" w:color="auto" w:fill="D9D9D9" w:themeFill="background1" w:themeFillShade="D9"/>
          </w:tcPr>
          <w:p w14:paraId="01BF95CD" w14:textId="0F27E2CF" w:rsidR="00344692" w:rsidRPr="00344692" w:rsidRDefault="00344692" w:rsidP="00785431">
            <w:pPr>
              <w:spacing w:after="240" w:line="320" w:lineRule="auto"/>
              <w:rPr>
                <w:rFonts w:ascii="Helvetica" w:eastAsia="Helvetica" w:hAnsi="Helvetica" w:cs="Helvetica"/>
                <w:color w:val="3F3F3F"/>
                <w:sz w:val="24"/>
              </w:rPr>
            </w:pPr>
            <w:bookmarkStart w:id="67" w:name="_Toc515874442"/>
            <w:bookmarkStart w:id="68" w:name="_Toc515874513"/>
            <w:bookmarkStart w:id="69" w:name="_Toc515874683"/>
            <w:r w:rsidRPr="00344692">
              <w:rPr>
                <w:rFonts w:ascii="Helvetica" w:eastAsia="Helvetica" w:hAnsi="Helvetica" w:cs="Helvetica"/>
                <w:color w:val="3F3F3F"/>
                <w:sz w:val="24"/>
              </w:rPr>
              <w:t>The Department of Human Services continually seeks to simplify customer interactions and improve service delivery to Australians.</w:t>
            </w:r>
          </w:p>
          <w:p w14:paraId="2DE2933E" w14:textId="61592931" w:rsidR="00344692" w:rsidRPr="00344692" w:rsidRDefault="00344692"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 xml:space="preserve">For income support recipients, reporting late can lead to delayed or cancelled payments and result in adverse outcomes for individuals. To address this issue, </w:t>
            </w:r>
            <w:r w:rsidR="0083281B">
              <w:rPr>
                <w:rFonts w:ascii="Helvetica" w:eastAsia="Helvetica" w:hAnsi="Helvetica" w:cs="Helvetica"/>
                <w:color w:val="3F3F3F"/>
                <w:sz w:val="24"/>
              </w:rPr>
              <w:br/>
            </w:r>
            <w:r w:rsidRPr="00344692">
              <w:rPr>
                <w:rFonts w:ascii="Helvetica" w:eastAsia="Helvetica" w:hAnsi="Helvetica" w:cs="Helvetica"/>
                <w:color w:val="3F3F3F"/>
                <w:sz w:val="24"/>
              </w:rPr>
              <w:t>we examined whether a text message reminder to income support recipients would increase the number of people reporting their income on time.</w:t>
            </w:r>
          </w:p>
          <w:p w14:paraId="4C7028DA" w14:textId="51D15EF9" w:rsidR="00344692" w:rsidRPr="004E3FC0" w:rsidRDefault="00344692" w:rsidP="00785431">
            <w:pPr>
              <w:spacing w:after="240" w:line="320" w:lineRule="auto"/>
              <w:rPr>
                <w:rFonts w:ascii="Helvetica" w:eastAsia="Helvetica" w:hAnsi="Helvetica" w:cs="Helvetica"/>
                <w:color w:val="3F3F3F"/>
                <w:sz w:val="24"/>
              </w:rPr>
            </w:pPr>
            <w:r w:rsidRPr="00344692">
              <w:rPr>
                <w:rFonts w:ascii="Helvetica" w:eastAsia="Helvetica" w:hAnsi="Helvetica" w:cs="Helvetica"/>
                <w:color w:val="3F3F3F"/>
                <w:sz w:val="24"/>
              </w:rPr>
              <w:t>We found sending behaviourally-informed text message reminders increased the number of people who reported on time by 13.5 percentage points, from 53.1 to 66.6 per cent. Further, those who received a text message reminder reported sooner than those who did not. Certain reminders also resulted in fewer payment cancellations, representing a decrease of 1.7 percentage points, from 3.9 to 2.2 per</w:t>
            </w:r>
            <w:r w:rsidR="0083281B">
              <w:rPr>
                <w:rFonts w:ascii="Helvetica" w:eastAsia="Helvetica" w:hAnsi="Helvetica" w:cs="Helvetica"/>
                <w:color w:val="3F3F3F"/>
                <w:sz w:val="24"/>
              </w:rPr>
              <w:t> </w:t>
            </w:r>
            <w:r w:rsidRPr="00344692">
              <w:rPr>
                <w:rFonts w:ascii="Helvetica" w:eastAsia="Helvetica" w:hAnsi="Helvetica" w:cs="Helvetica"/>
                <w:color w:val="3F3F3F"/>
                <w:sz w:val="24"/>
              </w:rPr>
              <w:t>cent).</w:t>
            </w:r>
          </w:p>
        </w:tc>
      </w:tr>
    </w:tbl>
    <w:bookmarkEnd w:id="67"/>
    <w:bookmarkEnd w:id="68"/>
    <w:bookmarkEnd w:id="69"/>
    <w:p w14:paraId="0810D5D8" w14:textId="77777777" w:rsidR="00E0639C" w:rsidRPr="0004155D" w:rsidRDefault="00E0639C" w:rsidP="00D33213">
      <w:pPr>
        <w:pStyle w:val="h4"/>
      </w:pPr>
      <w:r w:rsidRPr="0004155D">
        <w:lastRenderedPageBreak/>
        <w:t xml:space="preserve">The policy problem </w:t>
      </w:r>
    </w:p>
    <w:p w14:paraId="61801A0C" w14:textId="270FC044" w:rsidR="006A0837" w:rsidRDefault="006A0837" w:rsidP="007A3700">
      <w:pPr>
        <w:rPr>
          <w:rFonts w:eastAsia="Helvetica"/>
        </w:rPr>
      </w:pPr>
      <w:r>
        <w:rPr>
          <w:rFonts w:eastAsia="Helvetica"/>
        </w:rPr>
        <w:t>Approximately 850,000 Australians receive payments for income support while they are unemployed and seeking employment.</w:t>
      </w:r>
      <w:r>
        <w:rPr>
          <w:rStyle w:val="FootnoteReference"/>
          <w:rFonts w:eastAsia="Helvetica"/>
        </w:rPr>
        <w:footnoteReference w:id="39"/>
      </w:r>
      <w:r>
        <w:rPr>
          <w:rFonts w:eastAsia="Helvetica"/>
        </w:rPr>
        <w:t xml:space="preserve"> To ensure they receive the correct amount, these recipients need to report their income to the Department of Human Services fortnightly. Reporting on time benefits recipients, as failing to do so may trigger cancellation of payments. </w:t>
      </w:r>
      <w:r w:rsidR="0083281B">
        <w:rPr>
          <w:rFonts w:eastAsia="Helvetica"/>
        </w:rPr>
        <w:br/>
      </w:r>
      <w:r>
        <w:rPr>
          <w:rFonts w:eastAsia="Helvetica"/>
        </w:rPr>
        <w:t>It also benefits government by reducing the resources associated with late reporting and payment cancellations.</w:t>
      </w:r>
    </w:p>
    <w:p w14:paraId="0A742936" w14:textId="17CBCDA7" w:rsidR="006A0837" w:rsidRDefault="006A0837" w:rsidP="007A3700">
      <w:pPr>
        <w:rPr>
          <w:rFonts w:eastAsia="Helvetica"/>
        </w:rPr>
      </w:pPr>
      <w:r>
        <w:rPr>
          <w:rFonts w:eastAsia="Helvetica"/>
        </w:rPr>
        <w:t>Unfortunately, many recipients fail to report their income on time. In any given fortnight, over 80,000 people are late reporting their income and approximately 3,100 people are so late their payments are cancelled.</w:t>
      </w:r>
      <w:r>
        <w:rPr>
          <w:rStyle w:val="FootnoteReference"/>
          <w:rFonts w:eastAsia="Helvetica"/>
        </w:rPr>
        <w:footnoteReference w:id="40"/>
      </w:r>
    </w:p>
    <w:p w14:paraId="7E4ABE3B" w14:textId="77777777" w:rsidR="00E0639C" w:rsidRPr="0004155D" w:rsidRDefault="00E0639C" w:rsidP="00D33213">
      <w:pPr>
        <w:pStyle w:val="h4"/>
      </w:pPr>
      <w:r w:rsidRPr="0004155D">
        <w:t xml:space="preserve">Our findings and learnings </w:t>
      </w:r>
    </w:p>
    <w:p w14:paraId="1470E2BC" w14:textId="1FCB896E" w:rsidR="00E0639C" w:rsidRDefault="00E0639C" w:rsidP="007A3700">
      <w:pPr>
        <w:rPr>
          <w:rFonts w:eastAsia="Helvetica"/>
        </w:rPr>
      </w:pPr>
      <w:r>
        <w:rPr>
          <w:rFonts w:eastAsia="Helvetica"/>
        </w:rPr>
        <w:t xml:space="preserve">Our trial </w:t>
      </w:r>
      <w:r w:rsidR="000873C5">
        <w:rPr>
          <w:rFonts w:eastAsia="Helvetica"/>
        </w:rPr>
        <w:t>comprised</w:t>
      </w:r>
      <w:r>
        <w:rPr>
          <w:rFonts w:eastAsia="Helvetica"/>
        </w:rPr>
        <w:t xml:space="preserve"> 15,000 people who had a history of reporting their employment income</w:t>
      </w:r>
      <w:r w:rsidR="000D510E">
        <w:rPr>
          <w:rFonts w:eastAsia="Helvetica"/>
        </w:rPr>
        <w:t xml:space="preserve"> late</w:t>
      </w:r>
      <w:r>
        <w:rPr>
          <w:rFonts w:eastAsia="Helvetica"/>
        </w:rPr>
        <w:t>. Of these, 10,000 people were randomly selected to r</w:t>
      </w:r>
      <w:r w:rsidR="000873C5">
        <w:rPr>
          <w:rFonts w:eastAsia="Helvetica"/>
        </w:rPr>
        <w:t>eceive different text</w:t>
      </w:r>
      <w:r>
        <w:rPr>
          <w:rFonts w:eastAsia="Helvetica"/>
        </w:rPr>
        <w:t xml:space="preserve"> messages. </w:t>
      </w:r>
      <w:r w:rsidR="0083281B">
        <w:rPr>
          <w:rFonts w:eastAsia="Helvetica"/>
        </w:rPr>
        <w:br/>
      </w:r>
      <w:r>
        <w:rPr>
          <w:rFonts w:eastAsia="Helvetica"/>
        </w:rPr>
        <w:t xml:space="preserve">The remaining 5,000 people </w:t>
      </w:r>
      <w:r w:rsidR="000873C5">
        <w:rPr>
          <w:rFonts w:eastAsia="Helvetica"/>
        </w:rPr>
        <w:t>received no text message</w:t>
      </w:r>
      <w:r>
        <w:rPr>
          <w:rFonts w:eastAsia="Helvetica"/>
        </w:rPr>
        <w:t xml:space="preserve"> (the business-as-usual scenario). </w:t>
      </w:r>
    </w:p>
    <w:p w14:paraId="4521A4F6" w14:textId="77777777" w:rsidR="000933C6" w:rsidRDefault="000933C6"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E0639C" w14:paraId="4D8B5B11" w14:textId="77777777" w:rsidTr="00FA42F4">
        <w:trPr>
          <w:trHeight w:val="1"/>
        </w:trPr>
        <w:tc>
          <w:tcPr>
            <w:tcW w:w="5000" w:type="pct"/>
            <w:shd w:val="clear" w:color="auto" w:fill="F2F2F2"/>
            <w:tcMar>
              <w:left w:w="108" w:type="dxa"/>
              <w:right w:w="108" w:type="dxa"/>
            </w:tcMar>
          </w:tcPr>
          <w:p w14:paraId="0C67E94B" w14:textId="5AFF5F2D" w:rsidR="00E0639C" w:rsidRDefault="00E0639C"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27008" behindDoc="1" locked="0" layoutInCell="1" allowOverlap="1" wp14:anchorId="1179691C" wp14:editId="7C22DB3D">
                  <wp:simplePos x="0" y="0"/>
                  <wp:positionH relativeFrom="margin">
                    <wp:posOffset>-35591</wp:posOffset>
                  </wp:positionH>
                  <wp:positionV relativeFrom="paragraph">
                    <wp:posOffset>38903</wp:posOffset>
                  </wp:positionV>
                  <wp:extent cx="370800" cy="370800"/>
                  <wp:effectExtent l="0" t="0" r="0" b="3175"/>
                  <wp:wrapTight wrapText="bothSides">
                    <wp:wrapPolygon edited="0">
                      <wp:start x="0" y="0"/>
                      <wp:lineTo x="0" y="20007"/>
                      <wp:lineTo x="20007" y="20007"/>
                      <wp:lineTo x="20007" y="0"/>
                      <wp:lineTo x="0" y="0"/>
                    </wp:wrapPolygon>
                  </wp:wrapTight>
                  <wp:docPr id="740" name="Picture 740"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42E3B"/>
                <w:sz w:val="24"/>
              </w:rPr>
              <w:t xml:space="preserve">Behavioural insight: </w:t>
            </w:r>
            <w:r w:rsidR="000873C5" w:rsidRPr="000873C5">
              <w:rPr>
                <w:rFonts w:ascii="Helvetica" w:eastAsia="Helvetica" w:hAnsi="Helvetica" w:cs="Helvetica"/>
                <w:b/>
                <w:color w:val="142E3B"/>
                <w:sz w:val="24"/>
              </w:rPr>
              <w:t>Why do people fail to report</w:t>
            </w:r>
            <w:r w:rsidR="000873C5">
              <w:rPr>
                <w:rFonts w:ascii="Helvetica" w:eastAsia="Helvetica" w:hAnsi="Helvetica" w:cs="Helvetica"/>
                <w:b/>
                <w:color w:val="142E3B"/>
                <w:sz w:val="24"/>
              </w:rPr>
              <w:t xml:space="preserve"> on time when it i</w:t>
            </w:r>
            <w:r w:rsidR="000873C5" w:rsidRPr="000873C5">
              <w:rPr>
                <w:rFonts w:ascii="Helvetica" w:eastAsia="Helvetica" w:hAnsi="Helvetica" w:cs="Helvetica"/>
                <w:b/>
                <w:color w:val="142E3B"/>
                <w:sz w:val="24"/>
              </w:rPr>
              <w:t>s in their interests to do so</w:t>
            </w:r>
            <w:r w:rsidR="000873C5">
              <w:rPr>
                <w:rFonts w:ascii="Helvetica" w:eastAsia="Helvetica" w:hAnsi="Helvetica" w:cs="Helvetica"/>
                <w:b/>
                <w:color w:val="142E3B"/>
                <w:sz w:val="24"/>
              </w:rPr>
              <w:t>?</w:t>
            </w:r>
          </w:p>
          <w:p w14:paraId="096D9F77" w14:textId="35830F1E" w:rsidR="005A0330" w:rsidRPr="005A0330" w:rsidRDefault="005A0330" w:rsidP="007A3700">
            <w:pPr>
              <w:rPr>
                <w:rFonts w:ascii="Times New Roman" w:eastAsiaTheme="minorHAnsi" w:hAnsi="Times New Roman"/>
                <w:color w:val="auto"/>
                <w:sz w:val="24"/>
                <w:szCs w:val="24"/>
              </w:rPr>
            </w:pPr>
            <w:r w:rsidRPr="005A0330">
              <w:rPr>
                <w:b/>
                <w:color w:val="auto"/>
              </w:rPr>
              <w:t>C</w:t>
            </w:r>
            <w:r w:rsidRPr="005A0330">
              <w:rPr>
                <w:rFonts w:eastAsia="Helvetica"/>
                <w:b/>
                <w:color w:val="auto"/>
              </w:rPr>
              <w:t>ognitive overload</w:t>
            </w:r>
            <w:r w:rsidRPr="005A0330">
              <w:rPr>
                <w:rFonts w:eastAsia="Helvetica"/>
                <w:color w:val="auto"/>
              </w:rPr>
              <w:t xml:space="preserve"> </w:t>
            </w:r>
            <w:r>
              <w:rPr>
                <w:rFonts w:eastAsia="Helvetica"/>
              </w:rPr>
              <w:t>occurs when people do not have the capacity to process information and make decisions (e.g., when people have different demands competing for their attention, such as when they are seeking jobs or studying).</w:t>
            </w:r>
            <w:r>
              <w:rPr>
                <w:rStyle w:val="FootnoteReference"/>
                <w:rFonts w:eastAsia="Helvetica" w:cs="Helvetica"/>
                <w:color w:val="3F3F3F"/>
              </w:rPr>
              <w:footnoteReference w:id="41"/>
            </w:r>
            <w:r>
              <w:rPr>
                <w:rFonts w:eastAsia="Helvetica"/>
              </w:rPr>
              <w:t xml:space="preserve"> In such circumstances, people may forget things or delay decisions, even those in their best interests.</w:t>
            </w:r>
            <w:r>
              <w:rPr>
                <w:rFonts w:ascii="Times New Roman" w:eastAsiaTheme="minorHAnsi" w:hAnsi="Times New Roman"/>
                <w:color w:val="auto"/>
                <w:sz w:val="24"/>
                <w:szCs w:val="24"/>
              </w:rPr>
              <w:t xml:space="preserve"> </w:t>
            </w:r>
          </w:p>
        </w:tc>
      </w:tr>
    </w:tbl>
    <w:p w14:paraId="46DCB04B" w14:textId="77777777" w:rsidR="000933C6" w:rsidRDefault="000933C6" w:rsidP="007A3700">
      <w:pPr>
        <w:rPr>
          <w:rFonts w:eastAsia="Helvetica"/>
        </w:rPr>
      </w:pPr>
    </w:p>
    <w:p w14:paraId="071FB4FC" w14:textId="2B867262" w:rsidR="006A0837" w:rsidRDefault="006A0837" w:rsidP="007A3700">
      <w:pPr>
        <w:rPr>
          <w:rFonts w:eastAsia="Helvetica"/>
        </w:rPr>
      </w:pPr>
      <w:r>
        <w:rPr>
          <w:rFonts w:eastAsia="Helvetica"/>
        </w:rPr>
        <w:t xml:space="preserve">We designed different messages to address the issue of cognitive overload and other behavioural barriers </w:t>
      </w:r>
      <w:r w:rsidR="000D510E">
        <w:rPr>
          <w:rFonts w:eastAsia="Helvetica"/>
        </w:rPr>
        <w:t>to</w:t>
      </w:r>
      <w:r>
        <w:rPr>
          <w:rFonts w:eastAsia="Helvetica"/>
        </w:rPr>
        <w:t xml:space="preserve"> on-time reporting. The first message was a short simple reminder that their income report was due. The second message (sent to those in the loss frame group) emphasised the cost of not reporting on time. The final message (sent to those in the gain frame group) made the benefits of reporting on time more salient. </w:t>
      </w:r>
      <w:r w:rsidRPr="0074114F">
        <w:rPr>
          <w:rFonts w:eastAsia="Helvetica"/>
        </w:rPr>
        <w:t>We also sent each message in a personalised and non-personalised version.</w:t>
      </w:r>
    </w:p>
    <w:p w14:paraId="666EDF4B" w14:textId="02B7C753" w:rsidR="006A0837" w:rsidRDefault="006A0837" w:rsidP="007A3700">
      <w:pPr>
        <w:rPr>
          <w:rFonts w:eastAsia="Helvetica"/>
        </w:rPr>
      </w:pPr>
      <w:r>
        <w:rPr>
          <w:rFonts w:eastAsia="Helvetica"/>
        </w:rPr>
        <w:t>Overall, the trial was successful; reporting on time increased and payment cancellations were reduced.</w:t>
      </w:r>
    </w:p>
    <w:p w14:paraId="127526DB" w14:textId="568F25FA" w:rsidR="00E0639C" w:rsidRPr="00E72A02" w:rsidRDefault="00E0639C" w:rsidP="004E3FC0">
      <w:pPr>
        <w:pStyle w:val="Caption"/>
        <w:jc w:val="both"/>
        <w:rPr>
          <w:rFonts w:ascii="Helvetica" w:eastAsia="Helvetica" w:hAnsi="Helvetica" w:cs="Helvetica"/>
          <w:color w:val="117479"/>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16</w:t>
      </w:r>
      <w:r w:rsidR="003035A6">
        <w:rPr>
          <w:noProof/>
        </w:rPr>
        <w:fldChar w:fldCharType="end"/>
      </w:r>
      <w:r>
        <w:t xml:space="preserve">: </w:t>
      </w:r>
      <w:r w:rsidR="005A0330">
        <w:rPr>
          <w:rFonts w:ascii="Helvetica" w:eastAsia="Helvetica" w:hAnsi="Helvetica" w:cs="Helvetica"/>
          <w:color w:val="117479"/>
        </w:rPr>
        <w:t>Increases</w:t>
      </w:r>
      <w:r w:rsidRPr="00E72A02">
        <w:rPr>
          <w:rFonts w:ascii="Helvetica" w:eastAsia="Helvetica" w:hAnsi="Helvetica" w:cs="Helvetica"/>
          <w:color w:val="117479"/>
        </w:rPr>
        <w:t xml:space="preserve"> in on-time reporting</w:t>
      </w:r>
    </w:p>
    <w:p w14:paraId="0B7176AF" w14:textId="343F0409" w:rsidR="00F64057" w:rsidRDefault="00F64057" w:rsidP="00F64057">
      <w:pPr>
        <w:rPr>
          <w:rFonts w:ascii="Helvetica" w:eastAsia="Helvetica" w:hAnsi="Helvetica" w:cs="Helvetica"/>
          <w:b/>
          <w:color w:val="000000"/>
        </w:rPr>
      </w:pPr>
      <w:r>
        <w:rPr>
          <w:rFonts w:eastAsia="Helvetica"/>
        </w:rPr>
        <w:t>Sending text message reminders improved on-time reporting and increased the number of people who reported their income on time by 13.5 perce</w:t>
      </w:r>
      <w:r w:rsidR="004F3B80">
        <w:rPr>
          <w:rFonts w:eastAsia="Helvetica"/>
        </w:rPr>
        <w:t xml:space="preserve">ntage points (from 53.1 to 66.6 </w:t>
      </w:r>
      <w:r>
        <w:rPr>
          <w:rFonts w:eastAsia="Helvetica"/>
        </w:rPr>
        <w:t xml:space="preserve">per cent). </w:t>
      </w:r>
    </w:p>
    <w:p w14:paraId="2A65371E" w14:textId="794805DF" w:rsidR="008969CD" w:rsidRDefault="007A623C" w:rsidP="004E3FC0">
      <w:pPr>
        <w:jc w:val="both"/>
        <w:rPr>
          <w:rFonts w:eastAsia="Helvetica"/>
        </w:rPr>
      </w:pPr>
      <w:r>
        <w:rPr>
          <w:rFonts w:eastAsia="Helvetica"/>
          <w:noProof/>
        </w:rPr>
        <w:lastRenderedPageBreak/>
        <w:drawing>
          <wp:inline distT="0" distB="0" distL="0" distR="0" wp14:anchorId="5B162C07" wp14:editId="66A335A2">
            <wp:extent cx="5384800" cy="1498600"/>
            <wp:effectExtent l="0" t="0" r="0" b="0"/>
            <wp:docPr id="132" name="Picture 132" descr="Sending text message reminders improved on-time reporting and increased the number of people who reported their income on time by 13.5 percentage points (from 53.1 to 66.6 per cent) (p &lt; 0.001)."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ig16.png"/>
                    <pic:cNvPicPr/>
                  </pic:nvPicPr>
                  <pic:blipFill>
                    <a:blip r:embed="rId88">
                      <a:extLst>
                        <a:ext uri="{28A0092B-C50C-407E-A947-70E740481C1C}">
                          <a14:useLocalDpi xmlns:a14="http://schemas.microsoft.com/office/drawing/2010/main" val="0"/>
                        </a:ext>
                      </a:extLst>
                    </a:blip>
                    <a:stretch>
                      <a:fillRect/>
                    </a:stretch>
                  </pic:blipFill>
                  <pic:spPr>
                    <a:xfrm>
                      <a:off x="0" y="0"/>
                      <a:ext cx="5384800" cy="1498600"/>
                    </a:xfrm>
                    <a:prstGeom prst="rect">
                      <a:avLst/>
                    </a:prstGeom>
                  </pic:spPr>
                </pic:pic>
              </a:graphicData>
            </a:graphic>
          </wp:inline>
        </w:drawing>
      </w:r>
    </w:p>
    <w:p w14:paraId="42C901D3" w14:textId="5CD58A47" w:rsidR="00E0639C" w:rsidRPr="00445E48" w:rsidRDefault="00E0639C" w:rsidP="004E3FC0">
      <w:pPr>
        <w:pStyle w:val="Caption"/>
        <w:jc w:val="both"/>
        <w:rPr>
          <w:rFonts w:ascii="Helvetica" w:eastAsia="Helvetica" w:hAnsi="Helvetica" w:cs="Helvetica"/>
          <w:color w:val="117479"/>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17</w:t>
      </w:r>
      <w:r w:rsidR="003035A6">
        <w:rPr>
          <w:noProof/>
        </w:rPr>
        <w:fldChar w:fldCharType="end"/>
      </w:r>
      <w:r>
        <w:t xml:space="preserve">: </w:t>
      </w:r>
      <w:r w:rsidRPr="00445E48">
        <w:rPr>
          <w:rFonts w:ascii="Helvetica" w:eastAsia="Helvetica" w:hAnsi="Helvetica" w:cs="Helvetica"/>
          <w:color w:val="117479"/>
        </w:rPr>
        <w:t>Reduction</w:t>
      </w:r>
      <w:r w:rsidR="005A0330">
        <w:rPr>
          <w:rFonts w:ascii="Helvetica" w:eastAsia="Helvetica" w:hAnsi="Helvetica" w:cs="Helvetica"/>
          <w:color w:val="117479"/>
        </w:rPr>
        <w:t>s</w:t>
      </w:r>
      <w:r w:rsidRPr="00445E48">
        <w:rPr>
          <w:rFonts w:ascii="Helvetica" w:eastAsia="Helvetica" w:hAnsi="Helvetica" w:cs="Helvetica"/>
          <w:color w:val="117479"/>
        </w:rPr>
        <w:t xml:space="preserve"> in cancelled payments</w:t>
      </w:r>
    </w:p>
    <w:p w14:paraId="598F465C" w14:textId="77777777" w:rsidR="00F64057" w:rsidRDefault="00F64057" w:rsidP="00F64057">
      <w:pPr>
        <w:rPr>
          <w:rFonts w:eastAsia="Helvetica"/>
        </w:rPr>
      </w:pPr>
      <w:r>
        <w:rPr>
          <w:rFonts w:eastAsia="Helvetica"/>
        </w:rPr>
        <w:t>For those who missed their deadline, the reminder reduced overall delays in reporting. Some reminders also resulted in fewer payment cancellations (a decrease of 1.7 percentage points for the best</w:t>
      </w:r>
      <w:r>
        <w:rPr>
          <w:rFonts w:eastAsia="Helvetica"/>
        </w:rPr>
        <w:noBreakHyphen/>
        <w:t xml:space="preserve">performing message). </w:t>
      </w:r>
    </w:p>
    <w:p w14:paraId="1A42E070" w14:textId="6B5ACA23" w:rsidR="00513BE4" w:rsidRDefault="007A623C" w:rsidP="004E3FC0">
      <w:pPr>
        <w:jc w:val="both"/>
        <w:rPr>
          <w:rFonts w:eastAsia="Helvetica"/>
        </w:rPr>
      </w:pPr>
      <w:r>
        <w:rPr>
          <w:rFonts w:eastAsia="Helvetica"/>
          <w:noProof/>
        </w:rPr>
        <w:drawing>
          <wp:inline distT="0" distB="0" distL="0" distR="0" wp14:anchorId="1509A199" wp14:editId="2E2BE67D">
            <wp:extent cx="5384800" cy="2286000"/>
            <wp:effectExtent l="0" t="0" r="0" b="0"/>
            <wp:docPr id="131" name="Picture 131" descr="For those who missed their deadline, the reminder reduced overall delays in reporting. Some reminders also resulted in fewer payment cancellations compared to the control (no SMS) (p &lt; 0.02):  &#10;• Personalised short SMS: Reduced payment cancellations by 1.2 percentage points&#10;• Personalised gain-framed SMS: Reduced payment cancellations by 1.3 percentage points&#10;• Gain-framed SMS: Reduced payment cancellations by 1.7 percentage points.&#10;"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ig17.png"/>
                    <pic:cNvPicPr/>
                  </pic:nvPicPr>
                  <pic:blipFill>
                    <a:blip r:embed="rId89">
                      <a:extLst>
                        <a:ext uri="{28A0092B-C50C-407E-A947-70E740481C1C}">
                          <a14:useLocalDpi xmlns:a14="http://schemas.microsoft.com/office/drawing/2010/main" val="0"/>
                        </a:ext>
                      </a:extLst>
                    </a:blip>
                    <a:stretch>
                      <a:fillRect/>
                    </a:stretch>
                  </pic:blipFill>
                  <pic:spPr>
                    <a:xfrm>
                      <a:off x="0" y="0"/>
                      <a:ext cx="5384800" cy="2286000"/>
                    </a:xfrm>
                    <a:prstGeom prst="rect">
                      <a:avLst/>
                    </a:prstGeom>
                  </pic:spPr>
                </pic:pic>
              </a:graphicData>
            </a:graphic>
          </wp:inline>
        </w:drawing>
      </w:r>
    </w:p>
    <w:p w14:paraId="2C576E4D" w14:textId="77777777" w:rsidR="00E0639C" w:rsidRPr="0004155D" w:rsidRDefault="00E0639C" w:rsidP="00D33213">
      <w:pPr>
        <w:pStyle w:val="h4"/>
      </w:pPr>
      <w:r w:rsidRPr="0004155D">
        <w:t xml:space="preserve">Future opportunities </w:t>
      </w:r>
    </w:p>
    <w:p w14:paraId="7C057159" w14:textId="3CD93D9F" w:rsidR="006A0837" w:rsidRDefault="006A0837" w:rsidP="007A3700">
      <w:pPr>
        <w:rPr>
          <w:rFonts w:eastAsia="Helvetica"/>
        </w:rPr>
      </w:pPr>
      <w:r>
        <w:rPr>
          <w:rFonts w:eastAsia="Helvetica"/>
        </w:rPr>
        <w:t>Following the success of this trial, the department ran a further trial with a slightly different cohort (people receiving Newstart Allowance who were eight days late reporting their income) and found strong results.</w:t>
      </w:r>
    </w:p>
    <w:p w14:paraId="77DA5991" w14:textId="4E6049FD" w:rsidR="006A0837" w:rsidRDefault="006A0837" w:rsidP="007A3700">
      <w:pPr>
        <w:rPr>
          <w:rFonts w:eastAsia="Helvetica"/>
        </w:rPr>
      </w:pPr>
      <w:r>
        <w:rPr>
          <w:rFonts w:eastAsia="Helvetica"/>
        </w:rPr>
        <w:t>The second trial found sending text message reminders increased reporting by 8 percentage points (from 60.6 to 68.6 per cent) and led to a decrease in payment restoration contacts by 7.9 percentage points (from 15 to 7.1 per cent).</w:t>
      </w:r>
    </w:p>
    <w:p w14:paraId="0EAB01CB" w14:textId="6B069446" w:rsidR="006A0837" w:rsidRDefault="006A0837" w:rsidP="007A3700">
      <w:pPr>
        <w:rPr>
          <w:rFonts w:eastAsia="Helvetica"/>
        </w:rPr>
      </w:pPr>
      <w:r>
        <w:rPr>
          <w:rFonts w:eastAsia="Helvetica"/>
        </w:rPr>
        <w:t xml:space="preserve">The department is now embedding an automated text message solution into their business-as-usual </w:t>
      </w:r>
      <w:r w:rsidR="00C2228E">
        <w:rPr>
          <w:rFonts w:eastAsia="Helvetica"/>
        </w:rPr>
        <w:t xml:space="preserve">operations </w:t>
      </w:r>
      <w:r>
        <w:rPr>
          <w:rFonts w:eastAsia="Helvetica"/>
        </w:rPr>
        <w:t>to help customers who have missed their reporting dates. This is a great example of scaling a low cost and effective solution across a system. The department is also incorporating the lessons and findings to improve customer interactions in other areas.</w:t>
      </w:r>
    </w:p>
    <w:p w14:paraId="517094CC" w14:textId="27BD7FDA" w:rsidR="006A0837" w:rsidRDefault="006A0837" w:rsidP="007A3700">
      <w:pPr>
        <w:rPr>
          <w:rFonts w:eastAsia="Helvetica"/>
        </w:rPr>
      </w:pPr>
      <w:r>
        <w:rPr>
          <w:rFonts w:eastAsia="Helvetica"/>
        </w:rPr>
        <w:t>For further information about the trial, read the full report</w:t>
      </w:r>
      <w:r w:rsidR="008E37A7">
        <w:rPr>
          <w:rFonts w:eastAsia="Helvetica"/>
        </w:rPr>
        <w:t xml:space="preserve"> at the</w:t>
      </w:r>
      <w:r>
        <w:rPr>
          <w:rFonts w:eastAsia="Helvetica"/>
        </w:rPr>
        <w:t xml:space="preserve"> </w:t>
      </w:r>
      <w:hyperlink r:id="rId90">
        <w:r w:rsidR="008E37A7">
          <w:rPr>
            <w:rFonts w:eastAsia="Helvetica"/>
            <w:color w:val="2158A8"/>
            <w:u w:val="single"/>
          </w:rPr>
          <w:t>BETA website</w:t>
        </w:r>
      </w:hyperlink>
      <w:r>
        <w:rPr>
          <w:rFonts w:eastAsia="Helvetica"/>
        </w:rPr>
        <w:t>.</w:t>
      </w:r>
    </w:p>
    <w:p w14:paraId="3E84FD4B" w14:textId="77777777" w:rsidR="00251049" w:rsidRPr="006A0837" w:rsidRDefault="00251049" w:rsidP="004E3FC0">
      <w:pPr>
        <w:spacing w:before="0" w:after="0" w:line="240" w:lineRule="auto"/>
        <w:jc w:val="both"/>
        <w:rPr>
          <w:rFonts w:ascii="Helvetica" w:eastAsia="Helvetica" w:hAnsi="Helvetica" w:cs="Helvetica"/>
          <w:color w:val="A6A6A6" w:themeColor="background1" w:themeShade="A6"/>
          <w:sz w:val="4"/>
          <w:szCs w:val="4"/>
          <w:u w:val="single"/>
        </w:rPr>
      </w:pPr>
    </w:p>
    <w:p w14:paraId="0AD540C9" w14:textId="77777777" w:rsidR="006A0837" w:rsidRDefault="006A0837" w:rsidP="004E3FC0">
      <w:pPr>
        <w:keepLines w:val="0"/>
        <w:spacing w:before="0" w:after="0" w:line="240" w:lineRule="auto"/>
        <w:jc w:val="both"/>
        <w:rPr>
          <w:rFonts w:ascii="Helvetica" w:eastAsia="Helvetica" w:hAnsi="Helvetica" w:cs="Helvetica"/>
          <w:color w:val="3F3F3F"/>
          <w:sz w:val="4"/>
          <w:szCs w:val="4"/>
        </w:rPr>
      </w:pPr>
      <w:r>
        <w:rPr>
          <w:rFonts w:ascii="Helvetica" w:eastAsia="Helvetica" w:hAnsi="Helvetica" w:cs="Helvetica"/>
          <w:color w:val="3F3F3F"/>
          <w:sz w:val="4"/>
          <w:szCs w:val="4"/>
        </w:rPr>
        <w:br w:type="page"/>
      </w:r>
    </w:p>
    <w:p w14:paraId="4968F34A" w14:textId="77777777" w:rsidR="00785431" w:rsidRPr="00785431" w:rsidRDefault="00785431" w:rsidP="00785431">
      <w:pPr>
        <w:pStyle w:val="Heading3"/>
        <w:framePr w:wrap="around"/>
        <w:spacing w:after="240"/>
        <w:ind w:right="-851"/>
        <w:rPr>
          <w:rFonts w:ascii="Helvetica" w:hAnsi="Helvetica" w:cs="Helvetica"/>
          <w:b w:val="0"/>
          <w:bCs/>
          <w:color w:val="428F9A"/>
          <w:sz w:val="36"/>
        </w:rPr>
      </w:pPr>
      <w:bookmarkStart w:id="70" w:name="_Toc516827455"/>
      <w:r w:rsidRPr="00785431">
        <w:rPr>
          <w:bCs/>
        </w:rPr>
        <w:lastRenderedPageBreak/>
        <w:t>Helpful tax payment reminders</w:t>
      </w:r>
      <w:bookmarkEnd w:id="70"/>
    </w:p>
    <w:tbl>
      <w:tblPr>
        <w:tblStyle w:val="TableGrid"/>
        <w:tblpPr w:leftFromText="180" w:rightFromText="180" w:vertAnchor="page" w:horzAnchor="margin" w:tblpY="4823"/>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Helpful tax payment reminders"/>
        <w:tblDescription w:val="text box description of a trial reminding people to submit their tax on time. "/>
      </w:tblPr>
      <w:tblGrid>
        <w:gridCol w:w="9162"/>
      </w:tblGrid>
      <w:tr w:rsidR="001B5DD4" w14:paraId="3E4E949A" w14:textId="77777777" w:rsidTr="001B5DD4">
        <w:trPr>
          <w:trHeight w:val="6123"/>
        </w:trPr>
        <w:tc>
          <w:tcPr>
            <w:tcW w:w="9162" w:type="dxa"/>
            <w:tcBorders>
              <w:bottom w:val="nil"/>
            </w:tcBorders>
            <w:shd w:val="clear" w:color="auto" w:fill="D9D9D9" w:themeFill="background1" w:themeFillShade="D9"/>
          </w:tcPr>
          <w:p w14:paraId="077212F9" w14:textId="39B1CA3D" w:rsidR="001B5DD4" w:rsidRPr="004E3FC0" w:rsidRDefault="001B5DD4" w:rsidP="001B5DD4">
            <w:pPr>
              <w:spacing w:after="240" w:line="320" w:lineRule="auto"/>
              <w:rPr>
                <w:rFonts w:ascii="Helvetica" w:eastAsia="Helvetica" w:hAnsi="Helvetica" w:cs="Helvetica"/>
                <w:color w:val="3F3F3F"/>
                <w:sz w:val="24"/>
              </w:rPr>
            </w:pPr>
            <w:bookmarkStart w:id="71" w:name="_Toc515526187"/>
            <w:bookmarkStart w:id="72" w:name="_Toc515874443"/>
            <w:bookmarkStart w:id="73" w:name="_Toc515874514"/>
            <w:bookmarkStart w:id="74" w:name="_Toc515874684"/>
            <w:r w:rsidRPr="009C3419">
              <w:rPr>
                <w:rFonts w:ascii="Helvetica" w:eastAsia="Helvetica" w:hAnsi="Helvetica" w:cs="Helvetica"/>
                <w:color w:val="3F3F3F"/>
                <w:sz w:val="24"/>
              </w:rPr>
              <w:t>Since 2014, the Australian Taxation Office has been using behavioural insights principles in text message reminders. The text messages are designed to prompt taxpayers with upcoming liabilities to make a payment. They have been successful in influencing taxpayers to meet their obligations and this channel is being considered in projects across the organisation.</w:t>
            </w:r>
          </w:p>
        </w:tc>
      </w:tr>
      <w:bookmarkEnd w:id="71"/>
      <w:bookmarkEnd w:id="72"/>
      <w:bookmarkEnd w:id="73"/>
      <w:bookmarkEnd w:id="74"/>
    </w:tbl>
    <w:p w14:paraId="002DAE91" w14:textId="77777777" w:rsidR="001B5DD4" w:rsidRDefault="001B5DD4" w:rsidP="004E3FC0">
      <w:pPr>
        <w:jc w:val="both"/>
        <w:rPr>
          <w:rFonts w:ascii="Helvetica" w:hAnsi="Helvetica" w:cs="Helvetica"/>
          <w:b/>
          <w:color w:val="0E6064"/>
          <w:sz w:val="32"/>
          <w:szCs w:val="32"/>
        </w:rPr>
      </w:pPr>
    </w:p>
    <w:p w14:paraId="7B9F3A4C" w14:textId="7EC6A711" w:rsidR="00EB6B12" w:rsidRDefault="001B5DD4" w:rsidP="001B5DD4">
      <w:pPr>
        <w:pStyle w:val="h4"/>
      </w:pPr>
      <w:r w:rsidRPr="004E3FC0">
        <w:t>Abstract</w:t>
      </w:r>
    </w:p>
    <w:p w14:paraId="5F2E422D" w14:textId="7F44BEE3" w:rsidR="00D518B1" w:rsidRPr="00EB6B12" w:rsidRDefault="00EB6B12" w:rsidP="00EB6B12">
      <w:pPr>
        <w:pStyle w:val="h4"/>
      </w:pPr>
      <w:r>
        <w:rPr>
          <w:noProof/>
        </w:rPr>
        <w:drawing>
          <wp:anchor distT="0" distB="0" distL="114300" distR="114300" simplePos="0" relativeHeight="251815424" behindDoc="0" locked="0" layoutInCell="1" allowOverlap="1" wp14:anchorId="206CC598" wp14:editId="64CEB2E7">
            <wp:simplePos x="0" y="0"/>
            <wp:positionH relativeFrom="margin">
              <wp:posOffset>1644015</wp:posOffset>
            </wp:positionH>
            <wp:positionV relativeFrom="paragraph">
              <wp:posOffset>5018966</wp:posOffset>
            </wp:positionV>
            <wp:extent cx="2705100" cy="787400"/>
            <wp:effectExtent l="0" t="0" r="0" b="0"/>
            <wp:wrapNone/>
            <wp:docPr id="751" name="Picture 751" descr="Australian Government Australian Taxation Off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05100" cy="787400"/>
                    </a:xfrm>
                    <a:prstGeom prst="rect">
                      <a:avLst/>
                    </a:prstGeom>
                  </pic:spPr>
                </pic:pic>
              </a:graphicData>
            </a:graphic>
            <wp14:sizeRelH relativeFrom="page">
              <wp14:pctWidth>0</wp14:pctWidth>
            </wp14:sizeRelH>
            <wp14:sizeRelV relativeFrom="page">
              <wp14:pctHeight>0</wp14:pctHeight>
            </wp14:sizeRelV>
          </wp:anchor>
        </w:drawing>
      </w:r>
      <w:r w:rsidRPr="00573712">
        <w:t>Project by</w:t>
      </w:r>
      <w:r>
        <w:rPr>
          <w:color w:val="428F9A"/>
        </w:rPr>
        <w:t xml:space="preserve"> </w:t>
      </w:r>
      <w:r w:rsidR="00D518B1">
        <w:rPr>
          <w:color w:val="428F9A"/>
        </w:rPr>
        <w:br w:type="page"/>
      </w:r>
    </w:p>
    <w:p w14:paraId="2484765A" w14:textId="77777777" w:rsidR="006A0837" w:rsidRPr="0004155D" w:rsidRDefault="006A0837" w:rsidP="00D33213">
      <w:pPr>
        <w:pStyle w:val="h4"/>
      </w:pPr>
      <w:r w:rsidRPr="0004155D">
        <w:lastRenderedPageBreak/>
        <w:t xml:space="preserve">The policy problem </w:t>
      </w:r>
    </w:p>
    <w:p w14:paraId="08BD29AC" w14:textId="7E28923E" w:rsidR="006A0837" w:rsidRDefault="006A0837" w:rsidP="007A3700">
      <w:pPr>
        <w:rPr>
          <w:rFonts w:eastAsia="Helvetica"/>
        </w:rPr>
      </w:pPr>
      <w:r w:rsidRPr="00156E9F">
        <w:rPr>
          <w:rFonts w:eastAsia="Helvetica"/>
        </w:rPr>
        <w:t xml:space="preserve">One of the </w:t>
      </w:r>
      <w:r>
        <w:rPr>
          <w:rFonts w:eastAsia="Helvetica"/>
        </w:rPr>
        <w:t>Australian Taxation Office’s</w:t>
      </w:r>
      <w:r w:rsidRPr="00156E9F">
        <w:rPr>
          <w:rFonts w:eastAsia="Helvetica"/>
        </w:rPr>
        <w:t xml:space="preserve"> key responsibilities is the collection of tax revenue. </w:t>
      </w:r>
      <w:r w:rsidR="004F3B80">
        <w:rPr>
          <w:rFonts w:eastAsia="Helvetica"/>
        </w:rPr>
        <w:br/>
      </w:r>
      <w:r w:rsidRPr="00156E9F">
        <w:rPr>
          <w:rFonts w:eastAsia="Helvetica"/>
        </w:rPr>
        <w:t xml:space="preserve">Our vision is to be a contemporary, service-oriented organisation. Our aim is for taxpayers to willingly meet their obligations and therefore, we make it easy to do so with pre-due date reminders. </w:t>
      </w:r>
    </w:p>
    <w:p w14:paraId="5BF47031" w14:textId="77777777" w:rsidR="006A0837" w:rsidRPr="0004155D" w:rsidRDefault="006A0837" w:rsidP="00D33213">
      <w:pPr>
        <w:pStyle w:val="h4"/>
      </w:pPr>
      <w:r w:rsidRPr="0004155D">
        <w:t xml:space="preserve">Our findings and learnings </w:t>
      </w:r>
    </w:p>
    <w:p w14:paraId="0D2877A1" w14:textId="77777777" w:rsidR="0080686E" w:rsidRDefault="0080686E" w:rsidP="007A3700">
      <w:r>
        <w:t>A suite of text messages are issued before a liability due date, in order to encourage on time payment. The campaign was designed with analytic models to acknowledge previous behaviour and current circumstances such as active payment plans.</w:t>
      </w:r>
    </w:p>
    <w:p w14:paraId="6482060C" w14:textId="77777777" w:rsidR="0080686E" w:rsidRDefault="0080686E" w:rsidP="007A3700">
      <w:r>
        <w:t xml:space="preserve">Templates incorporate behavioural insights to highlight this within the content. For example, where a client received a text message for their business activity statement obligation in the previous quarter and paid on time, they may receive a ‘Thank You’ text message, acknowledging the positive compliance behaviour. </w:t>
      </w:r>
    </w:p>
    <w:p w14:paraId="6B2EDACA" w14:textId="77777777" w:rsidR="0080686E" w:rsidRDefault="0080686E" w:rsidP="007A3700">
      <w:r>
        <w:t>Alternately, where a client received a text message for their 2015 income tax return payment obligation and had an existing debt on the account, they were notified of both the amount owing as per the notice of assessment, and the overdue debt. Tailoring the text messages to a client’s specific circumstances was found to increase the response rate.</w:t>
      </w:r>
    </w:p>
    <w:p w14:paraId="2D9BDCE0" w14:textId="77777777" w:rsidR="006A0837" w:rsidRDefault="006A0837" w:rsidP="007A3700">
      <w:r>
        <w:t>The behavioural insights principles applied in the trial are below.</w:t>
      </w:r>
    </w:p>
    <w:p w14:paraId="71E097AC" w14:textId="77777777" w:rsidR="000933C6" w:rsidRDefault="000933C6" w:rsidP="007A3700"/>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6A0837" w14:paraId="1D6C355E" w14:textId="77777777" w:rsidTr="006A0837">
        <w:trPr>
          <w:trHeight w:val="1"/>
        </w:trPr>
        <w:tc>
          <w:tcPr>
            <w:tcW w:w="5000" w:type="pct"/>
            <w:shd w:val="clear" w:color="auto" w:fill="F2F2F2"/>
            <w:tcMar>
              <w:left w:w="108" w:type="dxa"/>
              <w:right w:w="108" w:type="dxa"/>
            </w:tcMar>
          </w:tcPr>
          <w:p w14:paraId="634C4E67" w14:textId="77777777" w:rsidR="006A0837" w:rsidRDefault="006A0837"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50560" behindDoc="1" locked="0" layoutInCell="1" allowOverlap="1" wp14:anchorId="7A2E9A1D" wp14:editId="476838A1">
                  <wp:simplePos x="0" y="0"/>
                  <wp:positionH relativeFrom="margin">
                    <wp:posOffset>-35591</wp:posOffset>
                  </wp:positionH>
                  <wp:positionV relativeFrom="paragraph">
                    <wp:posOffset>38903</wp:posOffset>
                  </wp:positionV>
                  <wp:extent cx="370800" cy="370800"/>
                  <wp:effectExtent l="0" t="0" r="0" b="3175"/>
                  <wp:wrapTight wrapText="bothSides">
                    <wp:wrapPolygon edited="0">
                      <wp:start x="0" y="0"/>
                      <wp:lineTo x="0" y="20007"/>
                      <wp:lineTo x="20007" y="20007"/>
                      <wp:lineTo x="20007" y="0"/>
                      <wp:lineTo x="0" y="0"/>
                    </wp:wrapPolygon>
                  </wp:wrapTight>
                  <wp:docPr id="741" name="Picture 741"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42E3B"/>
                <w:sz w:val="24"/>
              </w:rPr>
              <w:t>Behavioural insights</w:t>
            </w:r>
          </w:p>
          <w:p w14:paraId="3EAA4523" w14:textId="57480FC1" w:rsidR="0080686E" w:rsidRDefault="0080686E" w:rsidP="007A3700">
            <w:pPr>
              <w:rPr>
                <w:rFonts w:eastAsiaTheme="minorHAnsi"/>
              </w:rPr>
            </w:pPr>
            <w:r w:rsidRPr="0080686E">
              <w:rPr>
                <w:rFonts w:eastAsiaTheme="minorHAnsi"/>
                <w:b/>
                <w:color w:val="auto"/>
              </w:rPr>
              <w:t>Personalisation:</w:t>
            </w:r>
            <w:r>
              <w:rPr>
                <w:rFonts w:eastAsiaTheme="minorHAnsi"/>
              </w:rPr>
              <w:t xml:space="preserve"> Personalising a message to an individual makes it more salient to them, which in turn makes it more likely that they will act on it.</w:t>
            </w:r>
            <w:r>
              <w:rPr>
                <w:rStyle w:val="FootnoteReference"/>
                <w:rFonts w:eastAsiaTheme="minorHAnsi"/>
              </w:rPr>
              <w:footnoteReference w:id="42"/>
            </w:r>
            <w:r>
              <w:rPr>
                <w:rFonts w:eastAsiaTheme="minorHAnsi"/>
              </w:rPr>
              <w:t xml:space="preserve"> </w:t>
            </w:r>
          </w:p>
          <w:p w14:paraId="252B21C3" w14:textId="253A4A41" w:rsidR="0080686E" w:rsidRDefault="0080686E" w:rsidP="007A3700">
            <w:pPr>
              <w:rPr>
                <w:rFonts w:eastAsiaTheme="minorHAnsi"/>
              </w:rPr>
            </w:pPr>
            <w:r w:rsidRPr="0080686E">
              <w:rPr>
                <w:rFonts w:eastAsiaTheme="minorHAnsi"/>
                <w:b/>
                <w:color w:val="auto"/>
              </w:rPr>
              <w:t>Make it easy</w:t>
            </w:r>
            <w:r>
              <w:rPr>
                <w:rFonts w:eastAsiaTheme="minorHAnsi"/>
                <w:b/>
                <w:color w:val="auto"/>
              </w:rPr>
              <w:t>:</w:t>
            </w:r>
            <w:r w:rsidRPr="0080686E">
              <w:rPr>
                <w:rFonts w:eastAsiaTheme="minorHAnsi"/>
                <w:color w:val="auto"/>
              </w:rPr>
              <w:t xml:space="preserve"> </w:t>
            </w:r>
            <w:r>
              <w:rPr>
                <w:rFonts w:eastAsiaTheme="minorHAnsi"/>
              </w:rPr>
              <w:t>Various studies in the area of behavioural science have demonstrated that making it easy for someone to carry out a desired behaviour increases the likelihood they will do so.</w:t>
            </w:r>
            <w:r>
              <w:rPr>
                <w:rStyle w:val="FootnoteReference"/>
                <w:rFonts w:eastAsiaTheme="minorHAnsi"/>
              </w:rPr>
              <w:footnoteReference w:id="43"/>
            </w:r>
          </w:p>
          <w:p w14:paraId="7917B448" w14:textId="7D3BF02C" w:rsidR="006A0837" w:rsidRPr="000A3856" w:rsidRDefault="0080686E" w:rsidP="007A3700">
            <w:pPr>
              <w:rPr>
                <w:rFonts w:eastAsiaTheme="minorHAnsi"/>
              </w:rPr>
            </w:pPr>
            <w:r w:rsidRPr="0080686E">
              <w:rPr>
                <w:rFonts w:eastAsiaTheme="minorHAnsi"/>
                <w:b/>
                <w:color w:val="auto"/>
              </w:rPr>
              <w:t>Rewarding desired behaviour</w:t>
            </w:r>
            <w:r>
              <w:rPr>
                <w:rFonts w:eastAsiaTheme="minorHAnsi"/>
                <w:b/>
                <w:color w:val="auto"/>
              </w:rPr>
              <w:t>:</w:t>
            </w:r>
            <w:r w:rsidRPr="0080686E">
              <w:rPr>
                <w:rFonts w:eastAsiaTheme="minorHAnsi"/>
                <w:color w:val="auto"/>
              </w:rPr>
              <w:t xml:space="preserve"> </w:t>
            </w:r>
            <w:r>
              <w:rPr>
                <w:rFonts w:eastAsiaTheme="minorHAnsi"/>
              </w:rPr>
              <w:t>Thanking someone for carrying out a desired action may motiv</w:t>
            </w:r>
            <w:r w:rsidR="00AD6068">
              <w:rPr>
                <w:rFonts w:eastAsiaTheme="minorHAnsi"/>
              </w:rPr>
              <w:t>at</w:t>
            </w:r>
            <w:r>
              <w:rPr>
                <w:rFonts w:eastAsiaTheme="minorHAnsi"/>
              </w:rPr>
              <w:t>e them to continue with the positive behaviour.</w:t>
            </w:r>
            <w:r>
              <w:rPr>
                <w:rStyle w:val="FootnoteReference"/>
                <w:rFonts w:eastAsiaTheme="minorHAnsi"/>
              </w:rPr>
              <w:footnoteReference w:id="44"/>
            </w:r>
            <w:r>
              <w:rPr>
                <w:rFonts w:eastAsiaTheme="minorHAnsi"/>
              </w:rPr>
              <w:t xml:space="preserve">  </w:t>
            </w:r>
          </w:p>
        </w:tc>
      </w:tr>
    </w:tbl>
    <w:p w14:paraId="0D1EED32" w14:textId="2C4B702B" w:rsidR="006A0837" w:rsidRDefault="006A0837" w:rsidP="007A3700"/>
    <w:p w14:paraId="50DFF473" w14:textId="3CC5B082" w:rsidR="000F1C2E" w:rsidRDefault="000F1C2E" w:rsidP="000F1C2E">
      <w:pPr>
        <w:pStyle w:val="Caption"/>
        <w:jc w:val="both"/>
      </w:pPr>
      <w:r w:rsidRPr="00156E9F">
        <w:lastRenderedPageBreak/>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r w:rsidRPr="00156E9F">
        <w:t>: Helpful reminder for activity statement</w:t>
      </w:r>
      <w:r>
        <w:t xml:space="preserve"> and tax respectively</w:t>
      </w:r>
    </w:p>
    <w:p w14:paraId="07114811" w14:textId="106FC96D" w:rsidR="000F1C2E" w:rsidRPr="000F1C2E" w:rsidRDefault="000F1C2E" w:rsidP="000F1C2E">
      <w:r>
        <w:rPr>
          <w:noProof/>
        </w:rPr>
        <w:drawing>
          <wp:inline distT="0" distB="0" distL="0" distR="0" wp14:anchorId="3468650B" wp14:editId="776BF065">
            <wp:extent cx="5399405" cy="2622870"/>
            <wp:effectExtent l="0" t="0" r="0" b="6350"/>
            <wp:docPr id="133" name="Picture 133" descr="The figure provides examples of reminders used. A breakdown of this message and the behavioural insights used is:&#10;• Hi John – personalised&#10;• Thanks for paying on time – winning words, using the power of ‘thank you’&#10;• Thanks for the on-time payment of your June BAS. Your next BAS payment is due on 28/10/2016 – timely and personalised&#10;• Go to the ATO website for information on how to pay quickly and easy – providing an action to make it easy to do"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ig18.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399405" cy="2622870"/>
                    </a:xfrm>
                    <a:prstGeom prst="rect">
                      <a:avLst/>
                    </a:prstGeom>
                  </pic:spPr>
                </pic:pic>
              </a:graphicData>
            </a:graphic>
          </wp:inline>
        </w:drawing>
      </w:r>
    </w:p>
    <w:p w14:paraId="402B60C5" w14:textId="1293568F" w:rsidR="006A0837" w:rsidRDefault="006A0837" w:rsidP="007A3700">
      <w:pPr>
        <w:rPr>
          <w:color w:val="auto"/>
        </w:rPr>
      </w:pPr>
      <w:r>
        <w:t>Results:</w:t>
      </w:r>
    </w:p>
    <w:p w14:paraId="5B2C2E52" w14:textId="77777777" w:rsidR="006A0837" w:rsidRPr="00156E9F"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156E9F">
        <w:rPr>
          <w:rFonts w:ascii="Helvetica" w:eastAsia="Helvetica" w:hAnsi="Helvetica" w:cs="Helvetica"/>
          <w:color w:val="3F3F3F"/>
        </w:rPr>
        <w:t xml:space="preserve">In the 2014/15 year approximately 247,000 SMS were issued for those unlikely to pay on time or at all, resulting in payments of $834 million.  </w:t>
      </w:r>
    </w:p>
    <w:p w14:paraId="48F9E7F0" w14:textId="77777777" w:rsidR="006A0837" w:rsidRPr="00156E9F"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156E9F">
        <w:rPr>
          <w:rFonts w:ascii="Helvetica" w:eastAsia="Helvetica" w:hAnsi="Helvetica" w:cs="Helvetica"/>
          <w:color w:val="3F3F3F"/>
        </w:rPr>
        <w:t xml:space="preserve">In the 2015/16 year approximately 540,000 SMS were issued for those unlikely to pay on time or at all, resulting in payments of $949 million. </w:t>
      </w:r>
    </w:p>
    <w:p w14:paraId="3643CE76" w14:textId="77777777" w:rsidR="006A0837" w:rsidRPr="00156E9F"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156E9F">
        <w:rPr>
          <w:rFonts w:ascii="Helvetica" w:eastAsia="Helvetica" w:hAnsi="Helvetica" w:cs="Helvetica"/>
          <w:color w:val="3F3F3F"/>
        </w:rPr>
        <w:t>In the 2016/17 year approximately 560,000 SMS were issued for those unlikely to pay on time or at all, resulting in payments of $800 million.</w:t>
      </w:r>
    </w:p>
    <w:p w14:paraId="62544A66" w14:textId="77777777" w:rsidR="006A0837" w:rsidRPr="0004155D" w:rsidRDefault="006A0837" w:rsidP="00D33213">
      <w:pPr>
        <w:pStyle w:val="h4"/>
      </w:pPr>
      <w:r w:rsidRPr="0004155D">
        <w:t xml:space="preserve">Future opportunities </w:t>
      </w:r>
    </w:p>
    <w:p w14:paraId="56B71A79" w14:textId="02D74945" w:rsidR="006A0837" w:rsidRDefault="006A0837" w:rsidP="007A3700">
      <w:pPr>
        <w:rPr>
          <w:rFonts w:eastAsia="Helvetica"/>
        </w:rPr>
      </w:pPr>
      <w:r w:rsidRPr="00156E9F">
        <w:rPr>
          <w:rFonts w:eastAsia="Helvetica"/>
        </w:rPr>
        <w:t xml:space="preserve">The </w:t>
      </w:r>
      <w:r>
        <w:rPr>
          <w:rFonts w:eastAsia="Helvetica"/>
        </w:rPr>
        <w:t>Australian Taxation Office</w:t>
      </w:r>
      <w:r w:rsidRPr="00156E9F">
        <w:rPr>
          <w:rFonts w:eastAsia="Helvetica"/>
        </w:rPr>
        <w:t xml:space="preserve"> is continuing to trial the effects of issuing text messages to taxpayers under varying circumstances. They can be used to encourage compliance, as well as provide certainty to taxpayers that they have met their obligations. Where possible, we trial different behavioural insights principles in different versions of the text messages to see which are most effective in the specific context we are considering. Other organisations will be able to test how appropriate text messages are in influencing their clients’ behaviour. </w:t>
      </w:r>
    </w:p>
    <w:p w14:paraId="0AC9BAEE" w14:textId="7B0746E2" w:rsidR="006A0837" w:rsidRDefault="006A0837" w:rsidP="004E3FC0">
      <w:pPr>
        <w:keepLines w:val="0"/>
        <w:spacing w:before="0" w:after="0" w:line="240" w:lineRule="auto"/>
        <w:jc w:val="both"/>
        <w:rPr>
          <w:rFonts w:ascii="Helvetica" w:eastAsia="Helvetica" w:hAnsi="Helvetica" w:cs="Helvetica"/>
          <w:color w:val="3F3F3F"/>
          <w:u w:val="single"/>
        </w:rPr>
      </w:pPr>
      <w:r>
        <w:rPr>
          <w:rFonts w:ascii="Helvetica" w:eastAsia="Helvetica" w:hAnsi="Helvetica" w:cs="Helvetica"/>
          <w:color w:val="3F3F3F"/>
          <w:u w:val="single"/>
        </w:rPr>
        <w:br w:type="page"/>
      </w:r>
    </w:p>
    <w:tbl>
      <w:tblPr>
        <w:tblStyle w:val="TableGrid"/>
        <w:tblpPr w:leftFromText="180" w:rightFromText="180" w:vertAnchor="page" w:horzAnchor="margin" w:tblpY="6079"/>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Encouraging businesses to remain tax compliant on the deferred goods and services scheme"/>
        <w:tblDescription w:val="Text box description of a trial to improve compliance with the deferred GST scheme."/>
      </w:tblPr>
      <w:tblGrid>
        <w:gridCol w:w="9162"/>
      </w:tblGrid>
      <w:tr w:rsidR="00785431" w14:paraId="22A295C1" w14:textId="77777777" w:rsidTr="001B5DD4">
        <w:trPr>
          <w:trHeight w:val="4817"/>
        </w:trPr>
        <w:tc>
          <w:tcPr>
            <w:tcW w:w="9162" w:type="dxa"/>
            <w:tcBorders>
              <w:bottom w:val="nil"/>
            </w:tcBorders>
            <w:shd w:val="clear" w:color="auto" w:fill="D9D9D9" w:themeFill="background1" w:themeFillShade="D9"/>
          </w:tcPr>
          <w:p w14:paraId="6FCAF735" w14:textId="77777777" w:rsidR="00785431" w:rsidRPr="009C3419" w:rsidRDefault="00785431" w:rsidP="001B5DD4">
            <w:pPr>
              <w:spacing w:after="240" w:line="320" w:lineRule="auto"/>
              <w:rPr>
                <w:rFonts w:ascii="Helvetica" w:eastAsia="Helvetica" w:hAnsi="Helvetica" w:cs="Helvetica"/>
                <w:color w:val="3F3F3F"/>
                <w:sz w:val="24"/>
              </w:rPr>
            </w:pPr>
            <w:bookmarkStart w:id="75" w:name="_Toc515526188"/>
            <w:bookmarkStart w:id="76" w:name="_Toc515874444"/>
            <w:bookmarkStart w:id="77" w:name="_Toc515874515"/>
            <w:bookmarkStart w:id="78" w:name="_Toc515874685"/>
            <w:r w:rsidRPr="009C3419">
              <w:rPr>
                <w:rFonts w:ascii="Helvetica" w:eastAsia="Helvetica" w:hAnsi="Helvetica" w:cs="Helvetica"/>
                <w:color w:val="3F3F3F"/>
                <w:sz w:val="24"/>
              </w:rPr>
              <w:lastRenderedPageBreak/>
              <w:t xml:space="preserve">The Deferred Goods and Services Scheme (scheme) allows businesses to defer the payment of goods and services tax on taxable importations into Australia. </w:t>
            </w:r>
          </w:p>
          <w:p w14:paraId="587AA856" w14:textId="77777777" w:rsidR="00785431" w:rsidRPr="009C3419" w:rsidRDefault="00785431" w:rsidP="001B5DD4">
            <w:pPr>
              <w:spacing w:after="240" w:line="320" w:lineRule="auto"/>
              <w:rPr>
                <w:rFonts w:ascii="Helvetica" w:eastAsia="Helvetica" w:hAnsi="Helvetica" w:cs="Helvetica"/>
                <w:color w:val="3F3F3F"/>
                <w:sz w:val="24"/>
              </w:rPr>
            </w:pPr>
            <w:r w:rsidRPr="009C3419">
              <w:rPr>
                <w:rFonts w:ascii="Helvetica" w:eastAsia="Helvetica" w:hAnsi="Helvetica" w:cs="Helvetica"/>
                <w:color w:val="3F3F3F"/>
                <w:sz w:val="24"/>
              </w:rPr>
              <w:t>This helps businesses manage their cash flow. Cash flow is important for businesses because it helps them meet everyday business needs and avoid taking on more debt. This means there is a strong driver for businesses to be on the scheme; however there has been considerable scheme non-compliance.</w:t>
            </w:r>
          </w:p>
          <w:p w14:paraId="7498BD49" w14:textId="77777777" w:rsidR="00785431" w:rsidRPr="004E3FC0" w:rsidRDefault="00785431" w:rsidP="001B5DD4">
            <w:pPr>
              <w:spacing w:after="240" w:line="320" w:lineRule="auto"/>
              <w:rPr>
                <w:rFonts w:ascii="Helvetica" w:eastAsia="Helvetica" w:hAnsi="Helvetica" w:cs="Helvetica"/>
                <w:color w:val="3F3F3F"/>
                <w:sz w:val="24"/>
              </w:rPr>
            </w:pPr>
            <w:r w:rsidRPr="009C3419">
              <w:rPr>
                <w:rFonts w:ascii="Helvetica" w:eastAsia="Helvetica" w:hAnsi="Helvetica" w:cs="Helvetica"/>
                <w:color w:val="3F3F3F"/>
                <w:sz w:val="24"/>
              </w:rPr>
              <w:t>We trialled emails incorporating behavioural insights principles that encouraged participants in the scheme to remain compliant. The successful intervention increased business compliance.</w:t>
            </w:r>
          </w:p>
        </w:tc>
      </w:tr>
    </w:tbl>
    <w:bookmarkEnd w:id="75"/>
    <w:bookmarkEnd w:id="76"/>
    <w:bookmarkEnd w:id="77"/>
    <w:bookmarkEnd w:id="78"/>
    <w:p w14:paraId="61374A34" w14:textId="49345E5E" w:rsidR="00785431" w:rsidRDefault="00785431" w:rsidP="00785431">
      <w:pPr>
        <w:pStyle w:val="Heading3"/>
        <w:framePr w:w="9209" w:wrap="around"/>
        <w:spacing w:after="240"/>
        <w:ind w:right="-13"/>
        <w:rPr>
          <w:bCs/>
        </w:rPr>
      </w:pPr>
      <w:r w:rsidRPr="00785431">
        <w:rPr>
          <w:bCs/>
        </w:rPr>
        <w:t>Encouraging businesses to remain tax compliant on the deferred goods and services scheme</w:t>
      </w:r>
    </w:p>
    <w:p w14:paraId="107E33F2" w14:textId="3180086E" w:rsidR="001B5DD4" w:rsidRPr="004E3FC0" w:rsidRDefault="001B5DD4" w:rsidP="001B5DD4">
      <w:pPr>
        <w:pStyle w:val="h4"/>
      </w:pPr>
      <w:r w:rsidRPr="004E3FC0">
        <w:t>Abstract</w:t>
      </w:r>
    </w:p>
    <w:p w14:paraId="0BB33035" w14:textId="77777777" w:rsidR="00EB6B12" w:rsidRDefault="00EB6B12" w:rsidP="00EB6B12">
      <w:pPr>
        <w:pStyle w:val="h4"/>
      </w:pPr>
      <w:r w:rsidRPr="00573712">
        <w:t>Project by</w:t>
      </w:r>
    </w:p>
    <w:p w14:paraId="744D29DB" w14:textId="20230BB1" w:rsidR="00EB6B12" w:rsidRDefault="00EB6B12" w:rsidP="00EB6B12"/>
    <w:p w14:paraId="4F4BB723" w14:textId="6B11C1ED" w:rsidR="00EB6B12" w:rsidRDefault="00EB6B12" w:rsidP="00EB6B12"/>
    <w:p w14:paraId="74813F50" w14:textId="7B843B2C" w:rsidR="00EB6B12" w:rsidRDefault="00EB6B12">
      <w:pPr>
        <w:keepLines w:val="0"/>
        <w:spacing w:before="0" w:after="0" w:line="240" w:lineRule="auto"/>
      </w:pPr>
      <w:r>
        <w:rPr>
          <w:noProof/>
        </w:rPr>
        <w:drawing>
          <wp:anchor distT="0" distB="0" distL="114300" distR="114300" simplePos="0" relativeHeight="251817472" behindDoc="0" locked="0" layoutInCell="1" allowOverlap="1" wp14:anchorId="26BD87DE" wp14:editId="1E4A847D">
            <wp:simplePos x="0" y="0"/>
            <wp:positionH relativeFrom="margin">
              <wp:posOffset>0</wp:posOffset>
            </wp:positionH>
            <wp:positionV relativeFrom="paragraph">
              <wp:posOffset>153832</wp:posOffset>
            </wp:positionV>
            <wp:extent cx="2705100" cy="787400"/>
            <wp:effectExtent l="0" t="0" r="0" b="0"/>
            <wp:wrapNone/>
            <wp:docPr id="754" name="Picture 754" descr="Australian Government Australian Taxation Off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05100" cy="787400"/>
                    </a:xfrm>
                    <a:prstGeom prst="rect">
                      <a:avLst/>
                    </a:prstGeom>
                  </pic:spPr>
                </pic:pic>
              </a:graphicData>
            </a:graphic>
            <wp14:sizeRelH relativeFrom="page">
              <wp14:pctWidth>0</wp14:pctWidth>
            </wp14:sizeRelH>
            <wp14:sizeRelV relativeFrom="page">
              <wp14:pctHeight>0</wp14:pctHeight>
            </wp14:sizeRelV>
          </wp:anchor>
        </w:drawing>
      </w:r>
      <w:r w:rsidRPr="000B0B98">
        <w:rPr>
          <w:noProof/>
        </w:rPr>
        <w:drawing>
          <wp:anchor distT="0" distB="0" distL="114300" distR="114300" simplePos="0" relativeHeight="251818496" behindDoc="0" locked="0" layoutInCell="1" allowOverlap="1" wp14:anchorId="60A6B66C" wp14:editId="2A6559F3">
            <wp:simplePos x="0" y="0"/>
            <wp:positionH relativeFrom="column">
              <wp:posOffset>3850448</wp:posOffset>
            </wp:positionH>
            <wp:positionV relativeFrom="paragraph">
              <wp:posOffset>348127</wp:posOffset>
            </wp:positionV>
            <wp:extent cx="1910715" cy="499110"/>
            <wp:effectExtent l="0" t="0" r="0" b="0"/>
            <wp:wrapNone/>
            <wp:docPr id="721" name="Picture 721" descr="Behavioural Economics Research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FA973B2" w14:textId="77777777" w:rsidR="001B5DD4" w:rsidRPr="001B5DD4" w:rsidRDefault="001B5DD4" w:rsidP="001B5DD4"/>
    <w:p w14:paraId="12A2E5F8" w14:textId="77777777" w:rsidR="006A0837" w:rsidRPr="0004155D" w:rsidRDefault="006A0837" w:rsidP="00D33213">
      <w:pPr>
        <w:pStyle w:val="h4"/>
      </w:pPr>
      <w:r w:rsidRPr="0004155D">
        <w:t xml:space="preserve">The policy problem </w:t>
      </w:r>
    </w:p>
    <w:p w14:paraId="0E5D049B" w14:textId="77777777" w:rsidR="006A0837" w:rsidRDefault="006A0837" w:rsidP="007A3700">
      <w:pPr>
        <w:rPr>
          <w:rFonts w:eastAsia="Helvetica"/>
        </w:rPr>
      </w:pPr>
      <w:r w:rsidRPr="000A3856">
        <w:rPr>
          <w:rFonts w:eastAsia="Helvetica"/>
        </w:rPr>
        <w:t xml:space="preserve">The </w:t>
      </w:r>
      <w:r>
        <w:rPr>
          <w:rFonts w:eastAsia="Helvetica"/>
        </w:rPr>
        <w:t>Australian Taxation Office’s</w:t>
      </w:r>
      <w:r w:rsidRPr="000A3856">
        <w:rPr>
          <w:rFonts w:eastAsia="Helvetica"/>
        </w:rPr>
        <w:t xml:space="preserve"> vision is to be a service-oriented organisation. In order for businesses to continue to benefit from deferring their </w:t>
      </w:r>
      <w:r>
        <w:rPr>
          <w:rFonts w:eastAsia="Helvetica"/>
        </w:rPr>
        <w:t>goods and services tax</w:t>
      </w:r>
      <w:r w:rsidRPr="000A3856">
        <w:rPr>
          <w:rFonts w:eastAsia="Helvetica"/>
        </w:rPr>
        <w:t xml:space="preserve">, they need to have all tax obligations up to date. We are assisting them by sending reminder emails to prevent them from losing access to the </w:t>
      </w:r>
      <w:r>
        <w:rPr>
          <w:rFonts w:eastAsia="Helvetica"/>
        </w:rPr>
        <w:t>s</w:t>
      </w:r>
      <w:r w:rsidRPr="000A3856">
        <w:rPr>
          <w:rFonts w:eastAsia="Helvetica"/>
        </w:rPr>
        <w:t xml:space="preserve">cheme. </w:t>
      </w:r>
    </w:p>
    <w:p w14:paraId="218679EA" w14:textId="77777777" w:rsidR="006A0837" w:rsidRPr="0004155D" w:rsidRDefault="006A0837" w:rsidP="00D33213">
      <w:pPr>
        <w:pStyle w:val="h4"/>
      </w:pPr>
      <w:r w:rsidRPr="0004155D">
        <w:t xml:space="preserve">Our findings and learnings </w:t>
      </w:r>
    </w:p>
    <w:p w14:paraId="3EFFC40D" w14:textId="24066022" w:rsidR="006A0837" w:rsidRDefault="006A0837" w:rsidP="007A3700">
      <w:r>
        <w:t xml:space="preserve">This trial involved scheme clients </w:t>
      </w:r>
      <w:r w:rsidR="00AE423D">
        <w:t>who</w:t>
      </w:r>
      <w:r>
        <w:t xml:space="preserve"> were non-compliant with their obligations. We sought to evaluate the effect of different email interventions. The intent was to encourage self-compliance, educate businesses on their tax obligations and reduce recurrent non-compliance. The behavioural insights principles applied in the trial are below.</w:t>
      </w:r>
    </w:p>
    <w:p w14:paraId="1CF39465" w14:textId="77777777" w:rsidR="000933C6" w:rsidRDefault="000933C6" w:rsidP="007A3700"/>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6A0837" w14:paraId="4D7222B7" w14:textId="77777777" w:rsidTr="006A0837">
        <w:trPr>
          <w:trHeight w:val="1"/>
        </w:trPr>
        <w:tc>
          <w:tcPr>
            <w:tcW w:w="5000" w:type="pct"/>
            <w:shd w:val="clear" w:color="auto" w:fill="F2F2F2"/>
            <w:tcMar>
              <w:left w:w="108" w:type="dxa"/>
              <w:right w:w="108" w:type="dxa"/>
            </w:tcMar>
          </w:tcPr>
          <w:p w14:paraId="24DA0DD2" w14:textId="77777777" w:rsidR="006A0837" w:rsidRDefault="006A0837"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49536" behindDoc="1" locked="0" layoutInCell="1" allowOverlap="1" wp14:anchorId="5AB8AB91" wp14:editId="4DB27846">
                  <wp:simplePos x="0" y="0"/>
                  <wp:positionH relativeFrom="margin">
                    <wp:posOffset>-35591</wp:posOffset>
                  </wp:positionH>
                  <wp:positionV relativeFrom="paragraph">
                    <wp:posOffset>38903</wp:posOffset>
                  </wp:positionV>
                  <wp:extent cx="370800" cy="370800"/>
                  <wp:effectExtent l="0" t="0" r="0" b="3175"/>
                  <wp:wrapTight wrapText="bothSides">
                    <wp:wrapPolygon edited="0">
                      <wp:start x="0" y="0"/>
                      <wp:lineTo x="0" y="20007"/>
                      <wp:lineTo x="20007" y="20007"/>
                      <wp:lineTo x="20007" y="0"/>
                      <wp:lineTo x="0" y="0"/>
                    </wp:wrapPolygon>
                  </wp:wrapTight>
                  <wp:docPr id="755" name="Picture 755"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42E3B"/>
                <w:sz w:val="24"/>
              </w:rPr>
              <w:t>Behavioural insights</w:t>
            </w:r>
          </w:p>
          <w:p w14:paraId="25462302" w14:textId="02925044" w:rsidR="0080686E" w:rsidRDefault="0080686E" w:rsidP="007A3700">
            <w:pPr>
              <w:rPr>
                <w:rFonts w:eastAsiaTheme="minorHAnsi"/>
              </w:rPr>
            </w:pPr>
            <w:r w:rsidRPr="0080686E">
              <w:rPr>
                <w:rFonts w:eastAsiaTheme="minorHAnsi"/>
                <w:b/>
                <w:color w:val="auto"/>
              </w:rPr>
              <w:t>Loss aversion</w:t>
            </w:r>
            <w:r>
              <w:rPr>
                <w:rFonts w:eastAsiaTheme="minorHAnsi"/>
                <w:b/>
                <w:color w:val="auto"/>
              </w:rPr>
              <w:t>:</w:t>
            </w:r>
            <w:r w:rsidRPr="0080686E">
              <w:rPr>
                <w:rFonts w:eastAsiaTheme="minorHAnsi"/>
                <w:color w:val="auto"/>
              </w:rPr>
              <w:t xml:space="preserve"> </w:t>
            </w:r>
            <w:r>
              <w:rPr>
                <w:rFonts w:eastAsiaTheme="minorHAnsi"/>
              </w:rPr>
              <w:t>People are more sensitive to losses than to equivalent gains and will generally behave in ways to minimise losses.</w:t>
            </w:r>
            <w:r>
              <w:rPr>
                <w:rStyle w:val="FootnoteReference"/>
                <w:rFonts w:eastAsiaTheme="minorHAnsi"/>
              </w:rPr>
              <w:footnoteReference w:id="45"/>
            </w:r>
            <w:r>
              <w:rPr>
                <w:rFonts w:eastAsiaTheme="minorHAnsi"/>
              </w:rPr>
              <w:t xml:space="preserve"> </w:t>
            </w:r>
          </w:p>
          <w:p w14:paraId="6E0B9579" w14:textId="3DC3CDF7" w:rsidR="006A0837" w:rsidRPr="0080686E" w:rsidRDefault="0080686E" w:rsidP="007A3700">
            <w:pPr>
              <w:rPr>
                <w:rFonts w:ascii="Times New Roman" w:hAnsi="Times New Roman"/>
                <w:color w:val="auto"/>
                <w:sz w:val="24"/>
                <w:szCs w:val="24"/>
              </w:rPr>
            </w:pPr>
            <w:r w:rsidRPr="0080686E">
              <w:rPr>
                <w:rFonts w:eastAsiaTheme="minorHAnsi"/>
                <w:b/>
                <w:color w:val="auto"/>
              </w:rPr>
              <w:t>Transparency</w:t>
            </w:r>
            <w:r>
              <w:rPr>
                <w:rFonts w:eastAsiaTheme="minorHAnsi"/>
                <w:b/>
                <w:color w:val="auto"/>
              </w:rPr>
              <w:t>:</w:t>
            </w:r>
            <w:r w:rsidRPr="0080686E">
              <w:rPr>
                <w:rFonts w:eastAsiaTheme="minorHAnsi"/>
                <w:color w:val="auto"/>
              </w:rPr>
              <w:t xml:space="preserve"> </w:t>
            </w:r>
            <w:r>
              <w:rPr>
                <w:rFonts w:eastAsiaTheme="minorHAnsi"/>
              </w:rPr>
              <w:t>Letting people know the information we hold about them can influence their behaviour.</w:t>
            </w:r>
            <w:r>
              <w:rPr>
                <w:rStyle w:val="FootnoteReference"/>
                <w:rFonts w:eastAsiaTheme="minorHAnsi"/>
              </w:rPr>
              <w:footnoteReference w:id="46"/>
            </w:r>
            <w:r>
              <w:rPr>
                <w:rFonts w:ascii="Times New Roman" w:hAnsi="Times New Roman"/>
                <w:color w:val="auto"/>
                <w:sz w:val="24"/>
                <w:szCs w:val="24"/>
              </w:rPr>
              <w:t xml:space="preserve"> </w:t>
            </w:r>
          </w:p>
        </w:tc>
      </w:tr>
    </w:tbl>
    <w:p w14:paraId="285C6795" w14:textId="77777777" w:rsidR="000933C6" w:rsidRDefault="000933C6" w:rsidP="004E3FC0">
      <w:pPr>
        <w:jc w:val="both"/>
      </w:pPr>
    </w:p>
    <w:p w14:paraId="2D24BF63" w14:textId="3DBF2049" w:rsidR="006A0837" w:rsidRDefault="006A0837" w:rsidP="007A3700">
      <w:r>
        <w:t>We drafted a suite of emails, including a ‘cooperative</w:t>
      </w:r>
      <w:r w:rsidR="002157BF">
        <w:t>’</w:t>
      </w:r>
      <w:r>
        <w:t xml:space="preserve"> and ‘direct toned’ reminder, a thank you email and a revocation email. A more conversational </w:t>
      </w:r>
      <w:r w:rsidR="009C3419">
        <w:t>(softer)</w:t>
      </w:r>
      <w:r>
        <w:t xml:space="preserve"> tone was used in the </w:t>
      </w:r>
      <w:r w:rsidR="009C3419">
        <w:t>reminder email, while a direct</w:t>
      </w:r>
      <w:r>
        <w:t xml:space="preserve"> (harder) </w:t>
      </w:r>
      <w:r w:rsidR="009C3419">
        <w:t xml:space="preserve">tone </w:t>
      </w:r>
      <w:r>
        <w:t>was used for the reminder and revoke notification emails.</w:t>
      </w:r>
    </w:p>
    <w:p w14:paraId="660F557A" w14:textId="77777777" w:rsidR="006A0837" w:rsidRDefault="006A0837" w:rsidP="007A3700">
      <w:r>
        <w:t>For this trial, a sample of non-compliant business were randomly selected and allocated in equal proportions to three groups:</w:t>
      </w:r>
    </w:p>
    <w:p w14:paraId="754F1F68" w14:textId="77777777" w:rsidR="006A0837" w:rsidRPr="000A3856"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0A3856">
        <w:rPr>
          <w:rFonts w:ascii="Helvetica" w:eastAsia="Helvetica" w:hAnsi="Helvetica" w:cs="Helvetica"/>
          <w:color w:val="3F3F3F"/>
        </w:rPr>
        <w:t>Control – received no email</w:t>
      </w:r>
    </w:p>
    <w:p w14:paraId="7774BCCF" w14:textId="77777777" w:rsidR="006A0837" w:rsidRPr="000A3856"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0A3856">
        <w:rPr>
          <w:rFonts w:ascii="Helvetica" w:eastAsia="Helvetica" w:hAnsi="Helvetica" w:cs="Helvetica"/>
          <w:color w:val="3F3F3F"/>
        </w:rPr>
        <w:t>Co-operative – received softer reminder email, then either a thank you or revoke email</w:t>
      </w:r>
    </w:p>
    <w:p w14:paraId="547C3DEB" w14:textId="77777777" w:rsidR="006A0837" w:rsidRPr="000A3856" w:rsidRDefault="006A0837" w:rsidP="003A373A">
      <w:pPr>
        <w:numPr>
          <w:ilvl w:val="0"/>
          <w:numId w:val="15"/>
        </w:numPr>
        <w:tabs>
          <w:tab w:val="left" w:pos="360"/>
        </w:tabs>
        <w:spacing w:line="260" w:lineRule="auto"/>
        <w:ind w:left="360" w:hanging="360"/>
        <w:rPr>
          <w:rFonts w:ascii="Helvetica" w:eastAsia="Helvetica" w:hAnsi="Helvetica" w:cs="Helvetica"/>
          <w:color w:val="3F3F3F"/>
        </w:rPr>
      </w:pPr>
      <w:r w:rsidRPr="000A3856">
        <w:rPr>
          <w:rFonts w:ascii="Helvetica" w:eastAsia="Helvetica" w:hAnsi="Helvetica" w:cs="Helvetica"/>
          <w:color w:val="3F3F3F"/>
        </w:rPr>
        <w:t>Direct – received harder reminder email, then either a thank you or revoke email.</w:t>
      </w:r>
    </w:p>
    <w:p w14:paraId="3D604FCA" w14:textId="652B6665" w:rsidR="006A0837" w:rsidRDefault="006A0837" w:rsidP="007A3700">
      <w:r>
        <w:t xml:space="preserve">The emails were rolled out in four separate batches from April to June 2017. </w:t>
      </w:r>
      <w:r w:rsidR="0080686E">
        <w:t>Businesses had</w:t>
      </w:r>
      <w:r>
        <w:t xml:space="preserve"> 21</w:t>
      </w:r>
      <w:r w:rsidR="009C3419">
        <w:t> </w:t>
      </w:r>
      <w:r>
        <w:t xml:space="preserve">days to comply. Those that complied after receiving the reminder received a thank you email, and those that didn’t comply received a revoke notification email. </w:t>
      </w:r>
    </w:p>
    <w:p w14:paraId="087AC0C1" w14:textId="4482189B" w:rsidR="0080686E" w:rsidRDefault="0080686E" w:rsidP="009C3419">
      <w:pPr>
        <w:pStyle w:val="Caption"/>
        <w:spacing w:after="0"/>
        <w:jc w:val="both"/>
      </w:pPr>
      <w:r>
        <w:t xml:space="preserve">Figure </w:t>
      </w:r>
      <w:r w:rsidR="003A3A38">
        <w:rPr>
          <w:noProof/>
        </w:rPr>
        <w:fldChar w:fldCharType="begin"/>
      </w:r>
      <w:r w:rsidR="003A3A38">
        <w:rPr>
          <w:noProof/>
        </w:rPr>
        <w:instrText xml:space="preserve"> SEQ Figure \* ARABIC </w:instrText>
      </w:r>
      <w:r w:rsidR="003A3A38">
        <w:rPr>
          <w:noProof/>
        </w:rPr>
        <w:fldChar w:fldCharType="separate"/>
      </w:r>
      <w:r w:rsidR="00B01953">
        <w:rPr>
          <w:noProof/>
        </w:rPr>
        <w:t>19</w:t>
      </w:r>
      <w:r w:rsidR="003A3A38">
        <w:rPr>
          <w:noProof/>
        </w:rPr>
        <w:fldChar w:fldCharType="end"/>
      </w:r>
      <w:r>
        <w:t>: Examples of emails</w:t>
      </w:r>
    </w:p>
    <w:tbl>
      <w:tblPr>
        <w:tblStyle w:val="TableGrid"/>
        <w:tblW w:w="9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Figure 19: Examples of emails"/>
        <w:tblDescription w:val="Images of emails sent to encourage compliance. One has a softer tone, the other is a harder tone. "/>
      </w:tblPr>
      <w:tblGrid>
        <w:gridCol w:w="4395"/>
        <w:gridCol w:w="4717"/>
      </w:tblGrid>
      <w:tr w:rsidR="0080686E" w14:paraId="31C8852E" w14:textId="77777777" w:rsidTr="00AA221E">
        <w:trPr>
          <w:tblHeader/>
        </w:trPr>
        <w:tc>
          <w:tcPr>
            <w:tcW w:w="4395" w:type="dxa"/>
          </w:tcPr>
          <w:p w14:paraId="684154CC" w14:textId="77777777" w:rsidR="0080686E" w:rsidRDefault="0080686E" w:rsidP="009C3419">
            <w:pPr>
              <w:spacing w:before="0"/>
              <w:ind w:left="-117" w:right="-259"/>
              <w:jc w:val="both"/>
            </w:pPr>
            <w:r>
              <w:rPr>
                <w:rFonts w:ascii="Arial" w:hAnsi="Arial" w:cs="Arial"/>
                <w:b/>
                <w:sz w:val="18"/>
                <w:szCs w:val="18"/>
              </w:rPr>
              <w:t>Reminder (softer toned)</w:t>
            </w:r>
          </w:p>
        </w:tc>
        <w:tc>
          <w:tcPr>
            <w:tcW w:w="4717" w:type="dxa"/>
          </w:tcPr>
          <w:p w14:paraId="2D5F0827" w14:textId="77777777" w:rsidR="0080686E" w:rsidRDefault="0080686E" w:rsidP="009C3419">
            <w:pPr>
              <w:spacing w:before="0"/>
              <w:ind w:right="-257"/>
              <w:jc w:val="both"/>
            </w:pPr>
            <w:r>
              <w:rPr>
                <w:rFonts w:ascii="Arial" w:hAnsi="Arial" w:cs="Arial"/>
                <w:b/>
                <w:sz w:val="18"/>
                <w:szCs w:val="18"/>
              </w:rPr>
              <w:t>Reminder (harder toned)</w:t>
            </w:r>
          </w:p>
        </w:tc>
      </w:tr>
      <w:tr w:rsidR="0080686E" w14:paraId="7A30B558" w14:textId="77777777" w:rsidTr="000C2E18">
        <w:tc>
          <w:tcPr>
            <w:tcW w:w="4395" w:type="dxa"/>
          </w:tcPr>
          <w:p w14:paraId="74A9F459" w14:textId="3ED909F4" w:rsidR="0080686E" w:rsidRDefault="009C3419" w:rsidP="004E3FC0">
            <w:pPr>
              <w:jc w:val="both"/>
            </w:pPr>
            <w:r>
              <w:rPr>
                <w:noProof/>
                <w:sz w:val="22"/>
                <w:szCs w:val="24"/>
              </w:rPr>
              <w:drawing>
                <wp:anchor distT="0" distB="0" distL="114300" distR="114300" simplePos="0" relativeHeight="251693568" behindDoc="1" locked="0" layoutInCell="1" allowOverlap="1" wp14:anchorId="2CB6DB70" wp14:editId="76033519">
                  <wp:simplePos x="0" y="0"/>
                  <wp:positionH relativeFrom="column">
                    <wp:posOffset>2783840</wp:posOffset>
                  </wp:positionH>
                  <wp:positionV relativeFrom="paragraph">
                    <wp:posOffset>10160</wp:posOffset>
                  </wp:positionV>
                  <wp:extent cx="1967441" cy="1800000"/>
                  <wp:effectExtent l="0" t="0" r="0" b="0"/>
                  <wp:wrapNone/>
                  <wp:docPr id="713" name="Picture 713" title="Figure 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3" cstate="print">
                            <a:extLst>
                              <a:ext uri="{28A0092B-C50C-407E-A947-70E740481C1C}">
                                <a14:useLocalDpi xmlns:a14="http://schemas.microsoft.com/office/drawing/2010/main" val="0"/>
                              </a:ext>
                            </a:extLst>
                          </a:blip>
                          <a:srcRect t="3233"/>
                          <a:stretch>
                            <a:fillRect/>
                          </a:stretch>
                        </pic:blipFill>
                        <pic:spPr bwMode="auto">
                          <a:xfrm>
                            <a:off x="0" y="0"/>
                            <a:ext cx="1967441" cy="1800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544" behindDoc="0" locked="0" layoutInCell="1" allowOverlap="1" wp14:anchorId="422DF3E5" wp14:editId="7E169112">
                  <wp:simplePos x="0" y="0"/>
                  <wp:positionH relativeFrom="column">
                    <wp:posOffset>-1270</wp:posOffset>
                  </wp:positionH>
                  <wp:positionV relativeFrom="paragraph">
                    <wp:posOffset>10160</wp:posOffset>
                  </wp:positionV>
                  <wp:extent cx="1969200" cy="1836000"/>
                  <wp:effectExtent l="0" t="0" r="0" b="0"/>
                  <wp:wrapNone/>
                  <wp:docPr id="712" name="Picture 712" title="Figure 1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94" cstate="print">
                            <a:extLst>
                              <a:ext uri="{28A0092B-C50C-407E-A947-70E740481C1C}">
                                <a14:useLocalDpi xmlns:a14="http://schemas.microsoft.com/office/drawing/2010/main" val="0"/>
                              </a:ext>
                            </a:extLst>
                          </a:blip>
                          <a:srcRect t="3831" b="1379"/>
                          <a:stretch>
                            <a:fillRect/>
                          </a:stretch>
                        </pic:blipFill>
                        <pic:spPr bwMode="auto">
                          <a:xfrm>
                            <a:off x="0" y="0"/>
                            <a:ext cx="1969200" cy="1836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717" w:type="dxa"/>
          </w:tcPr>
          <w:p w14:paraId="370FF4D7" w14:textId="2CB13A87" w:rsidR="0080686E" w:rsidRDefault="0080686E" w:rsidP="004E3FC0">
            <w:pPr>
              <w:jc w:val="both"/>
            </w:pPr>
          </w:p>
        </w:tc>
      </w:tr>
    </w:tbl>
    <w:p w14:paraId="06BEDBFD" w14:textId="77777777" w:rsidR="009C3419" w:rsidRDefault="009C3419" w:rsidP="003A373A">
      <w:pPr>
        <w:pStyle w:val="ListParagraph"/>
        <w:numPr>
          <w:ilvl w:val="0"/>
          <w:numId w:val="23"/>
        </w:numPr>
      </w:pPr>
      <w:r>
        <w:br w:type="page"/>
      </w:r>
    </w:p>
    <w:tbl>
      <w:tblPr>
        <w:tblStyle w:val="TableGrid"/>
        <w:tblW w:w="9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Examples of emails sent"/>
        <w:tblDescription w:val="Images of emails sent. One is a revoke notification email, another is a thank you email. "/>
      </w:tblPr>
      <w:tblGrid>
        <w:gridCol w:w="4395"/>
        <w:gridCol w:w="4717"/>
      </w:tblGrid>
      <w:tr w:rsidR="0080686E" w14:paraId="7B5F1771" w14:textId="77777777" w:rsidTr="00AA221E">
        <w:trPr>
          <w:tblHeader/>
        </w:trPr>
        <w:tc>
          <w:tcPr>
            <w:tcW w:w="4395" w:type="dxa"/>
          </w:tcPr>
          <w:p w14:paraId="39A9D79F" w14:textId="74B0A52D" w:rsidR="0080686E" w:rsidRPr="0080686E" w:rsidRDefault="007247CF" w:rsidP="004E3FC0">
            <w:pPr>
              <w:jc w:val="both"/>
              <w:rPr>
                <w:rFonts w:ascii="Arial" w:hAnsi="Arial" w:cs="Arial"/>
                <w:b/>
                <w:sz w:val="18"/>
                <w:szCs w:val="18"/>
              </w:rPr>
            </w:pPr>
            <w:r>
              <w:rPr>
                <w:rFonts w:ascii="Arial" w:hAnsi="Arial" w:cs="Arial"/>
                <w:b/>
                <w:sz w:val="18"/>
                <w:szCs w:val="18"/>
              </w:rPr>
              <w:lastRenderedPageBreak/>
              <w:t>Revoke notification email</w:t>
            </w:r>
          </w:p>
        </w:tc>
        <w:tc>
          <w:tcPr>
            <w:tcW w:w="4717" w:type="dxa"/>
          </w:tcPr>
          <w:p w14:paraId="43C1C2E8" w14:textId="77777777" w:rsidR="0080686E" w:rsidRPr="0080686E" w:rsidRDefault="0080686E" w:rsidP="004E3FC0">
            <w:pPr>
              <w:jc w:val="both"/>
              <w:rPr>
                <w:rFonts w:ascii="Arial" w:hAnsi="Arial" w:cs="Arial"/>
                <w:b/>
                <w:sz w:val="18"/>
                <w:szCs w:val="18"/>
              </w:rPr>
            </w:pPr>
            <w:r w:rsidRPr="0080686E">
              <w:rPr>
                <w:rFonts w:ascii="Arial" w:hAnsi="Arial" w:cs="Arial"/>
                <w:b/>
                <w:sz w:val="18"/>
                <w:szCs w:val="18"/>
              </w:rPr>
              <w:t>Thank you email</w:t>
            </w:r>
          </w:p>
        </w:tc>
      </w:tr>
      <w:tr w:rsidR="0080686E" w14:paraId="41C1FA40" w14:textId="77777777" w:rsidTr="000C2E18">
        <w:tc>
          <w:tcPr>
            <w:tcW w:w="4395" w:type="dxa"/>
          </w:tcPr>
          <w:p w14:paraId="0A13501A" w14:textId="77777777" w:rsidR="0080686E" w:rsidRDefault="0080686E" w:rsidP="004E3FC0">
            <w:pPr>
              <w:jc w:val="both"/>
              <w:rPr>
                <w:noProof/>
              </w:rPr>
            </w:pPr>
            <w:r>
              <w:rPr>
                <w:noProof/>
              </w:rPr>
              <w:drawing>
                <wp:inline distT="0" distB="0" distL="0" distR="0" wp14:anchorId="04CAC3E6" wp14:editId="66548A6B">
                  <wp:extent cx="2210400" cy="2055516"/>
                  <wp:effectExtent l="0" t="0" r="0" b="1905"/>
                  <wp:docPr id="715" name="Picture 715" title="Figure 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95" cstate="print">
                            <a:extLst>
                              <a:ext uri="{28A0092B-C50C-407E-A947-70E740481C1C}">
                                <a14:useLocalDpi xmlns:a14="http://schemas.microsoft.com/office/drawing/2010/main" val="0"/>
                              </a:ext>
                            </a:extLst>
                          </a:blip>
                          <a:srcRect l="4439" t="7834" r="-343" b="1047"/>
                          <a:stretch>
                            <a:fillRect/>
                          </a:stretch>
                        </pic:blipFill>
                        <pic:spPr bwMode="auto">
                          <a:xfrm>
                            <a:off x="0" y="0"/>
                            <a:ext cx="2210400" cy="2055516"/>
                          </a:xfrm>
                          <a:prstGeom prst="rect">
                            <a:avLst/>
                          </a:prstGeom>
                          <a:noFill/>
                        </pic:spPr>
                      </pic:pic>
                    </a:graphicData>
                  </a:graphic>
                </wp:inline>
              </w:drawing>
            </w:r>
          </w:p>
        </w:tc>
        <w:tc>
          <w:tcPr>
            <w:tcW w:w="4717" w:type="dxa"/>
          </w:tcPr>
          <w:p w14:paraId="21F4A746" w14:textId="77777777" w:rsidR="0080686E" w:rsidRDefault="0080686E" w:rsidP="004E3FC0">
            <w:pPr>
              <w:jc w:val="both"/>
              <w:rPr>
                <w:noProof/>
                <w:sz w:val="22"/>
                <w:szCs w:val="24"/>
              </w:rPr>
            </w:pPr>
            <w:r>
              <w:rPr>
                <w:noProof/>
              </w:rPr>
              <w:drawing>
                <wp:inline distT="0" distB="0" distL="0" distR="0" wp14:anchorId="6D83412A" wp14:editId="48806DAF">
                  <wp:extent cx="1994400" cy="1509615"/>
                  <wp:effectExtent l="0" t="0" r="6350" b="0"/>
                  <wp:docPr id="714" name="Picture 714" title="Figure 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pic:cNvPicPr/>
                        </pic:nvPicPr>
                        <pic:blipFill>
                          <a:blip r:embed="rId96" cstate="print">
                            <a:extLst>
                              <a:ext uri="{28A0092B-C50C-407E-A947-70E740481C1C}">
                                <a14:useLocalDpi xmlns:a14="http://schemas.microsoft.com/office/drawing/2010/main" val="0"/>
                              </a:ext>
                            </a:extLst>
                          </a:blip>
                          <a:srcRect t="4376" b="7079"/>
                          <a:stretch>
                            <a:fillRect/>
                          </a:stretch>
                        </pic:blipFill>
                        <pic:spPr bwMode="auto">
                          <a:xfrm>
                            <a:off x="0" y="0"/>
                            <a:ext cx="1994400" cy="1509615"/>
                          </a:xfrm>
                          <a:prstGeom prst="rect">
                            <a:avLst/>
                          </a:prstGeom>
                          <a:noFill/>
                        </pic:spPr>
                      </pic:pic>
                    </a:graphicData>
                  </a:graphic>
                </wp:inline>
              </w:drawing>
            </w:r>
          </w:p>
        </w:tc>
      </w:tr>
    </w:tbl>
    <w:p w14:paraId="32E1D60B" w14:textId="77777777" w:rsidR="006A0837" w:rsidRDefault="006A0837" w:rsidP="004E3FC0">
      <w:pPr>
        <w:jc w:val="both"/>
      </w:pPr>
      <w:r>
        <w:t xml:space="preserve">Both emails led to improved compliance when compared to the control group. </w:t>
      </w:r>
    </w:p>
    <w:p w14:paraId="1CDD3FC9" w14:textId="51A66935" w:rsidR="006A0837" w:rsidRPr="00445E48" w:rsidRDefault="00C144BF" w:rsidP="004E3FC0">
      <w:pPr>
        <w:pStyle w:val="Caption"/>
        <w:jc w:val="both"/>
        <w:rPr>
          <w:rFonts w:ascii="Helvetica" w:eastAsia="Helvetica" w:hAnsi="Helvetica" w:cs="Helvetica"/>
          <w:color w:val="117479"/>
        </w:rPr>
      </w:pPr>
      <w:r>
        <w:t xml:space="preserve">Table </w:t>
      </w:r>
      <w:r w:rsidR="003A3A38">
        <w:rPr>
          <w:noProof/>
        </w:rPr>
        <w:fldChar w:fldCharType="begin"/>
      </w:r>
      <w:r w:rsidR="003A3A38">
        <w:rPr>
          <w:noProof/>
        </w:rPr>
        <w:instrText xml:space="preserve"> SEQ Table \* ARABIC </w:instrText>
      </w:r>
      <w:r w:rsidR="003A3A38">
        <w:rPr>
          <w:noProof/>
        </w:rPr>
        <w:fldChar w:fldCharType="separate"/>
      </w:r>
      <w:r w:rsidR="00B01953">
        <w:rPr>
          <w:noProof/>
        </w:rPr>
        <w:t>2</w:t>
      </w:r>
      <w:r w:rsidR="003A3A38">
        <w:rPr>
          <w:noProof/>
        </w:rPr>
        <w:fldChar w:fldCharType="end"/>
      </w:r>
      <w:r>
        <w:t xml:space="preserve">: </w:t>
      </w:r>
      <w:r w:rsidR="006A0837">
        <w:rPr>
          <w:rFonts w:ascii="Helvetica" w:eastAsia="Helvetica" w:hAnsi="Helvetica" w:cs="Helvetica"/>
          <w:color w:val="117479"/>
        </w:rPr>
        <w:t>Results</w:t>
      </w:r>
    </w:p>
    <w:tbl>
      <w:tblPr>
        <w:tblStyle w:val="GridTable5Dark-Accent2"/>
        <w:tblW w:w="0" w:type="auto"/>
        <w:tblLook w:val="04A0" w:firstRow="1" w:lastRow="0" w:firstColumn="1" w:lastColumn="0" w:noHBand="0" w:noVBand="1"/>
        <w:tblCaption w:val="Table 2: Results"/>
        <w:tblDescription w:val="Table showing the results of the trial. The cooperative, softer email showed a 10% increase in compliance compared to the control group. The direct, harder email showed a 13% increase in compliance compared to the control group, who received no email. "/>
      </w:tblPr>
      <w:tblGrid>
        <w:gridCol w:w="2238"/>
        <w:gridCol w:w="1301"/>
        <w:gridCol w:w="2330"/>
        <w:gridCol w:w="2624"/>
      </w:tblGrid>
      <w:tr w:rsidR="006A0837" w14:paraId="35B49195" w14:textId="77777777" w:rsidTr="00AA221E">
        <w:trPr>
          <w:cnfStyle w:val="100000000000" w:firstRow="1" w:lastRow="0" w:firstColumn="0" w:lastColumn="0" w:oddVBand="0" w:evenVBand="0" w:oddHBand="0" w:evenHBand="0" w:firstRowFirstColumn="0" w:firstRowLastColumn="0" w:lastRowFirstColumn="0" w:lastRowLastColumn="0"/>
          <w:trHeight w:val="544"/>
          <w:tblHeader/>
        </w:trPr>
        <w:tc>
          <w:tcPr>
            <w:cnfStyle w:val="001000000000" w:firstRow="0" w:lastRow="0" w:firstColumn="1" w:lastColumn="0" w:oddVBand="0" w:evenVBand="0" w:oddHBand="0" w:evenHBand="0" w:firstRowFirstColumn="0" w:firstRowLastColumn="0" w:lastRowFirstColumn="0" w:lastRowLastColumn="0"/>
            <w:tcW w:w="2414" w:type="dxa"/>
            <w:tcBorders>
              <w:top w:val="single" w:sz="4" w:space="0" w:color="auto"/>
              <w:left w:val="single" w:sz="4" w:space="0" w:color="auto"/>
            </w:tcBorders>
            <w:hideMark/>
          </w:tcPr>
          <w:p w14:paraId="6EE4C90D" w14:textId="77777777" w:rsidR="006A0837" w:rsidRPr="005C51E9" w:rsidRDefault="006A0837" w:rsidP="005072EF">
            <w:pPr>
              <w:rPr>
                <w:rFonts w:ascii="Arial" w:hAnsi="Arial" w:cs="Arial"/>
                <w:color w:val="FFFFFF" w:themeColor="background1"/>
              </w:rPr>
            </w:pPr>
            <w:r w:rsidRPr="005C51E9">
              <w:rPr>
                <w:rFonts w:ascii="Arial" w:hAnsi="Arial" w:cs="Arial"/>
                <w:color w:val="FFFFFF" w:themeColor="background1"/>
              </w:rPr>
              <w:t>Trial group</w:t>
            </w:r>
          </w:p>
        </w:tc>
        <w:tc>
          <w:tcPr>
            <w:tcW w:w="1349" w:type="dxa"/>
            <w:tcBorders>
              <w:top w:val="single" w:sz="4" w:space="0" w:color="auto"/>
            </w:tcBorders>
            <w:hideMark/>
          </w:tcPr>
          <w:p w14:paraId="5A01D90E" w14:textId="77777777" w:rsidR="006A0837" w:rsidRPr="005C51E9" w:rsidRDefault="006A0837" w:rsidP="005072EF">
            <w:pP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5C51E9">
              <w:rPr>
                <w:rFonts w:ascii="Arial" w:hAnsi="Arial" w:cs="Arial"/>
                <w:color w:val="FFFFFF" w:themeColor="background1"/>
              </w:rPr>
              <w:t>Number of clients</w:t>
            </w:r>
          </w:p>
        </w:tc>
        <w:tc>
          <w:tcPr>
            <w:tcW w:w="2482" w:type="dxa"/>
            <w:tcBorders>
              <w:top w:val="single" w:sz="4" w:space="0" w:color="auto"/>
            </w:tcBorders>
            <w:hideMark/>
          </w:tcPr>
          <w:p w14:paraId="13F0C621" w14:textId="77777777" w:rsidR="006A0837" w:rsidRPr="005C51E9" w:rsidRDefault="006A0837" w:rsidP="005072EF">
            <w:pP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5C51E9">
              <w:rPr>
                <w:rFonts w:ascii="Arial" w:hAnsi="Arial" w:cs="Arial"/>
                <w:color w:val="FFFFFF" w:themeColor="background1"/>
              </w:rPr>
              <w:t>Percentage that self-complied after 21 days</w:t>
            </w:r>
          </w:p>
        </w:tc>
        <w:tc>
          <w:tcPr>
            <w:tcW w:w="2815" w:type="dxa"/>
            <w:tcBorders>
              <w:top w:val="single" w:sz="4" w:space="0" w:color="auto"/>
              <w:right w:val="single" w:sz="4" w:space="0" w:color="auto"/>
            </w:tcBorders>
            <w:hideMark/>
          </w:tcPr>
          <w:p w14:paraId="16EDA3E0" w14:textId="77777777" w:rsidR="006A0837" w:rsidRPr="005C51E9" w:rsidRDefault="006A0837" w:rsidP="005072EF">
            <w:pP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5C51E9">
              <w:rPr>
                <w:rFonts w:ascii="Arial" w:hAnsi="Arial" w:cs="Arial"/>
                <w:color w:val="FFFFFF" w:themeColor="background1"/>
              </w:rPr>
              <w:t>Percentage point increase in compliance compared to control group</w:t>
            </w:r>
          </w:p>
        </w:tc>
      </w:tr>
      <w:tr w:rsidR="006A0837" w14:paraId="1AB0EABC" w14:textId="77777777" w:rsidTr="00507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left w:val="single" w:sz="4" w:space="0" w:color="auto"/>
            </w:tcBorders>
            <w:hideMark/>
          </w:tcPr>
          <w:p w14:paraId="6B41C65C" w14:textId="3DF6886D" w:rsidR="006A0837" w:rsidRPr="005C51E9" w:rsidRDefault="006A0837" w:rsidP="009C3419">
            <w:pPr>
              <w:spacing w:before="160"/>
              <w:jc w:val="both"/>
              <w:rPr>
                <w:rFonts w:ascii="Arial" w:hAnsi="Arial" w:cs="Arial"/>
                <w:b w:val="0"/>
                <w:color w:val="FFFFFF" w:themeColor="background1"/>
              </w:rPr>
            </w:pPr>
            <w:r w:rsidRPr="005C51E9">
              <w:rPr>
                <w:rFonts w:ascii="Arial" w:hAnsi="Arial" w:cs="Arial"/>
                <w:b w:val="0"/>
                <w:color w:val="FFFFFF" w:themeColor="background1"/>
              </w:rPr>
              <w:t>Control (no</w:t>
            </w:r>
            <w:r w:rsidR="009C3419">
              <w:rPr>
                <w:rFonts w:ascii="Arial" w:hAnsi="Arial" w:cs="Arial"/>
                <w:b w:val="0"/>
                <w:color w:val="FFFFFF" w:themeColor="background1"/>
              </w:rPr>
              <w:t xml:space="preserve"> </w:t>
            </w:r>
            <w:r w:rsidRPr="005C51E9">
              <w:rPr>
                <w:rFonts w:ascii="Arial" w:hAnsi="Arial" w:cs="Arial"/>
                <w:b w:val="0"/>
                <w:color w:val="FFFFFF" w:themeColor="background1"/>
              </w:rPr>
              <w:t>email)</w:t>
            </w:r>
          </w:p>
        </w:tc>
        <w:tc>
          <w:tcPr>
            <w:tcW w:w="1349" w:type="dxa"/>
            <w:shd w:val="clear" w:color="auto" w:fill="auto"/>
            <w:hideMark/>
          </w:tcPr>
          <w:p w14:paraId="5563B154" w14:textId="77777777" w:rsidR="006A0837" w:rsidRDefault="006A0837" w:rsidP="005072EF">
            <w:pPr>
              <w:tabs>
                <w:tab w:val="left" w:pos="492"/>
                <w:tab w:val="center" w:pos="1167"/>
              </w:tabs>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425</w:t>
            </w:r>
          </w:p>
        </w:tc>
        <w:tc>
          <w:tcPr>
            <w:tcW w:w="2482" w:type="dxa"/>
            <w:shd w:val="clear" w:color="auto" w:fill="auto"/>
            <w:hideMark/>
          </w:tcPr>
          <w:p w14:paraId="6C96D1BC" w14:textId="77777777" w:rsidR="006A0837" w:rsidRDefault="006A0837" w:rsidP="005072EF">
            <w:pPr>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33%</w:t>
            </w:r>
          </w:p>
        </w:tc>
        <w:tc>
          <w:tcPr>
            <w:tcW w:w="2815" w:type="dxa"/>
            <w:tcBorders>
              <w:right w:val="single" w:sz="4" w:space="0" w:color="auto"/>
            </w:tcBorders>
            <w:shd w:val="clear" w:color="auto" w:fill="auto"/>
          </w:tcPr>
          <w:p w14:paraId="70F8FA8D" w14:textId="169025CA" w:rsidR="006A0837" w:rsidRDefault="000A7DB1" w:rsidP="005072EF">
            <w:pPr>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6A0837" w14:paraId="5F51E323" w14:textId="77777777" w:rsidTr="005072EF">
        <w:tc>
          <w:tcPr>
            <w:cnfStyle w:val="001000000000" w:firstRow="0" w:lastRow="0" w:firstColumn="1" w:lastColumn="0" w:oddVBand="0" w:evenVBand="0" w:oddHBand="0" w:evenHBand="0" w:firstRowFirstColumn="0" w:firstRowLastColumn="0" w:lastRowFirstColumn="0" w:lastRowLastColumn="0"/>
            <w:tcW w:w="2414" w:type="dxa"/>
            <w:tcBorders>
              <w:left w:val="single" w:sz="4" w:space="0" w:color="auto"/>
            </w:tcBorders>
            <w:hideMark/>
          </w:tcPr>
          <w:p w14:paraId="1029FD59" w14:textId="51820ADE" w:rsidR="006A0837" w:rsidRPr="005C51E9" w:rsidRDefault="006A0837" w:rsidP="004E3FC0">
            <w:pPr>
              <w:spacing w:before="160"/>
              <w:jc w:val="both"/>
              <w:rPr>
                <w:rFonts w:ascii="Arial" w:hAnsi="Arial" w:cs="Arial"/>
                <w:b w:val="0"/>
                <w:color w:val="FFFFFF" w:themeColor="background1"/>
              </w:rPr>
            </w:pPr>
            <w:r w:rsidRPr="005C51E9">
              <w:rPr>
                <w:rFonts w:ascii="Arial" w:hAnsi="Arial" w:cs="Arial"/>
                <w:b w:val="0"/>
                <w:color w:val="FFFFFF" w:themeColor="background1"/>
              </w:rPr>
              <w:t>Co-operative (softer</w:t>
            </w:r>
            <w:r w:rsidR="009C3419">
              <w:rPr>
                <w:rFonts w:ascii="Arial" w:hAnsi="Arial" w:cs="Arial"/>
                <w:b w:val="0"/>
                <w:color w:val="FFFFFF" w:themeColor="background1"/>
              </w:rPr>
              <w:t>) email</w:t>
            </w:r>
          </w:p>
        </w:tc>
        <w:tc>
          <w:tcPr>
            <w:tcW w:w="1349" w:type="dxa"/>
            <w:shd w:val="clear" w:color="auto" w:fill="auto"/>
            <w:hideMark/>
          </w:tcPr>
          <w:p w14:paraId="35E90B03" w14:textId="77777777" w:rsidR="006A0837" w:rsidRDefault="006A0837" w:rsidP="005072EF">
            <w:pPr>
              <w:spacing w:before="1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427</w:t>
            </w:r>
          </w:p>
        </w:tc>
        <w:tc>
          <w:tcPr>
            <w:tcW w:w="2482" w:type="dxa"/>
            <w:shd w:val="clear" w:color="auto" w:fill="auto"/>
            <w:hideMark/>
          </w:tcPr>
          <w:p w14:paraId="48583719" w14:textId="77777777" w:rsidR="006A0837" w:rsidRDefault="006A0837" w:rsidP="005072EF">
            <w:pPr>
              <w:spacing w:before="1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43%</w:t>
            </w:r>
          </w:p>
        </w:tc>
        <w:tc>
          <w:tcPr>
            <w:tcW w:w="2815" w:type="dxa"/>
            <w:tcBorders>
              <w:right w:val="single" w:sz="4" w:space="0" w:color="auto"/>
            </w:tcBorders>
            <w:shd w:val="clear" w:color="auto" w:fill="auto"/>
            <w:hideMark/>
          </w:tcPr>
          <w:p w14:paraId="7B469F15" w14:textId="77777777" w:rsidR="006A0837" w:rsidRDefault="006A0837" w:rsidP="005072EF">
            <w:pPr>
              <w:spacing w:before="1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color w:val="008000"/>
                <w:sz w:val="28"/>
                <w:szCs w:val="28"/>
                <w:lang w:eastAsia="en-US"/>
              </w:rPr>
              <w:sym w:font="Wingdings 3" w:char="F0A3"/>
            </w:r>
            <w:r>
              <w:rPr>
                <w:rFonts w:ascii="Arial" w:hAnsi="Arial" w:cs="Arial"/>
                <w:lang w:eastAsia="en-US"/>
              </w:rPr>
              <w:t>10%</w:t>
            </w:r>
          </w:p>
        </w:tc>
      </w:tr>
      <w:tr w:rsidR="006A0837" w14:paraId="2137E8AE" w14:textId="77777777" w:rsidTr="00507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Borders>
              <w:left w:val="single" w:sz="4" w:space="0" w:color="auto"/>
              <w:bottom w:val="single" w:sz="4" w:space="0" w:color="auto"/>
            </w:tcBorders>
            <w:hideMark/>
          </w:tcPr>
          <w:p w14:paraId="63838EF4" w14:textId="2B1159DA" w:rsidR="006A0837" w:rsidRPr="005C51E9" w:rsidRDefault="006A0837" w:rsidP="004E3FC0">
            <w:pPr>
              <w:spacing w:before="160"/>
              <w:jc w:val="both"/>
              <w:rPr>
                <w:rFonts w:ascii="Arial" w:hAnsi="Arial" w:cs="Arial"/>
                <w:b w:val="0"/>
                <w:color w:val="FFFFFF" w:themeColor="background1"/>
              </w:rPr>
            </w:pPr>
            <w:r w:rsidRPr="005C51E9">
              <w:rPr>
                <w:rFonts w:ascii="Arial" w:hAnsi="Arial" w:cs="Arial"/>
                <w:b w:val="0"/>
                <w:color w:val="FFFFFF" w:themeColor="background1"/>
              </w:rPr>
              <w:t>Direct (harder</w:t>
            </w:r>
            <w:r w:rsidR="009C3419">
              <w:rPr>
                <w:rFonts w:ascii="Arial" w:hAnsi="Arial" w:cs="Arial"/>
                <w:b w:val="0"/>
                <w:color w:val="FFFFFF" w:themeColor="background1"/>
              </w:rPr>
              <w:t>) email</w:t>
            </w:r>
          </w:p>
        </w:tc>
        <w:tc>
          <w:tcPr>
            <w:tcW w:w="1349" w:type="dxa"/>
            <w:tcBorders>
              <w:bottom w:val="single" w:sz="4" w:space="0" w:color="auto"/>
            </w:tcBorders>
            <w:shd w:val="clear" w:color="auto" w:fill="auto"/>
            <w:hideMark/>
          </w:tcPr>
          <w:p w14:paraId="49100D4B" w14:textId="77777777" w:rsidR="006A0837" w:rsidRDefault="006A0837" w:rsidP="005072EF">
            <w:pPr>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427</w:t>
            </w:r>
          </w:p>
        </w:tc>
        <w:tc>
          <w:tcPr>
            <w:tcW w:w="2482" w:type="dxa"/>
            <w:tcBorders>
              <w:bottom w:val="single" w:sz="4" w:space="0" w:color="auto"/>
            </w:tcBorders>
            <w:shd w:val="clear" w:color="auto" w:fill="auto"/>
            <w:hideMark/>
          </w:tcPr>
          <w:p w14:paraId="07DACA3F" w14:textId="77777777" w:rsidR="006A0837" w:rsidRDefault="006A0837" w:rsidP="005072EF">
            <w:pPr>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46%</w:t>
            </w:r>
          </w:p>
        </w:tc>
        <w:tc>
          <w:tcPr>
            <w:tcW w:w="2815" w:type="dxa"/>
            <w:tcBorders>
              <w:bottom w:val="single" w:sz="4" w:space="0" w:color="auto"/>
              <w:right w:val="single" w:sz="4" w:space="0" w:color="auto"/>
            </w:tcBorders>
            <w:shd w:val="clear" w:color="auto" w:fill="auto"/>
            <w:hideMark/>
          </w:tcPr>
          <w:p w14:paraId="6F8D77C0" w14:textId="77777777" w:rsidR="006A0837" w:rsidRDefault="006A0837" w:rsidP="005072EF">
            <w:pPr>
              <w:spacing w:before="1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color w:val="008000"/>
                <w:sz w:val="28"/>
                <w:szCs w:val="28"/>
                <w:lang w:eastAsia="en-US"/>
              </w:rPr>
              <w:sym w:font="Wingdings 3" w:char="F0A3"/>
            </w:r>
            <w:r>
              <w:rPr>
                <w:rFonts w:ascii="Arial" w:hAnsi="Arial" w:cs="Arial"/>
                <w:lang w:eastAsia="en-US"/>
              </w:rPr>
              <w:t>13%</w:t>
            </w:r>
          </w:p>
        </w:tc>
      </w:tr>
    </w:tbl>
    <w:p w14:paraId="374FC40D" w14:textId="667127FD" w:rsidR="005072EF" w:rsidRDefault="005072EF" w:rsidP="005072EF">
      <w:pPr>
        <w:pStyle w:val="Note"/>
        <w:spacing w:before="120"/>
        <w:rPr>
          <w:rFonts w:eastAsia="Helvetica"/>
        </w:rPr>
      </w:pPr>
      <w:r w:rsidRPr="005072EF">
        <w:rPr>
          <w:rFonts w:eastAsia="Helvetica"/>
        </w:rPr>
        <w:t xml:space="preserve">p&lt;0.005 for </w:t>
      </w:r>
      <w:r w:rsidR="009C3419">
        <w:rPr>
          <w:rFonts w:eastAsia="Helvetica"/>
        </w:rPr>
        <w:t>emails, compared to the control group</w:t>
      </w:r>
    </w:p>
    <w:p w14:paraId="78E60C49" w14:textId="77777777" w:rsidR="006A0837" w:rsidRPr="0004155D" w:rsidRDefault="006A0837" w:rsidP="00D33213">
      <w:pPr>
        <w:pStyle w:val="h4"/>
      </w:pPr>
      <w:r w:rsidRPr="0004155D">
        <w:t xml:space="preserve">Future opportunities </w:t>
      </w:r>
    </w:p>
    <w:p w14:paraId="2C724BC0" w14:textId="0531FB2E" w:rsidR="006A0837" w:rsidRDefault="006A0837" w:rsidP="007A3700">
      <w:pPr>
        <w:rPr>
          <w:rFonts w:eastAsia="Helvetica"/>
        </w:rPr>
      </w:pPr>
      <w:r w:rsidRPr="005C51E9">
        <w:rPr>
          <w:rFonts w:eastAsia="Helvetica"/>
        </w:rPr>
        <w:t xml:space="preserve">Due to the success of the trial, the </w:t>
      </w:r>
      <w:r>
        <w:rPr>
          <w:rFonts w:eastAsia="Helvetica"/>
        </w:rPr>
        <w:t>Australian Taxation Office</w:t>
      </w:r>
      <w:r w:rsidRPr="005C51E9">
        <w:rPr>
          <w:rFonts w:eastAsia="Helvetica"/>
        </w:rPr>
        <w:t xml:space="preserve"> has imple</w:t>
      </w:r>
      <w:r>
        <w:rPr>
          <w:rFonts w:eastAsia="Helvetica"/>
        </w:rPr>
        <w:t>mented the emails into business-</w:t>
      </w:r>
      <w:r w:rsidRPr="005C51E9">
        <w:rPr>
          <w:rFonts w:eastAsia="Helvetica"/>
        </w:rPr>
        <w:t>as</w:t>
      </w:r>
      <w:r>
        <w:rPr>
          <w:rFonts w:eastAsia="Helvetica"/>
        </w:rPr>
        <w:t>-</w:t>
      </w:r>
      <w:r w:rsidRPr="005C51E9">
        <w:rPr>
          <w:rFonts w:eastAsia="Helvetica"/>
        </w:rPr>
        <w:t xml:space="preserve">usual processes. The </w:t>
      </w:r>
      <w:r>
        <w:rPr>
          <w:rFonts w:eastAsia="Helvetica"/>
        </w:rPr>
        <w:t>Australian Taxation Office</w:t>
      </w:r>
      <w:r w:rsidRPr="005C51E9">
        <w:rPr>
          <w:rFonts w:eastAsia="Helvetica"/>
        </w:rPr>
        <w:t xml:space="preserve"> is about to commence a trial with </w:t>
      </w:r>
      <w:r>
        <w:rPr>
          <w:rFonts w:eastAsia="Helvetica"/>
        </w:rPr>
        <w:t>other</w:t>
      </w:r>
      <w:r w:rsidRPr="005C51E9">
        <w:rPr>
          <w:rFonts w:eastAsia="Helvetica"/>
        </w:rPr>
        <w:t xml:space="preserve"> groups on the </w:t>
      </w:r>
      <w:r>
        <w:rPr>
          <w:rFonts w:eastAsia="Helvetica"/>
        </w:rPr>
        <w:t>deferred goods and services tax</w:t>
      </w:r>
      <w:r w:rsidRPr="005C51E9">
        <w:rPr>
          <w:rFonts w:eastAsia="Helvetica"/>
        </w:rPr>
        <w:t xml:space="preserve"> scheme, through the use of emails incorporating behavioural insights principles. </w:t>
      </w:r>
    </w:p>
    <w:p w14:paraId="1A81045D" w14:textId="40AE7153" w:rsidR="006A0837" w:rsidRDefault="006A0837" w:rsidP="004E3FC0">
      <w:pPr>
        <w:spacing w:before="0" w:after="0" w:line="240" w:lineRule="auto"/>
        <w:jc w:val="both"/>
      </w:pPr>
    </w:p>
    <w:p w14:paraId="7F78F0BF" w14:textId="77777777" w:rsidR="004F14F9" w:rsidRPr="006A0837" w:rsidRDefault="004F14F9" w:rsidP="004E3FC0">
      <w:pPr>
        <w:spacing w:before="0" w:after="0" w:line="240" w:lineRule="auto"/>
        <w:jc w:val="both"/>
        <w:rPr>
          <w:rFonts w:ascii="Helvetica" w:eastAsia="Helvetica" w:hAnsi="Helvetica" w:cs="Helvetica"/>
          <w:color w:val="3F3F3F"/>
          <w:sz w:val="4"/>
          <w:szCs w:val="4"/>
        </w:rPr>
        <w:sectPr w:rsidR="004F14F9" w:rsidRPr="006A0837" w:rsidSect="00272E56">
          <w:headerReference w:type="even" r:id="rId97"/>
          <w:headerReference w:type="default" r:id="rId98"/>
          <w:headerReference w:type="first" r:id="rId99"/>
          <w:pgSz w:w="11906" w:h="16838" w:code="9"/>
          <w:pgMar w:top="1474" w:right="1985" w:bottom="1247" w:left="1418" w:header="680" w:footer="680" w:gutter="0"/>
          <w:cols w:space="708"/>
          <w:titlePg/>
          <w:docGrid w:linePitch="360"/>
        </w:sectPr>
      </w:pPr>
    </w:p>
    <w:p w14:paraId="7A4218A5" w14:textId="08F91F5E" w:rsidR="00251049" w:rsidRDefault="004F14F9" w:rsidP="004E3FC0">
      <w:pPr>
        <w:spacing w:line="260" w:lineRule="auto"/>
        <w:ind w:left="567"/>
        <w:jc w:val="both"/>
        <w:rPr>
          <w:rFonts w:ascii="Helvetica" w:eastAsia="Helvetica" w:hAnsi="Helvetica" w:cs="Helvetica"/>
          <w:color w:val="3F3F3F"/>
        </w:rPr>
      </w:pPr>
      <w:r w:rsidRPr="00252756">
        <w:rPr>
          <w:noProof/>
        </w:rPr>
        <w:lastRenderedPageBreak/>
        <w:drawing>
          <wp:inline distT="0" distB="0" distL="0" distR="0" wp14:anchorId="6AE865FC" wp14:editId="06F06152">
            <wp:extent cx="1259280" cy="1258525"/>
            <wp:effectExtent l="0" t="0" r="0" b="0"/>
            <wp:docPr id="20" name="Picture 20"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59280" cy="1258525"/>
                    </a:xfrm>
                    <a:prstGeom prst="rect">
                      <a:avLst/>
                    </a:prstGeom>
                  </pic:spPr>
                </pic:pic>
              </a:graphicData>
            </a:graphic>
          </wp:inline>
        </w:drawing>
      </w:r>
      <w:r w:rsidR="00FF1508">
        <w:rPr>
          <w:rFonts w:ascii="Helvetica" w:eastAsia="Helvetica" w:hAnsi="Helvetica" w:cs="Helvetica"/>
          <w:color w:val="3F3F3F"/>
        </w:rPr>
        <w:br w:type="textWrapping" w:clear="all"/>
      </w:r>
    </w:p>
    <w:p w14:paraId="54B87284" w14:textId="3949CE06" w:rsidR="00251049" w:rsidRDefault="00251049" w:rsidP="000C7425">
      <w:pPr>
        <w:pStyle w:val="Heading2"/>
      </w:pPr>
      <w:bookmarkStart w:id="79" w:name="_Toc515874445"/>
      <w:bookmarkStart w:id="80" w:name="_Toc515874516"/>
      <w:bookmarkStart w:id="81" w:name="_Toc515874686"/>
      <w:bookmarkStart w:id="82" w:name="_Toc516827457"/>
      <w:r>
        <w:t xml:space="preserve">Fostering diversity and inclusion </w:t>
      </w:r>
      <w:r w:rsidR="00BA4D4B">
        <w:t>in</w:t>
      </w:r>
      <w:r>
        <w:t xml:space="preserve"> Australian</w:t>
      </w:r>
      <w:r w:rsidR="00BA4D4B">
        <w:t xml:space="preserve"> workplaces</w:t>
      </w:r>
      <w:bookmarkEnd w:id="79"/>
      <w:bookmarkEnd w:id="80"/>
      <w:bookmarkEnd w:id="81"/>
      <w:bookmarkEnd w:id="82"/>
    </w:p>
    <w:p w14:paraId="10E68E62" w14:textId="76947680" w:rsidR="00251049" w:rsidRDefault="00251049" w:rsidP="004E3FC0">
      <w:pPr>
        <w:spacing w:after="0" w:line="240" w:lineRule="auto"/>
        <w:jc w:val="both"/>
        <w:rPr>
          <w:rFonts w:ascii="Helvetica" w:eastAsia="Helvetica" w:hAnsi="Helvetica" w:cs="Helvetica"/>
          <w:color w:val="3F3F3F"/>
        </w:rPr>
      </w:pPr>
    </w:p>
    <w:tbl>
      <w:tblPr>
        <w:tblStyle w:val="TableGrid"/>
        <w:tblpPr w:leftFromText="180" w:rightFromText="180" w:vertAnchor="page" w:horzAnchor="margin" w:tblpY="6080"/>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Investigating unconscious bias in Australian Public Service recruitment"/>
        <w:tblDescription w:val="Text box description of a trial to investigate unconscious bias in the Australian Public Service. "/>
      </w:tblPr>
      <w:tblGrid>
        <w:gridCol w:w="9162"/>
      </w:tblGrid>
      <w:tr w:rsidR="00785431" w14:paraId="193E4E05" w14:textId="77777777" w:rsidTr="001B5DD4">
        <w:trPr>
          <w:trHeight w:val="5804"/>
        </w:trPr>
        <w:tc>
          <w:tcPr>
            <w:tcW w:w="9162" w:type="dxa"/>
            <w:tcBorders>
              <w:bottom w:val="nil"/>
            </w:tcBorders>
            <w:shd w:val="clear" w:color="auto" w:fill="D9D9D9" w:themeFill="background1" w:themeFillShade="D9"/>
          </w:tcPr>
          <w:p w14:paraId="008CF728" w14:textId="77777777" w:rsidR="00785431" w:rsidRPr="00C47F20" w:rsidRDefault="00785431" w:rsidP="001B5DD4">
            <w:pPr>
              <w:spacing w:after="240" w:line="320" w:lineRule="auto"/>
              <w:rPr>
                <w:rFonts w:ascii="Helvetica" w:eastAsia="Helvetica" w:hAnsi="Helvetica" w:cs="Helvetica"/>
                <w:color w:val="3F3F3F"/>
                <w:sz w:val="24"/>
              </w:rPr>
            </w:pPr>
            <w:bookmarkStart w:id="83" w:name="_Toc515874446"/>
            <w:bookmarkStart w:id="84" w:name="_Toc515874517"/>
            <w:bookmarkStart w:id="85" w:name="_Toc515874687"/>
            <w:r w:rsidRPr="00C47F20">
              <w:rPr>
                <w:rFonts w:ascii="Helvetica" w:eastAsia="Helvetica" w:hAnsi="Helvetica" w:cs="Helvetica"/>
                <w:color w:val="3F3F3F"/>
                <w:sz w:val="24"/>
              </w:rPr>
              <w:lastRenderedPageBreak/>
              <w:t xml:space="preserve">Addressing the gender imbalance across the federal public service is the key priority under the Australian Public Service Gender Equality Strategy 2016–19. </w:t>
            </w:r>
          </w:p>
          <w:p w14:paraId="3AF25D1F" w14:textId="77777777" w:rsidR="00785431" w:rsidRPr="00C47F20" w:rsidRDefault="00785431"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 xml:space="preserve">We conducted a randomised controlled trial, inviting senior public servants to shortlist applications for a hypothetical position. The trial aimed to determine whether de identifying an application (removing a candidate’s name and personal information) changed the way it was assessed. </w:t>
            </w:r>
          </w:p>
          <w:p w14:paraId="7EEB52D0" w14:textId="77777777" w:rsidR="00785431" w:rsidRPr="00C47F20" w:rsidRDefault="00785431"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We found a surprising effect; overall, participants discriminated in favour of female and minority candidates by a small but statistically significant amount.</w:t>
            </w:r>
          </w:p>
          <w:p w14:paraId="24D4F817" w14:textId="77777777" w:rsidR="00785431" w:rsidRPr="004E3FC0" w:rsidRDefault="00785431"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The trial demonstrates the value of testing interventions before introducing them at scale. The trial also highlights more exploratory work is needed to understand the recruitment process and broader performance development of employees and how we can reduce the biases affecting the diversity of the public workforce.</w:t>
            </w:r>
          </w:p>
        </w:tc>
      </w:tr>
    </w:tbl>
    <w:bookmarkEnd w:id="83"/>
    <w:bookmarkEnd w:id="84"/>
    <w:bookmarkEnd w:id="85"/>
    <w:p w14:paraId="34350F09" w14:textId="1317FA49" w:rsidR="00251049" w:rsidRDefault="00785431" w:rsidP="00785431">
      <w:pPr>
        <w:pStyle w:val="Heading3"/>
        <w:framePr w:wrap="around"/>
        <w:spacing w:after="240"/>
        <w:ind w:right="-13"/>
        <w:rPr>
          <w:bCs/>
        </w:rPr>
      </w:pPr>
      <w:r w:rsidRPr="00785431">
        <w:rPr>
          <w:bCs/>
        </w:rPr>
        <w:t>Investigating unconscious bias in Australian Public Service recruitment</w:t>
      </w:r>
    </w:p>
    <w:p w14:paraId="1805D078" w14:textId="2630B429" w:rsidR="001B5DD4" w:rsidRPr="004E3FC0" w:rsidRDefault="001B5DD4" w:rsidP="001B5DD4">
      <w:pPr>
        <w:pStyle w:val="h4"/>
      </w:pPr>
      <w:r w:rsidRPr="004E3FC0">
        <w:t>Abstract</w:t>
      </w:r>
    </w:p>
    <w:p w14:paraId="19E987FB" w14:textId="3637086B" w:rsidR="001B5DD4" w:rsidRPr="001B5DD4" w:rsidRDefault="001B5DD4" w:rsidP="001B5DD4"/>
    <w:p w14:paraId="220C9D97" w14:textId="153DDB4B" w:rsidR="00EB6B12" w:rsidRDefault="00EB6B12" w:rsidP="00EB6B12">
      <w:pPr>
        <w:pStyle w:val="h4"/>
      </w:pPr>
      <w:r w:rsidRPr="00573712">
        <w:t>Project by</w:t>
      </w:r>
    </w:p>
    <w:p w14:paraId="59066FC3" w14:textId="11126744" w:rsidR="00EB6B12" w:rsidRDefault="00EB6B12" w:rsidP="00EB6B12"/>
    <w:p w14:paraId="6664A689" w14:textId="0A105EC4" w:rsidR="00EB6B12" w:rsidRDefault="00EB6B12" w:rsidP="00EB6B12">
      <w:pPr>
        <w:keepLines w:val="0"/>
        <w:spacing w:before="0" w:after="0" w:line="240" w:lineRule="auto"/>
        <w:rPr>
          <w:rFonts w:ascii="Helvetica" w:eastAsia="Helvetica" w:hAnsi="Helvetica" w:cs="Helvetica"/>
          <w:b/>
          <w:color w:val="117479"/>
          <w:sz w:val="36"/>
        </w:rPr>
      </w:pPr>
      <w:r w:rsidRPr="000B0B98">
        <w:rPr>
          <w:noProof/>
        </w:rPr>
        <w:drawing>
          <wp:anchor distT="0" distB="0" distL="114300" distR="114300" simplePos="0" relativeHeight="251820544" behindDoc="0" locked="0" layoutInCell="1" allowOverlap="1" wp14:anchorId="66FA77BC" wp14:editId="27725E43">
            <wp:simplePos x="0" y="0"/>
            <wp:positionH relativeFrom="margin">
              <wp:align>center</wp:align>
            </wp:positionH>
            <wp:positionV relativeFrom="paragraph">
              <wp:posOffset>228822</wp:posOffset>
            </wp:positionV>
            <wp:extent cx="1910715" cy="499110"/>
            <wp:effectExtent l="0" t="0" r="0" b="0"/>
            <wp:wrapNone/>
            <wp:docPr id="47" name="Picture 47"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br w:type="page"/>
      </w:r>
    </w:p>
    <w:p w14:paraId="379E9105" w14:textId="391143D9" w:rsidR="00251049" w:rsidRPr="0004155D" w:rsidRDefault="00251049" w:rsidP="00D33213">
      <w:pPr>
        <w:pStyle w:val="h4"/>
      </w:pPr>
      <w:r w:rsidRPr="0004155D">
        <w:lastRenderedPageBreak/>
        <w:t>The policy problem</w:t>
      </w:r>
    </w:p>
    <w:p w14:paraId="20230111" w14:textId="749206E6" w:rsidR="009525D0" w:rsidRDefault="009525D0" w:rsidP="007A3700">
      <w:pPr>
        <w:rPr>
          <w:rFonts w:eastAsia="Helvetica"/>
        </w:rPr>
      </w:pPr>
      <w:r>
        <w:rPr>
          <w:rFonts w:eastAsia="Helvetica"/>
        </w:rPr>
        <w:t>Women represent almost 50 per cent of the Australian workforce but remain underrepresented in management and executive level positions. This issue is experienced in many areas of the Australian Public Service (APS). In 2016, women represented 59 per cent of APS employees, but only 42.9 per cent hold senior executive positions.</w:t>
      </w:r>
    </w:p>
    <w:p w14:paraId="79ECB0F4" w14:textId="77777777" w:rsidR="009525D0" w:rsidRDefault="009525D0" w:rsidP="007A3700">
      <w:pPr>
        <w:rPr>
          <w:rFonts w:eastAsia="Helvetica"/>
        </w:rPr>
      </w:pPr>
      <w:r>
        <w:rPr>
          <w:rFonts w:eastAsia="Helvetica"/>
        </w:rPr>
        <w:t>A range of factors may influence these figures, including discrimination in hiring. Discrimination can be especially difficult to overcome if it is the result of unconscious biases that are often so internalised that people are unaware these biases are affecting their decisions.</w:t>
      </w:r>
      <w:r>
        <w:rPr>
          <w:rStyle w:val="FootnoteReference"/>
        </w:rPr>
        <w:footnoteReference w:id="47"/>
      </w:r>
    </w:p>
    <w:p w14:paraId="710B949B" w14:textId="77777777" w:rsidR="00251049" w:rsidRPr="0004155D" w:rsidRDefault="00251049" w:rsidP="00D33213">
      <w:pPr>
        <w:pStyle w:val="h4"/>
      </w:pPr>
      <w:r w:rsidRPr="0004155D">
        <w:t>Our findings and learnings</w:t>
      </w:r>
    </w:p>
    <w:p w14:paraId="36F16781" w14:textId="77777777" w:rsidR="009525D0" w:rsidRDefault="009525D0" w:rsidP="007A3700">
      <w:pPr>
        <w:rPr>
          <w:rFonts w:eastAsia="Helvetica"/>
        </w:rPr>
      </w:pPr>
      <w:r>
        <w:rPr>
          <w:rFonts w:eastAsia="Helvetica"/>
        </w:rPr>
        <w:t>This study examined whether women and minorities were being discriminated against in the shortlisting stage of a recruitment process for senior positions in the APS.</w:t>
      </w:r>
    </w:p>
    <w:p w14:paraId="661C81F3" w14:textId="77777777" w:rsidR="009525D0" w:rsidRDefault="009525D0" w:rsidP="007A3700">
      <w:pPr>
        <w:rPr>
          <w:rFonts w:eastAsia="Helvetica"/>
        </w:rPr>
      </w:pPr>
      <w:r>
        <w:rPr>
          <w:rFonts w:eastAsia="Helvetica"/>
        </w:rPr>
        <w:t>Over 2,100 public servants from 14 agencies participated in the trial. Participants reviewed 16 fictitious curriculum vitae (CVs) against a job description for a hypothetical role in their agency and created a shortlist of the top five candidates.</w:t>
      </w:r>
    </w:p>
    <w:p w14:paraId="3B5DE724" w14:textId="77777777" w:rsidR="000933C6" w:rsidRDefault="000933C6"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0882328F" w14:textId="77777777" w:rsidTr="004F14F9">
        <w:trPr>
          <w:trHeight w:val="1"/>
        </w:trPr>
        <w:tc>
          <w:tcPr>
            <w:tcW w:w="5000" w:type="pct"/>
            <w:shd w:val="clear" w:color="auto" w:fill="F2F2F2"/>
            <w:tcMar>
              <w:left w:w="108" w:type="dxa"/>
              <w:right w:w="108" w:type="dxa"/>
            </w:tcMar>
          </w:tcPr>
          <w:p w14:paraId="314E78AF" w14:textId="73CBDF99" w:rsidR="00251049" w:rsidRDefault="004F14F9"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8816" behindDoc="1" locked="0" layoutInCell="1" allowOverlap="1" wp14:anchorId="33FBEEF6" wp14:editId="422F6AEF">
                  <wp:simplePos x="0" y="0"/>
                  <wp:positionH relativeFrom="margin">
                    <wp:posOffset>8477</wp:posOffset>
                  </wp:positionH>
                  <wp:positionV relativeFrom="paragraph">
                    <wp:posOffset>38903</wp:posOffset>
                  </wp:positionV>
                  <wp:extent cx="370800" cy="370800"/>
                  <wp:effectExtent l="0" t="0" r="0" b="3175"/>
                  <wp:wrapTight wrapText="bothSides">
                    <wp:wrapPolygon edited="0">
                      <wp:start x="0" y="0"/>
                      <wp:lineTo x="0" y="20007"/>
                      <wp:lineTo x="20007" y="20007"/>
                      <wp:lineTo x="20007" y="0"/>
                      <wp:lineTo x="0" y="0"/>
                    </wp:wrapPolygon>
                  </wp:wrapTight>
                  <wp:docPr id="761" name="Picture 761"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r w:rsidR="00EF7FD5">
              <w:rPr>
                <w:rFonts w:ascii="Helvetica" w:eastAsia="Helvetica" w:hAnsi="Helvetica" w:cs="Helvetica"/>
                <w:b/>
                <w:color w:val="142E3B"/>
                <w:sz w:val="24"/>
              </w:rPr>
              <w:t>s: C</w:t>
            </w:r>
            <w:r w:rsidR="00251049">
              <w:rPr>
                <w:rFonts w:ascii="Helvetica" w:eastAsia="Helvetica" w:hAnsi="Helvetica" w:cs="Helvetica"/>
                <w:b/>
                <w:color w:val="142E3B"/>
                <w:sz w:val="24"/>
              </w:rPr>
              <w:t>ommon biases affecting recruitment</w:t>
            </w:r>
          </w:p>
          <w:p w14:paraId="75495308" w14:textId="77777777" w:rsidR="00EF7FD5" w:rsidRDefault="00EF7FD5" w:rsidP="007A3700">
            <w:pPr>
              <w:rPr>
                <w:rFonts w:eastAsia="Helvetica"/>
              </w:rPr>
            </w:pPr>
            <w:r>
              <w:rPr>
                <w:rFonts w:eastAsia="Helvetica"/>
                <w:b/>
                <w:color w:val="auto"/>
              </w:rPr>
              <w:t>Affinity/Ingroup bias</w:t>
            </w:r>
            <w:r>
              <w:rPr>
                <w:rFonts w:eastAsia="Helvetica"/>
                <w:color w:val="auto"/>
              </w:rPr>
              <w:t xml:space="preserve"> </w:t>
            </w:r>
            <w:r>
              <w:rPr>
                <w:rFonts w:eastAsia="Helvetica"/>
              </w:rPr>
              <w:t>may result in recruiters prioritising candidates who are similar to them or someone they know and with whom they enjoy working.</w:t>
            </w:r>
            <w:r>
              <w:rPr>
                <w:rStyle w:val="FootnoteReference"/>
                <w:rFonts w:eastAsia="Helvetica" w:cs="Helvetica"/>
                <w:color w:val="3F3F3F"/>
              </w:rPr>
              <w:footnoteReference w:id="48"/>
            </w:r>
          </w:p>
          <w:p w14:paraId="19035252" w14:textId="5DD7092E" w:rsidR="00EF7FD5" w:rsidRDefault="00EF7FD5" w:rsidP="007A3700">
            <w:pPr>
              <w:rPr>
                <w:rFonts w:eastAsia="Helvetica"/>
              </w:rPr>
            </w:pPr>
            <w:r>
              <w:rPr>
                <w:rFonts w:eastAsia="Helvetica"/>
                <w:b/>
                <w:color w:val="auto"/>
              </w:rPr>
              <w:t>Confirmation bias</w:t>
            </w:r>
            <w:r>
              <w:rPr>
                <w:rFonts w:eastAsia="Helvetica"/>
                <w:color w:val="auto"/>
              </w:rPr>
              <w:t xml:space="preserve"> </w:t>
            </w:r>
            <w:r>
              <w:rPr>
                <w:rFonts w:eastAsia="Helvetica"/>
              </w:rPr>
              <w:t xml:space="preserve">refers to the tendency to focus on information </w:t>
            </w:r>
            <w:r w:rsidR="00CA20BC">
              <w:rPr>
                <w:rFonts w:eastAsia="Helvetica"/>
              </w:rPr>
              <w:t>confirming</w:t>
            </w:r>
            <w:r>
              <w:rPr>
                <w:rFonts w:eastAsia="Helvetica"/>
              </w:rPr>
              <w:t xml:space="preserve"> initial impressions of a candidate.</w:t>
            </w:r>
            <w:r>
              <w:rPr>
                <w:rStyle w:val="FootnoteReference"/>
                <w:rFonts w:eastAsia="Helvetica" w:cs="Helvetica"/>
                <w:color w:val="3F3F3F"/>
              </w:rPr>
              <w:footnoteReference w:id="49"/>
            </w:r>
          </w:p>
          <w:p w14:paraId="2F79C35F" w14:textId="77777777" w:rsidR="00EF7FD5" w:rsidRDefault="00EF7FD5" w:rsidP="007A3700">
            <w:pPr>
              <w:rPr>
                <w:rFonts w:eastAsia="Helvetica"/>
              </w:rPr>
            </w:pPr>
            <w:r>
              <w:rPr>
                <w:rFonts w:eastAsia="Helvetica"/>
                <w:color w:val="auto"/>
              </w:rPr>
              <w:t>The</w:t>
            </w:r>
            <w:r>
              <w:rPr>
                <w:rFonts w:eastAsia="Helvetica"/>
                <w:b/>
                <w:color w:val="auto"/>
              </w:rPr>
              <w:t xml:space="preserve"> halo effect</w:t>
            </w:r>
            <w:r>
              <w:rPr>
                <w:rFonts w:eastAsia="Helvetica"/>
                <w:color w:val="auto"/>
              </w:rPr>
              <w:t xml:space="preserve"> </w:t>
            </w:r>
            <w:r>
              <w:rPr>
                <w:rFonts w:eastAsia="Helvetica"/>
              </w:rPr>
              <w:t>may cause recruiters to focus on salient pieces of information that may affect their perceptions of other elements in a candidate’s application.</w:t>
            </w:r>
            <w:r>
              <w:rPr>
                <w:rStyle w:val="FootnoteReference"/>
                <w:rFonts w:eastAsia="Helvetica" w:cs="Helvetica"/>
                <w:color w:val="3F3F3F"/>
              </w:rPr>
              <w:footnoteReference w:id="50"/>
            </w:r>
          </w:p>
          <w:p w14:paraId="043BE30E" w14:textId="73FD8375" w:rsidR="00251049" w:rsidRPr="00EF7FD5" w:rsidRDefault="00EF7FD5" w:rsidP="007A3700">
            <w:pPr>
              <w:rPr>
                <w:rFonts w:ascii="Times New Roman" w:eastAsiaTheme="minorHAnsi" w:hAnsi="Times New Roman"/>
                <w:color w:val="auto"/>
                <w:sz w:val="24"/>
                <w:szCs w:val="24"/>
              </w:rPr>
            </w:pPr>
            <w:r>
              <w:rPr>
                <w:rFonts w:eastAsia="Helvetica"/>
                <w:b/>
                <w:color w:val="auto"/>
              </w:rPr>
              <w:t>Status quo bias</w:t>
            </w:r>
            <w:r>
              <w:rPr>
                <w:rFonts w:eastAsia="Helvetica"/>
                <w:color w:val="auto"/>
              </w:rPr>
              <w:t xml:space="preserve"> </w:t>
            </w:r>
            <w:r>
              <w:rPr>
                <w:rFonts w:eastAsia="Helvetica"/>
              </w:rPr>
              <w:t>can occur when recruiters choose the ‘safer’ option (i.e., to recruit a candidate who is similar to previously hired candidates) rather than the riskier option (i.e., to recruit a candidate with different characteristics and/or a different background).</w:t>
            </w:r>
            <w:r>
              <w:rPr>
                <w:rStyle w:val="FootnoteReference"/>
                <w:rFonts w:eastAsia="Helvetica" w:cs="Helvetica"/>
                <w:color w:val="3F3F3F"/>
              </w:rPr>
              <w:footnoteReference w:id="51"/>
            </w:r>
            <w:r>
              <w:rPr>
                <w:rFonts w:ascii="Times New Roman" w:eastAsiaTheme="minorHAnsi" w:hAnsi="Times New Roman"/>
                <w:color w:val="auto"/>
                <w:sz w:val="24"/>
                <w:szCs w:val="24"/>
              </w:rPr>
              <w:t xml:space="preserve"> </w:t>
            </w:r>
          </w:p>
        </w:tc>
      </w:tr>
    </w:tbl>
    <w:p w14:paraId="57C1FE91" w14:textId="77777777" w:rsidR="000933C6" w:rsidRDefault="000933C6" w:rsidP="004E3FC0">
      <w:pPr>
        <w:jc w:val="both"/>
        <w:rPr>
          <w:rFonts w:eastAsia="Helvetica"/>
        </w:rPr>
      </w:pPr>
    </w:p>
    <w:p w14:paraId="6CDC650E" w14:textId="77777777" w:rsidR="009525D0" w:rsidRDefault="009525D0" w:rsidP="007A3700">
      <w:pPr>
        <w:rPr>
          <w:rFonts w:eastAsia="Helvetica"/>
        </w:rPr>
      </w:pPr>
      <w:r>
        <w:rPr>
          <w:rFonts w:eastAsia="Helvetica"/>
        </w:rPr>
        <w:t xml:space="preserve">Participants were randomly allocated to one of three groups, each receiving the following type of CV: </w:t>
      </w:r>
    </w:p>
    <w:p w14:paraId="5E1DC4E4" w14:textId="13E25156" w:rsidR="009525D0" w:rsidRPr="001318C5" w:rsidRDefault="009525D0" w:rsidP="003A373A">
      <w:pPr>
        <w:numPr>
          <w:ilvl w:val="0"/>
          <w:numId w:val="15"/>
        </w:numPr>
        <w:tabs>
          <w:tab w:val="left" w:pos="360"/>
        </w:tabs>
        <w:spacing w:line="260" w:lineRule="auto"/>
        <w:ind w:left="360" w:hanging="360"/>
        <w:rPr>
          <w:rFonts w:eastAsia="Helvetica"/>
        </w:rPr>
      </w:pPr>
      <w:r>
        <w:rPr>
          <w:rFonts w:ascii="Helvetica" w:eastAsia="Helvetica" w:hAnsi="Helvetica" w:cs="Helvetica"/>
          <w:color w:val="3F3F3F"/>
        </w:rPr>
        <w:t xml:space="preserve">Control Group 1: Standard form CVs with names of applicants visible </w:t>
      </w:r>
    </w:p>
    <w:p w14:paraId="58450C00" w14:textId="4E1E03C1" w:rsidR="009525D0" w:rsidRDefault="009525D0" w:rsidP="003A373A">
      <w:pPr>
        <w:numPr>
          <w:ilvl w:val="0"/>
          <w:numId w:val="15"/>
        </w:numPr>
        <w:tabs>
          <w:tab w:val="left" w:pos="360"/>
        </w:tabs>
        <w:spacing w:line="260" w:lineRule="auto"/>
        <w:ind w:left="360" w:hanging="360"/>
        <w:rPr>
          <w:rFonts w:eastAsia="Helvetica"/>
        </w:rPr>
      </w:pPr>
      <w:r>
        <w:rPr>
          <w:rFonts w:ascii="Helvetica" w:eastAsia="Helvetica" w:hAnsi="Helvetica" w:cs="Helvetica"/>
          <w:color w:val="3F3F3F"/>
        </w:rPr>
        <w:t>Control Group 2: Same as the CVs for Control Group 1, with the applicant</w:t>
      </w:r>
      <w:r w:rsidR="009C245D">
        <w:rPr>
          <w:rFonts w:ascii="Helvetica" w:eastAsia="Helvetica" w:hAnsi="Helvetica" w:cs="Helvetica"/>
          <w:color w:val="3F3F3F"/>
        </w:rPr>
        <w:t>’</w:t>
      </w:r>
      <w:r>
        <w:rPr>
          <w:rFonts w:ascii="Helvetica" w:eastAsia="Helvetica" w:hAnsi="Helvetica" w:cs="Helvetica"/>
          <w:color w:val="3F3F3F"/>
        </w:rPr>
        <w:t xml:space="preserve">s name being switched to a name of the opposite gender </w:t>
      </w:r>
    </w:p>
    <w:p w14:paraId="14FC1AB9" w14:textId="6B91ED2F" w:rsidR="009525D0" w:rsidRPr="009525D0" w:rsidRDefault="009525D0" w:rsidP="003A373A">
      <w:pPr>
        <w:numPr>
          <w:ilvl w:val="0"/>
          <w:numId w:val="15"/>
        </w:numPr>
        <w:tabs>
          <w:tab w:val="left" w:pos="360"/>
        </w:tabs>
        <w:spacing w:line="260" w:lineRule="auto"/>
        <w:ind w:left="360" w:hanging="360"/>
        <w:rPr>
          <w:rFonts w:eastAsia="Helvetica"/>
        </w:rPr>
      </w:pPr>
      <w:r w:rsidRPr="009525D0">
        <w:rPr>
          <w:rFonts w:ascii="Helvetica" w:eastAsia="Helvetica" w:hAnsi="Helvetica" w:cs="Helvetica"/>
          <w:color w:val="3F3F3F"/>
        </w:rPr>
        <w:t>Treatment Group: De-identified form.</w:t>
      </w:r>
    </w:p>
    <w:p w14:paraId="316F75B8" w14:textId="47D4105F" w:rsidR="009525D0" w:rsidRPr="009525D0" w:rsidRDefault="009525D0" w:rsidP="007A3700">
      <w:pPr>
        <w:rPr>
          <w:rFonts w:eastAsia="Helvetica"/>
        </w:rPr>
      </w:pPr>
      <w:r w:rsidRPr="009525D0">
        <w:rPr>
          <w:rFonts w:eastAsia="Helvetica"/>
        </w:rPr>
        <w:lastRenderedPageBreak/>
        <w:t>To test for minority bias, three minority-sounding names associated with specific ethnic minorities were included in each control group. One candidate in each of the control groups and the treatment group was identified as being of Indigenous or Torres Strait Islander descent through a</w:t>
      </w:r>
      <w:r>
        <w:rPr>
          <w:rFonts w:eastAsia="Helvetica"/>
        </w:rPr>
        <w:t xml:space="preserve"> checkbox at the top of the CV.</w:t>
      </w:r>
    </w:p>
    <w:p w14:paraId="1C03E6DE" w14:textId="1070841C" w:rsidR="009525D0" w:rsidRPr="009525D0" w:rsidRDefault="009525D0" w:rsidP="007A3700">
      <w:pPr>
        <w:rPr>
          <w:rFonts w:eastAsia="Helvetica"/>
        </w:rPr>
      </w:pPr>
      <w:r w:rsidRPr="009525D0">
        <w:rPr>
          <w:rFonts w:eastAsia="Helvetica"/>
        </w:rPr>
        <w:t xml:space="preserve">The participants were aware their behaviours were being observed but were not aware the study sought to explore the effects of de-identification. </w:t>
      </w:r>
    </w:p>
    <w:p w14:paraId="553D6E7F" w14:textId="758EFAF7" w:rsidR="00251049" w:rsidRDefault="009525D0" w:rsidP="007A3700">
      <w:pPr>
        <w:rPr>
          <w:rFonts w:ascii="Helvetica" w:eastAsia="Helvetica" w:hAnsi="Helvetica" w:cs="Helvetica"/>
          <w:color w:val="3F3F3F"/>
        </w:rPr>
      </w:pPr>
      <w:r w:rsidRPr="009525D0">
        <w:rPr>
          <w:rFonts w:eastAsia="Helvetica"/>
        </w:rPr>
        <w:t>We found participants engaged in positive discrimination, favouring female and minority candidates. Specifically, participants were 2.9 per cent more likely to shortlist female candidates and 3.2 per cent less likely to shortlist male applicants, compared to when these applications were de-identified.</w:t>
      </w:r>
    </w:p>
    <w:p w14:paraId="0DDA3E40" w14:textId="3AF350DD" w:rsidR="00251049" w:rsidRPr="00016AA0" w:rsidRDefault="00016AA0" w:rsidP="004E3FC0">
      <w:pPr>
        <w:pStyle w:val="Caption"/>
        <w:jc w:val="both"/>
        <w:rPr>
          <w:rFonts w:ascii="Helvetica" w:eastAsia="Helvetica" w:hAnsi="Helvetica" w:cs="Helvetica"/>
          <w:color w:val="428F9A"/>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20</w:t>
      </w:r>
      <w:r w:rsidR="003035A6">
        <w:rPr>
          <w:noProof/>
        </w:rPr>
        <w:fldChar w:fldCharType="end"/>
      </w:r>
      <w:r>
        <w:t xml:space="preserve">: </w:t>
      </w:r>
      <w:r w:rsidR="00251049" w:rsidRPr="00016AA0">
        <w:rPr>
          <w:rFonts w:ascii="Helvetica" w:eastAsia="Helvetica" w:hAnsi="Helvetica" w:cs="Helvetica"/>
          <w:color w:val="428F9A"/>
        </w:rPr>
        <w:t>Likelihood of shortlisting, based on candidate characteristics</w:t>
      </w:r>
    </w:p>
    <w:p w14:paraId="0892D2AD" w14:textId="34C9930B" w:rsidR="00251049" w:rsidRDefault="00E702A3" w:rsidP="004E3FC0">
      <w:pPr>
        <w:spacing w:line="260" w:lineRule="auto"/>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341AD441" wp14:editId="50C4EB4D">
            <wp:extent cx="5384800" cy="2082800"/>
            <wp:effectExtent l="0" t="0" r="0" b="0"/>
            <wp:docPr id="134" name="Picture 134" descr="We found participants engaged in positive discrimination, favouring female and minority candidates. Specifically, participants were 2.9 per cent more likely to shortlist female candidates and 3.2 per cent less likely to shortlist male applicants, compared to when these applications were de-identified (p&lt;0.01)."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Fig20.png"/>
                    <pic:cNvPicPr/>
                  </pic:nvPicPr>
                  <pic:blipFill>
                    <a:blip r:embed="rId101">
                      <a:extLst>
                        <a:ext uri="{28A0092B-C50C-407E-A947-70E740481C1C}">
                          <a14:useLocalDpi xmlns:a14="http://schemas.microsoft.com/office/drawing/2010/main" val="0"/>
                        </a:ext>
                      </a:extLst>
                    </a:blip>
                    <a:stretch>
                      <a:fillRect/>
                    </a:stretch>
                  </pic:blipFill>
                  <pic:spPr>
                    <a:xfrm>
                      <a:off x="0" y="0"/>
                      <a:ext cx="5384800" cy="2082800"/>
                    </a:xfrm>
                    <a:prstGeom prst="rect">
                      <a:avLst/>
                    </a:prstGeom>
                  </pic:spPr>
                </pic:pic>
              </a:graphicData>
            </a:graphic>
          </wp:inline>
        </w:drawing>
      </w:r>
    </w:p>
    <w:p w14:paraId="3EDB632B" w14:textId="77777777" w:rsidR="009525D0" w:rsidRDefault="009525D0" w:rsidP="007A3700">
      <w:pPr>
        <w:rPr>
          <w:rFonts w:eastAsia="Helvetica"/>
        </w:rPr>
      </w:pPr>
      <w:r>
        <w:rPr>
          <w:rFonts w:eastAsia="Helvetica"/>
        </w:rPr>
        <w:t>Two potential limitations of the study were identified and addressed:</w:t>
      </w:r>
    </w:p>
    <w:p w14:paraId="01784D8E" w14:textId="59A70711" w:rsidR="009525D0" w:rsidRDefault="009525D0" w:rsidP="003A373A">
      <w:pPr>
        <w:numPr>
          <w:ilvl w:val="0"/>
          <w:numId w:val="16"/>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Participation in the study was voluntary. This may have attracted participants who were more likely to support diversity and gender equality. To address this issue, we surveyed a broad set of public servants at similar seniority levels on their views on a range of issues. The survey results revealed both groups held similar attitudes about diversity and gender equality.</w:t>
      </w:r>
    </w:p>
    <w:p w14:paraId="7F43E765" w14:textId="77777777" w:rsidR="009525D0" w:rsidRDefault="009525D0" w:rsidP="003A373A">
      <w:pPr>
        <w:numPr>
          <w:ilvl w:val="0"/>
          <w:numId w:val="16"/>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The trial was conducted as a framed field experiment in which individuals knew they were part of a study and that their behaviours were being observed. Consequently, the participants may have behaved differently to how they would in a real recruitment situation. Additional survey questions were administered in an attempt to identify any participants who had guessed the actual purpose of the trial. When these few participants were excluded from the analysis, the results remained unchanged.</w:t>
      </w:r>
    </w:p>
    <w:p w14:paraId="42C16C25" w14:textId="7DA146F2" w:rsidR="00251049" w:rsidRPr="0004155D" w:rsidRDefault="00251049" w:rsidP="00D33213">
      <w:pPr>
        <w:pStyle w:val="h4"/>
      </w:pPr>
      <w:r w:rsidRPr="0004155D">
        <w:t>Future opportunities</w:t>
      </w:r>
    </w:p>
    <w:p w14:paraId="4A20F39A" w14:textId="77777777" w:rsidR="009525D0" w:rsidRDefault="009525D0" w:rsidP="007A3700">
      <w:pPr>
        <w:rPr>
          <w:rFonts w:eastAsia="Helvetica"/>
        </w:rPr>
      </w:pPr>
      <w:r>
        <w:rPr>
          <w:rFonts w:eastAsia="Helvetica"/>
        </w:rPr>
        <w:t xml:space="preserve">A number of APS agencies have experimented with ‘blind’ job application processes and there is increasing interest to improve the diversity of candidates attracted to and selected for APS roles. </w:t>
      </w:r>
    </w:p>
    <w:p w14:paraId="6D2E257F" w14:textId="52D1EF4D" w:rsidR="009525D0" w:rsidRDefault="009525D0" w:rsidP="007A3700">
      <w:pPr>
        <w:rPr>
          <w:rFonts w:eastAsia="Helvetica"/>
        </w:rPr>
      </w:pPr>
      <w:r>
        <w:rPr>
          <w:rFonts w:eastAsia="Helvetica"/>
        </w:rPr>
        <w:t>This study focused on the shortlisting stage of recruitment; however, this represents one small piece of the diversity puzzle. Other stages of recruitment should be examined, such as how positions are advertised, what information is requested from applicants, how interviews are conducted and how hiring panels are run. We also need to examine factors influencing career trajectories once candidates are hired, including opportunities for professional development and talent management.</w:t>
      </w:r>
    </w:p>
    <w:p w14:paraId="7DA2FA24" w14:textId="35FDFA41" w:rsidR="00016AA0" w:rsidRDefault="009525D0" w:rsidP="00D25C08">
      <w:pPr>
        <w:rPr>
          <w:rFonts w:eastAsia="Helvetica"/>
          <w:sz w:val="4"/>
          <w:szCs w:val="4"/>
        </w:rPr>
      </w:pPr>
      <w:r>
        <w:rPr>
          <w:rFonts w:eastAsia="Helvetica"/>
        </w:rPr>
        <w:t xml:space="preserve">For further information about the trial, read the full report </w:t>
      </w:r>
      <w:r w:rsidR="008E37A7">
        <w:rPr>
          <w:rFonts w:eastAsia="Helvetica"/>
        </w:rPr>
        <w:t xml:space="preserve">at the </w:t>
      </w:r>
      <w:hyperlink r:id="rId102">
        <w:r w:rsidR="008E37A7">
          <w:rPr>
            <w:rFonts w:eastAsia="Helvetica"/>
            <w:color w:val="2158A8"/>
            <w:u w:val="single"/>
          </w:rPr>
          <w:t>BETA website</w:t>
        </w:r>
      </w:hyperlink>
      <w:r>
        <w:rPr>
          <w:rFonts w:eastAsia="Helvetica"/>
        </w:rPr>
        <w:t>.</w:t>
      </w:r>
      <w:r w:rsidR="00016AA0" w:rsidRPr="009525D0">
        <w:rPr>
          <w:rFonts w:eastAsia="Helvetica"/>
          <w:sz w:val="4"/>
          <w:szCs w:val="4"/>
        </w:rPr>
        <w:br w:type="page"/>
      </w:r>
    </w:p>
    <w:p w14:paraId="6885FC51" w14:textId="70F56AF5" w:rsidR="00FB33A2" w:rsidRDefault="00FB33A2" w:rsidP="00D25C08">
      <w:pPr>
        <w:rPr>
          <w:rFonts w:eastAsia="Helvetica"/>
          <w:sz w:val="4"/>
          <w:szCs w:val="4"/>
        </w:rPr>
      </w:pPr>
    </w:p>
    <w:p w14:paraId="1215286D" w14:textId="11833D61" w:rsidR="00FB33A2" w:rsidRDefault="00FB33A2" w:rsidP="00FB33A2">
      <w:pPr>
        <w:pStyle w:val="Heading3"/>
        <w:framePr w:w="9209" w:wrap="around"/>
        <w:spacing w:after="240"/>
        <w:ind w:right="-13"/>
        <w:rPr>
          <w:bCs/>
        </w:rPr>
      </w:pPr>
      <w:r w:rsidRPr="00FB33A2">
        <w:rPr>
          <w:bCs/>
        </w:rPr>
        <w:t>Encouraging flexible work to support employee choice</w:t>
      </w:r>
    </w:p>
    <w:tbl>
      <w:tblPr>
        <w:tblStyle w:val="TableGrid"/>
        <w:tblpPr w:leftFromText="180" w:rightFromText="180" w:vertAnchor="page" w:horzAnchor="margin" w:tblpY="5526"/>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Encouraging flexible work to support employee choice"/>
        <w:tblDescription w:val="Text box description of a trial in NSW to improve flexible working arrangements and encourage uptake. "/>
      </w:tblPr>
      <w:tblGrid>
        <w:gridCol w:w="9162"/>
      </w:tblGrid>
      <w:tr w:rsidR="001B5DD4" w14:paraId="6057CD50" w14:textId="77777777" w:rsidTr="001B5DD4">
        <w:trPr>
          <w:trHeight w:val="5947"/>
        </w:trPr>
        <w:tc>
          <w:tcPr>
            <w:tcW w:w="9162" w:type="dxa"/>
            <w:tcBorders>
              <w:bottom w:val="nil"/>
            </w:tcBorders>
            <w:shd w:val="clear" w:color="auto" w:fill="D9D9D9" w:themeFill="background1" w:themeFillShade="D9"/>
          </w:tcPr>
          <w:p w14:paraId="48DF7143" w14:textId="77777777" w:rsidR="001B5DD4" w:rsidRPr="00C47F20" w:rsidRDefault="001B5DD4" w:rsidP="001B5DD4">
            <w:pPr>
              <w:spacing w:after="240" w:line="320" w:lineRule="auto"/>
              <w:rPr>
                <w:rFonts w:ascii="Helvetica" w:eastAsia="Helvetica" w:hAnsi="Helvetica" w:cs="Helvetica"/>
                <w:color w:val="3F3F3F"/>
                <w:sz w:val="24"/>
              </w:rPr>
            </w:pPr>
            <w:bookmarkStart w:id="86" w:name="_Ref515182386"/>
            <w:bookmarkStart w:id="87" w:name="_Toc515874447"/>
            <w:bookmarkStart w:id="88" w:name="_Toc515874518"/>
            <w:bookmarkStart w:id="89" w:name="_Toc515874688"/>
            <w:r w:rsidRPr="00C47F20">
              <w:rPr>
                <w:rFonts w:ascii="Helvetica" w:eastAsia="Helvetica" w:hAnsi="Helvetica" w:cs="Helvetica"/>
                <w:color w:val="3F3F3F"/>
                <w:sz w:val="24"/>
              </w:rPr>
              <w:t>Many organisations have introduced flexible work policies, recognising the benefits including higher staff retention and morale, a greater ability to recruit skilled employees and a more diverse workforce. However, despite employee demand for flexible work policies, individuals do not necessarily adopt arrangements that enable them to work more flexibly.</w:t>
            </w:r>
          </w:p>
          <w:p w14:paraId="3F090376" w14:textId="77777777" w:rsidR="001B5DD4" w:rsidRPr="00C47F20" w:rsidRDefault="001B5DD4"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 xml:space="preserve">We tested whether changing calendar default settings, prompting managers to initiate flexible work discussions with their teams and running a flexible work competition would increase the adoption of flexible work arrangements. The project was conducted in partnership with Transport for </w:t>
            </w:r>
            <w:r>
              <w:rPr>
                <w:rFonts w:ascii="Helvetica" w:eastAsia="Helvetica" w:hAnsi="Helvetica" w:cs="Helvetica"/>
                <w:color w:val="3F3F3F"/>
                <w:sz w:val="24"/>
              </w:rPr>
              <w:t>NSW</w:t>
            </w:r>
            <w:r w:rsidRPr="00C47F20">
              <w:rPr>
                <w:rFonts w:ascii="Helvetica" w:eastAsia="Helvetica" w:hAnsi="Helvetica" w:cs="Helvetica"/>
                <w:color w:val="3F3F3F"/>
                <w:sz w:val="24"/>
              </w:rPr>
              <w:t xml:space="preserve"> with the view that flexible work policies </w:t>
            </w:r>
            <w:r>
              <w:rPr>
                <w:rFonts w:ascii="Helvetica" w:eastAsia="Helvetica" w:hAnsi="Helvetica" w:cs="Helvetica"/>
                <w:color w:val="3F3F3F"/>
                <w:sz w:val="24"/>
              </w:rPr>
              <w:t>allowing</w:t>
            </w:r>
            <w:r w:rsidRPr="00C47F20">
              <w:rPr>
                <w:rFonts w:ascii="Helvetica" w:eastAsia="Helvetica" w:hAnsi="Helvetica" w:cs="Helvetica"/>
                <w:color w:val="3F3F3F"/>
                <w:sz w:val="24"/>
              </w:rPr>
              <w:t xml:space="preserve"> people to change their start and finish times could help reduce city congestion in peak hours.</w:t>
            </w:r>
          </w:p>
          <w:p w14:paraId="57D6A3D3" w14:textId="77777777" w:rsidR="001B5DD4" w:rsidRPr="004E3FC0" w:rsidRDefault="001B5DD4"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As a result of the project, the instances of employees arriving at work at non-peak times increased by 8.6 percentage points. This change remained in effect six months after all of the trial interventions had ended.</w:t>
            </w:r>
          </w:p>
        </w:tc>
      </w:tr>
    </w:tbl>
    <w:bookmarkEnd w:id="86"/>
    <w:bookmarkEnd w:id="87"/>
    <w:bookmarkEnd w:id="88"/>
    <w:bookmarkEnd w:id="89"/>
    <w:p w14:paraId="0B71F6E2" w14:textId="75F7057A" w:rsidR="001B5DD4" w:rsidRPr="004E3FC0" w:rsidRDefault="001B5DD4" w:rsidP="001B5DD4">
      <w:pPr>
        <w:pStyle w:val="h4"/>
      </w:pPr>
      <w:r w:rsidRPr="004E3FC0">
        <w:t>Abstract</w:t>
      </w:r>
    </w:p>
    <w:p w14:paraId="72D659F3" w14:textId="77777777" w:rsidR="001B5DD4" w:rsidRPr="001B5DD4" w:rsidRDefault="001B5DD4" w:rsidP="001B5DD4"/>
    <w:p w14:paraId="1FAB3FFD" w14:textId="627DE01D" w:rsidR="00EB6B12" w:rsidRDefault="00272E56" w:rsidP="00EB6B12">
      <w:pPr>
        <w:pStyle w:val="h4"/>
      </w:pPr>
      <w:r>
        <w:t xml:space="preserve"> </w:t>
      </w:r>
      <w:r w:rsidR="00EB6B12" w:rsidRPr="00573712">
        <w:t>Project by</w:t>
      </w:r>
    </w:p>
    <w:p w14:paraId="07C28DF4" w14:textId="5CB94FB2" w:rsidR="00EB6B12" w:rsidRDefault="00EB6B12" w:rsidP="00EB6B12"/>
    <w:p w14:paraId="4DCC703A" w14:textId="553258E9" w:rsidR="00EB6B12" w:rsidRDefault="00EB6B12" w:rsidP="00EB6B12"/>
    <w:p w14:paraId="36FA4FD1" w14:textId="1FDEA612" w:rsidR="00EB6B12" w:rsidRDefault="00EB6B12" w:rsidP="00EB6B12"/>
    <w:p w14:paraId="683B756D" w14:textId="3B95C89F" w:rsidR="00251049" w:rsidRDefault="00EB6B12" w:rsidP="00EB6B12">
      <w:pPr>
        <w:jc w:val="both"/>
        <w:rPr>
          <w:rFonts w:eastAsia="Helvetica"/>
        </w:rPr>
      </w:pPr>
      <w:r w:rsidRPr="00642AEC">
        <w:rPr>
          <w:noProof/>
        </w:rPr>
        <w:drawing>
          <wp:anchor distT="0" distB="0" distL="114300" distR="114300" simplePos="0" relativeHeight="251823616" behindDoc="0" locked="0" layoutInCell="1" allowOverlap="1" wp14:anchorId="794CD2B8" wp14:editId="7ADAA4AA">
            <wp:simplePos x="0" y="0"/>
            <wp:positionH relativeFrom="column">
              <wp:posOffset>3926367</wp:posOffset>
            </wp:positionH>
            <wp:positionV relativeFrom="paragraph">
              <wp:posOffset>6350</wp:posOffset>
            </wp:positionV>
            <wp:extent cx="1684211" cy="832663"/>
            <wp:effectExtent l="0" t="0" r="0" b="0"/>
            <wp:wrapNone/>
            <wp:docPr id="706" name="Picture 706" descr="The Behavioural Insights Team&#10;" title="Logo"/>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0" cstate="print">
                      <a:extLst>
                        <a:ext uri="{28A0092B-C50C-407E-A947-70E740481C1C}">
                          <a14:useLocalDpi xmlns:a14="http://schemas.microsoft.com/office/drawing/2010/main" val="0"/>
                        </a:ext>
                      </a:extLst>
                    </a:blip>
                    <a:srcRect t="-1" b="-40407"/>
                    <a:stretch/>
                  </pic:blipFill>
                  <pic:spPr bwMode="auto">
                    <a:xfrm>
                      <a:off x="0" y="0"/>
                      <a:ext cx="1684211" cy="8326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592" behindDoc="0" locked="0" layoutInCell="1" allowOverlap="1" wp14:anchorId="3BD4CA3C" wp14:editId="1E7A04A4">
            <wp:simplePos x="0" y="0"/>
            <wp:positionH relativeFrom="column">
              <wp:posOffset>1737360</wp:posOffset>
            </wp:positionH>
            <wp:positionV relativeFrom="paragraph">
              <wp:posOffset>60163</wp:posOffset>
            </wp:positionV>
            <wp:extent cx="1864360" cy="566420"/>
            <wp:effectExtent l="0" t="0" r="2540" b="5080"/>
            <wp:wrapNone/>
            <wp:docPr id="54" name="Picture 54" descr="NSW Government Department of Premier and Cabinet Behavioural Insights Uni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wiryakuc\AppData\Local\Temp\OBJECTIVE\DPC_Behavioural_Insights_Two Colour.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64360" cy="56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B98">
        <w:rPr>
          <w:noProof/>
        </w:rPr>
        <w:drawing>
          <wp:anchor distT="0" distB="0" distL="114300" distR="114300" simplePos="0" relativeHeight="251824640" behindDoc="0" locked="0" layoutInCell="1" allowOverlap="1" wp14:anchorId="211B658E" wp14:editId="6D169EC1">
            <wp:simplePos x="0" y="0"/>
            <wp:positionH relativeFrom="margin">
              <wp:align>left</wp:align>
            </wp:positionH>
            <wp:positionV relativeFrom="paragraph">
              <wp:posOffset>5715</wp:posOffset>
            </wp:positionV>
            <wp:extent cx="1338580" cy="643890"/>
            <wp:effectExtent l="0" t="0" r="0" b="0"/>
            <wp:wrapNone/>
            <wp:docPr id="73" name="Picture 73" descr="NSW Government Transport for NSW"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NSW-logo.png"/>
                    <pic:cNvPicPr/>
                  </pic:nvPicPr>
                  <pic:blipFill rotWithShape="1">
                    <a:blip r:embed="rId103" cstate="print">
                      <a:extLst>
                        <a:ext uri="{28A0092B-C50C-407E-A947-70E740481C1C}">
                          <a14:useLocalDpi xmlns:a14="http://schemas.microsoft.com/office/drawing/2010/main" val="0"/>
                        </a:ext>
                      </a:extLst>
                    </a:blip>
                    <a:srcRect t="7101" b="-3531"/>
                    <a:stretch/>
                  </pic:blipFill>
                  <pic:spPr bwMode="auto">
                    <a:xfrm>
                      <a:off x="0" y="0"/>
                      <a:ext cx="1338580" cy="643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Helvetica"/>
        </w:rPr>
        <w:t xml:space="preserve"> </w:t>
      </w:r>
      <w:r w:rsidR="00251049">
        <w:rPr>
          <w:rFonts w:eastAsia="Helvetica"/>
        </w:rPr>
        <w:br w:type="page"/>
      </w:r>
    </w:p>
    <w:p w14:paraId="230BE9ED" w14:textId="4089241E" w:rsidR="00251049" w:rsidRPr="0004155D" w:rsidRDefault="00251049" w:rsidP="00D33213">
      <w:pPr>
        <w:pStyle w:val="h4"/>
      </w:pPr>
      <w:r w:rsidRPr="0004155D">
        <w:lastRenderedPageBreak/>
        <w:t xml:space="preserve">The policy problem </w:t>
      </w:r>
    </w:p>
    <w:p w14:paraId="7C4B5B69" w14:textId="62D40B21" w:rsidR="00D373AB" w:rsidRDefault="00251049" w:rsidP="007A3700">
      <w:pPr>
        <w:rPr>
          <w:rFonts w:eastAsia="Helvetica"/>
        </w:rPr>
      </w:pPr>
      <w:r>
        <w:rPr>
          <w:rFonts w:eastAsia="Helvetica"/>
        </w:rPr>
        <w:t xml:space="preserve">Reducing central business district (CBD) congestion in Sydney is a priority </w:t>
      </w:r>
      <w:r w:rsidR="00D373AB">
        <w:rPr>
          <w:rFonts w:eastAsia="Helvetica"/>
        </w:rPr>
        <w:t>of the</w:t>
      </w:r>
      <w:r>
        <w:rPr>
          <w:rFonts w:eastAsia="Helvetica"/>
        </w:rPr>
        <w:t xml:space="preserve"> NSW Government. </w:t>
      </w:r>
      <w:r w:rsidR="00D373AB">
        <w:rPr>
          <w:rFonts w:eastAsia="Helvetica"/>
        </w:rPr>
        <w:t xml:space="preserve">It is estimated </w:t>
      </w:r>
      <w:r w:rsidR="00E908AC">
        <w:rPr>
          <w:rFonts w:eastAsia="Helvetica"/>
        </w:rPr>
        <w:t xml:space="preserve">the cost of </w:t>
      </w:r>
      <w:r w:rsidR="00D373AB">
        <w:rPr>
          <w:rFonts w:eastAsia="Helvetica"/>
        </w:rPr>
        <w:t>c</w:t>
      </w:r>
      <w:r>
        <w:rPr>
          <w:rFonts w:eastAsia="Helvetica"/>
        </w:rPr>
        <w:t xml:space="preserve">ongestion across metropolitan Sydney </w:t>
      </w:r>
      <w:r w:rsidR="00D373AB">
        <w:rPr>
          <w:rFonts w:eastAsia="Helvetica"/>
        </w:rPr>
        <w:t>will increase to</w:t>
      </w:r>
      <w:r>
        <w:rPr>
          <w:rFonts w:eastAsia="Helvetica"/>
        </w:rPr>
        <w:t xml:space="preserve"> around $8</w:t>
      </w:r>
      <w:r w:rsidR="00545E5C">
        <w:rPr>
          <w:rFonts w:eastAsia="Helvetica"/>
        </w:rPr>
        <w:t> </w:t>
      </w:r>
      <w:r>
        <w:rPr>
          <w:rFonts w:eastAsia="Helvetica"/>
        </w:rPr>
        <w:t>billion per</w:t>
      </w:r>
      <w:r w:rsidR="00545E5C">
        <w:rPr>
          <w:rFonts w:eastAsia="Helvetica"/>
        </w:rPr>
        <w:t> </w:t>
      </w:r>
      <w:r>
        <w:rPr>
          <w:rFonts w:eastAsia="Helvetica"/>
        </w:rPr>
        <w:t>annum by 2020.</w:t>
      </w:r>
      <w:r w:rsidR="00D373AB">
        <w:rPr>
          <w:rStyle w:val="FootnoteReference"/>
        </w:rPr>
        <w:footnoteReference w:id="52"/>
      </w:r>
      <w:r w:rsidR="00D373AB">
        <w:rPr>
          <w:rFonts w:ascii="Times New Roman" w:eastAsiaTheme="minorHAnsi" w:hAnsi="Times New Roman"/>
          <w:color w:val="auto"/>
          <w:sz w:val="24"/>
          <w:szCs w:val="24"/>
        </w:rPr>
        <w:t xml:space="preserve"> </w:t>
      </w:r>
      <w:r>
        <w:rPr>
          <w:rFonts w:eastAsia="Helvetica"/>
        </w:rPr>
        <w:t>The morning and afte</w:t>
      </w:r>
      <w:r w:rsidR="00D373AB">
        <w:rPr>
          <w:rFonts w:eastAsia="Helvetica"/>
        </w:rPr>
        <w:t>rnoon peak periods are critical, as it is at these times that people travel into and out of the CBD. For example, of the 630,000 trips undertaken each weekday into the CBD, approximately 180,000 occur between 8.00 am and 9.00 am.</w:t>
      </w:r>
      <w:r w:rsidR="00D373AB">
        <w:rPr>
          <w:rStyle w:val="FootnoteReference"/>
        </w:rPr>
        <w:footnoteReference w:id="53"/>
      </w:r>
      <w:r w:rsidR="00D373AB">
        <w:rPr>
          <w:rFonts w:eastAsia="Helvetica"/>
        </w:rPr>
        <w:t xml:space="preserve"> </w:t>
      </w:r>
    </w:p>
    <w:p w14:paraId="64FDF1BB" w14:textId="21AA8F51" w:rsidR="00D373AB" w:rsidRDefault="00251049" w:rsidP="007A3700">
      <w:pPr>
        <w:rPr>
          <w:rFonts w:eastAsia="Helvetica"/>
        </w:rPr>
      </w:pPr>
      <w:r>
        <w:rPr>
          <w:rFonts w:eastAsia="Helvetica"/>
        </w:rPr>
        <w:t xml:space="preserve">Transport for NSW’s Travel Choices program is a core strategy </w:t>
      </w:r>
      <w:r w:rsidR="00EA5ACD">
        <w:rPr>
          <w:rFonts w:eastAsia="Helvetica"/>
        </w:rPr>
        <w:t>seeking</w:t>
      </w:r>
      <w:r w:rsidR="00D373AB">
        <w:rPr>
          <w:rFonts w:eastAsia="Helvetica"/>
        </w:rPr>
        <w:t xml:space="preserve"> to</w:t>
      </w:r>
      <w:r>
        <w:rPr>
          <w:rFonts w:eastAsia="Helvetica"/>
        </w:rPr>
        <w:t xml:space="preserve"> shift Sydney CBD commuter</w:t>
      </w:r>
      <w:r w:rsidR="00D373AB">
        <w:rPr>
          <w:rFonts w:eastAsia="Helvetica"/>
        </w:rPr>
        <w:t>s’</w:t>
      </w:r>
      <w:r>
        <w:rPr>
          <w:rFonts w:eastAsia="Helvetica"/>
        </w:rPr>
        <w:t xml:space="preserve"> behaviour</w:t>
      </w:r>
      <w:r w:rsidR="00D373AB">
        <w:rPr>
          <w:rFonts w:eastAsia="Helvetica"/>
        </w:rPr>
        <w:t>s</w:t>
      </w:r>
      <w:r>
        <w:rPr>
          <w:rFonts w:eastAsia="Helvetica"/>
        </w:rPr>
        <w:t>.</w:t>
      </w:r>
      <w:r w:rsidR="00D373AB">
        <w:rPr>
          <w:rStyle w:val="FootnoteReference"/>
        </w:rPr>
        <w:footnoteReference w:id="54"/>
      </w:r>
      <w:r w:rsidR="00D373AB">
        <w:rPr>
          <w:rFonts w:eastAsia="Helvetica"/>
        </w:rPr>
        <w:t xml:space="preserve"> Our trial aimed to explore ways in which CBD employees could be encouraged to adopt flexible work arrangements so that their start and finish times occurred outside the critical peak-hour periods. The trial was implemented in the NSW Department of Premier and Cabinet.</w:t>
      </w:r>
    </w:p>
    <w:p w14:paraId="75949B9E" w14:textId="77777777" w:rsidR="00251049" w:rsidRPr="0004155D" w:rsidRDefault="00251049" w:rsidP="00D33213">
      <w:pPr>
        <w:pStyle w:val="h4"/>
      </w:pPr>
      <w:r w:rsidRPr="0004155D">
        <w:t xml:space="preserve">Our findings and learnings </w:t>
      </w:r>
    </w:p>
    <w:p w14:paraId="5E896F81" w14:textId="742790B7" w:rsidR="00E908AC" w:rsidRDefault="00370210" w:rsidP="007A3700">
      <w:pPr>
        <w:rPr>
          <w:rFonts w:eastAsia="Helvetica"/>
        </w:rPr>
      </w:pPr>
      <w:r>
        <w:rPr>
          <w:rFonts w:eastAsia="Helvetica"/>
        </w:rPr>
        <w:t>Our analysis revealed behavioural barriers affected employees’ decision to adopt flexible work arrangements.</w:t>
      </w:r>
      <w:r w:rsidR="00E908AC">
        <w:rPr>
          <w:rFonts w:eastAsia="Helvetica"/>
        </w:rPr>
        <w:t xml:space="preserve"> Organisational culture is often resistant to change and even after the introduction of a flexible work policy there can still be a strong ‘9–5’ culture. Employees report they are worried about being negatively judged by their managers if they ask for flexible hours, despite most managers saying they would view it positively. Managers who do not themselves work flexibly set an example that their employees tend to follow. Additionally, commuting is strongly habit-based and is hard to change, especially given non-work commitments.</w:t>
      </w:r>
    </w:p>
    <w:p w14:paraId="36765C4B" w14:textId="77777777" w:rsidR="00370210" w:rsidRDefault="00370210"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45BFC499" w14:textId="77777777" w:rsidTr="004F14F9">
        <w:trPr>
          <w:trHeight w:val="1"/>
        </w:trPr>
        <w:tc>
          <w:tcPr>
            <w:tcW w:w="5000" w:type="pct"/>
            <w:shd w:val="clear" w:color="auto" w:fill="F2F2F2"/>
            <w:tcMar>
              <w:left w:w="108" w:type="dxa"/>
              <w:right w:w="108" w:type="dxa"/>
            </w:tcMar>
          </w:tcPr>
          <w:p w14:paraId="15FF5498" w14:textId="7E55B147" w:rsidR="00251049" w:rsidRDefault="004F14F9" w:rsidP="004E3FC0">
            <w:pPr>
              <w:spacing w:line="260" w:lineRule="auto"/>
              <w:jc w:val="both"/>
              <w:rPr>
                <w:rFonts w:ascii="Helvetica" w:eastAsia="Helvetica" w:hAnsi="Helvetica" w:cs="Helvetica"/>
                <w:b/>
                <w:color w:val="142E3B"/>
                <w:sz w:val="24"/>
              </w:rPr>
            </w:pPr>
            <w:r>
              <w:rPr>
                <w:i/>
                <w:iCs/>
                <w:noProof/>
                <w:color w:val="142E3B" w:themeColor="accent6"/>
                <w:sz w:val="28"/>
              </w:rPr>
              <w:drawing>
                <wp:anchor distT="0" distB="0" distL="0" distR="114300" simplePos="0" relativeHeight="251619840" behindDoc="1" locked="0" layoutInCell="1" allowOverlap="1" wp14:anchorId="45043CBB" wp14:editId="0A2978BE">
                  <wp:simplePos x="0" y="0"/>
                  <wp:positionH relativeFrom="margin">
                    <wp:posOffset>-2540</wp:posOffset>
                  </wp:positionH>
                  <wp:positionV relativeFrom="paragraph">
                    <wp:posOffset>38903</wp:posOffset>
                  </wp:positionV>
                  <wp:extent cx="370800" cy="370800"/>
                  <wp:effectExtent l="0" t="0" r="0" b="3175"/>
                  <wp:wrapTight wrapText="bothSides">
                    <wp:wrapPolygon edited="0">
                      <wp:start x="0" y="0"/>
                      <wp:lineTo x="0" y="20007"/>
                      <wp:lineTo x="20007" y="20007"/>
                      <wp:lineTo x="20007" y="0"/>
                      <wp:lineTo x="0" y="0"/>
                    </wp:wrapPolygon>
                  </wp:wrapTight>
                  <wp:docPr id="762" name="Picture 762"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016AA0">
              <w:rPr>
                <w:rFonts w:ascii="Helvetica" w:eastAsia="Helvetica" w:hAnsi="Helvetica" w:cs="Helvetica"/>
                <w:b/>
                <w:color w:val="142E3B"/>
                <w:sz w:val="24"/>
              </w:rPr>
              <w:t>Behavioural insight</w:t>
            </w:r>
            <w:r w:rsidR="00370210">
              <w:rPr>
                <w:rFonts w:ascii="Helvetica" w:eastAsia="Helvetica" w:hAnsi="Helvetica" w:cs="Helvetica"/>
                <w:b/>
                <w:color w:val="142E3B"/>
                <w:sz w:val="24"/>
              </w:rPr>
              <w:t>s</w:t>
            </w:r>
            <w:r w:rsidR="00016AA0">
              <w:rPr>
                <w:rFonts w:ascii="Helvetica" w:eastAsia="Helvetica" w:hAnsi="Helvetica" w:cs="Helvetica"/>
                <w:b/>
                <w:color w:val="142E3B"/>
                <w:sz w:val="24"/>
              </w:rPr>
              <w:t>:</w:t>
            </w:r>
            <w:r w:rsidR="00251049">
              <w:rPr>
                <w:rFonts w:ascii="Helvetica" w:eastAsia="Helvetica" w:hAnsi="Helvetica" w:cs="Helvetica"/>
                <w:b/>
                <w:color w:val="142E3B"/>
                <w:sz w:val="24"/>
              </w:rPr>
              <w:t xml:space="preserve"> </w:t>
            </w:r>
            <w:r w:rsidR="00016AA0">
              <w:rPr>
                <w:rFonts w:ascii="Helvetica" w:eastAsia="Helvetica" w:hAnsi="Helvetica" w:cs="Helvetica"/>
                <w:b/>
                <w:color w:val="142E3B"/>
                <w:sz w:val="24"/>
              </w:rPr>
              <w:t>B</w:t>
            </w:r>
            <w:r w:rsidR="00251049">
              <w:rPr>
                <w:rFonts w:ascii="Helvetica" w:eastAsia="Helvetica" w:hAnsi="Helvetica" w:cs="Helvetica"/>
                <w:b/>
                <w:color w:val="142E3B"/>
                <w:sz w:val="24"/>
              </w:rPr>
              <w:t>arriers affecting</w:t>
            </w:r>
            <w:r w:rsidR="00370210">
              <w:rPr>
                <w:rFonts w:ascii="Helvetica" w:eastAsia="Helvetica" w:hAnsi="Helvetica" w:cs="Helvetica"/>
                <w:b/>
                <w:color w:val="142E3B"/>
                <w:sz w:val="24"/>
              </w:rPr>
              <w:t xml:space="preserve"> the</w:t>
            </w:r>
            <w:r w:rsidR="00251049">
              <w:rPr>
                <w:rFonts w:ascii="Helvetica" w:eastAsia="Helvetica" w:hAnsi="Helvetica" w:cs="Helvetica"/>
                <w:b/>
                <w:color w:val="142E3B"/>
                <w:sz w:val="24"/>
              </w:rPr>
              <w:t xml:space="preserve"> uptake of flexible work</w:t>
            </w:r>
          </w:p>
          <w:p w14:paraId="167FDDA3" w14:textId="14A16E08" w:rsidR="002C0991" w:rsidRDefault="00251049" w:rsidP="007A3700">
            <w:pPr>
              <w:rPr>
                <w:rFonts w:eastAsia="Helvetica"/>
              </w:rPr>
            </w:pPr>
            <w:r w:rsidRPr="004F14F9">
              <w:rPr>
                <w:rFonts w:eastAsia="Helvetica"/>
                <w:b/>
                <w:color w:val="auto"/>
              </w:rPr>
              <w:t xml:space="preserve">Social norms: </w:t>
            </w:r>
            <w:r w:rsidR="002C0991">
              <w:rPr>
                <w:rFonts w:eastAsia="Helvetica"/>
              </w:rPr>
              <w:t>People’s behaviours are influenced by what they perceive as ‘normal’ or what the majority of people are doing. For example, people’s energy use is influenced by information about their neighbours’ energy use.</w:t>
            </w:r>
            <w:r w:rsidR="002C0991">
              <w:rPr>
                <w:rStyle w:val="FootnoteReference"/>
                <w:rFonts w:eastAsia="Helvetica"/>
                <w:color w:val="3F3F3F"/>
              </w:rPr>
              <w:footnoteReference w:id="55"/>
            </w:r>
          </w:p>
          <w:p w14:paraId="39532503" w14:textId="49BE6ABA" w:rsidR="002C0991" w:rsidRPr="002C0991" w:rsidRDefault="002C0991" w:rsidP="007A3700">
            <w:pPr>
              <w:rPr>
                <w:rFonts w:ascii="Times New Roman" w:eastAsiaTheme="minorHAnsi" w:hAnsi="Times New Roman"/>
                <w:color w:val="auto"/>
                <w:sz w:val="24"/>
                <w:szCs w:val="24"/>
              </w:rPr>
            </w:pPr>
            <w:r>
              <w:rPr>
                <w:rFonts w:ascii="Helvetica" w:eastAsia="Helvetica" w:hAnsi="Helvetica" w:cs="Helvetica"/>
                <w:b/>
                <w:color w:val="auto"/>
              </w:rPr>
              <w:t xml:space="preserve">Status quo bias: </w:t>
            </w:r>
            <w:r>
              <w:rPr>
                <w:rFonts w:eastAsia="Helvetica"/>
              </w:rPr>
              <w:t>People may be resistant to change and prefer for the status quo to continue. This may be due to the endowment effect, loss aversion and uncertainty about the future.</w:t>
            </w:r>
            <w:r>
              <w:rPr>
                <w:rStyle w:val="FootnoteReference"/>
                <w:rFonts w:eastAsia="Helvetica"/>
                <w:color w:val="3F3F3F"/>
              </w:rPr>
              <w:footnoteReference w:id="56"/>
            </w:r>
            <w:r>
              <w:rPr>
                <w:rFonts w:ascii="Times New Roman" w:hAnsi="Times New Roman"/>
                <w:color w:val="auto"/>
                <w:sz w:val="24"/>
                <w:szCs w:val="24"/>
              </w:rPr>
              <w:t xml:space="preserve"> </w:t>
            </w:r>
            <w:r>
              <w:rPr>
                <w:rFonts w:eastAsia="Helvetica"/>
              </w:rPr>
              <w:t>For example, some people may prefer to eat the same thing every day for breakfast and find it difficult to change this habit.</w:t>
            </w:r>
            <w:r>
              <w:rPr>
                <w:rFonts w:ascii="Times New Roman" w:eastAsiaTheme="minorHAnsi" w:hAnsi="Times New Roman"/>
                <w:color w:val="auto"/>
                <w:sz w:val="24"/>
                <w:szCs w:val="24"/>
              </w:rPr>
              <w:t xml:space="preserve"> </w:t>
            </w:r>
          </w:p>
        </w:tc>
      </w:tr>
    </w:tbl>
    <w:p w14:paraId="65E1F1EF" w14:textId="77777777" w:rsidR="002C0991" w:rsidRDefault="002C0991" w:rsidP="007A3700">
      <w:pPr>
        <w:rPr>
          <w:rFonts w:eastAsia="Helvetica"/>
        </w:rPr>
      </w:pPr>
    </w:p>
    <w:p w14:paraId="68E5F99F" w14:textId="3156AD55" w:rsidR="00251049" w:rsidRDefault="00251049" w:rsidP="007A3700">
      <w:pPr>
        <w:rPr>
          <w:rFonts w:eastAsia="Helvetica"/>
        </w:rPr>
      </w:pPr>
      <w:r>
        <w:rPr>
          <w:rFonts w:eastAsia="Helvetica"/>
        </w:rPr>
        <w:t>We addressed the</w:t>
      </w:r>
      <w:r w:rsidR="002C0991">
        <w:rPr>
          <w:rFonts w:eastAsia="Helvetica"/>
        </w:rPr>
        <w:t>se</w:t>
      </w:r>
      <w:r>
        <w:rPr>
          <w:rFonts w:eastAsia="Helvetica"/>
        </w:rPr>
        <w:t xml:space="preserve"> behavioural barriers in two ways.</w:t>
      </w:r>
    </w:p>
    <w:p w14:paraId="59A63302" w14:textId="7D7FF4FB" w:rsidR="00251049" w:rsidRPr="0004155D" w:rsidRDefault="00251049" w:rsidP="00D33213">
      <w:pPr>
        <w:pStyle w:val="h5"/>
      </w:pPr>
      <w:r w:rsidRPr="0004155D">
        <w:t xml:space="preserve">Changing </w:t>
      </w:r>
      <w:r w:rsidR="00E908AC">
        <w:t>the</w:t>
      </w:r>
      <w:r w:rsidRPr="0004155D">
        <w:t xml:space="preserve"> default</w:t>
      </w:r>
    </w:p>
    <w:p w14:paraId="56B724D5" w14:textId="43739ED8" w:rsidR="002C0991" w:rsidRDefault="002C0991" w:rsidP="007A3700">
      <w:pPr>
        <w:rPr>
          <w:rFonts w:eastAsia="Helvetica"/>
        </w:rPr>
      </w:pPr>
      <w:r>
        <w:rPr>
          <w:rFonts w:eastAsia="Helvetica"/>
        </w:rPr>
        <w:t xml:space="preserve">We disrupted ingrained commuting habits by changing the default </w:t>
      </w:r>
      <w:r w:rsidR="00E908AC">
        <w:rPr>
          <w:rFonts w:eastAsia="Helvetica"/>
        </w:rPr>
        <w:t xml:space="preserve">availability </w:t>
      </w:r>
      <w:r>
        <w:rPr>
          <w:rFonts w:eastAsia="Helvetica"/>
        </w:rPr>
        <w:t>settings in employees’ Outlook calendar settings and by running a workplace competition in which points were rewarded to teams who worked more flexibly.</w:t>
      </w:r>
    </w:p>
    <w:p w14:paraId="09F3FFD9" w14:textId="77777777" w:rsidR="00251049" w:rsidRPr="0004155D" w:rsidRDefault="00251049" w:rsidP="00D33213">
      <w:pPr>
        <w:pStyle w:val="h5"/>
      </w:pPr>
      <w:r w:rsidRPr="0004155D">
        <w:lastRenderedPageBreak/>
        <w:t>Addressing informal workplace norms</w:t>
      </w:r>
    </w:p>
    <w:p w14:paraId="70AAD503" w14:textId="717489C5" w:rsidR="00251049" w:rsidRDefault="002C0991" w:rsidP="007A3700">
      <w:pPr>
        <w:rPr>
          <w:rFonts w:eastAsia="Helvetica"/>
        </w:rPr>
      </w:pPr>
      <w:r>
        <w:rPr>
          <w:rFonts w:eastAsia="Helvetica"/>
        </w:rPr>
        <w:t xml:space="preserve">We addressed the workplace norms that were reinforcing employees’ perceptions of a standard working day by prompting managers to initiate flexible work conversations with their teams and by designing </w:t>
      </w:r>
      <w:r w:rsidR="00E908AC">
        <w:rPr>
          <w:rFonts w:eastAsia="Helvetica"/>
        </w:rPr>
        <w:t>the</w:t>
      </w:r>
      <w:r>
        <w:rPr>
          <w:rFonts w:eastAsia="Helvetica"/>
        </w:rPr>
        <w:t xml:space="preserve"> competition</w:t>
      </w:r>
      <w:r w:rsidR="00E908AC">
        <w:rPr>
          <w:rFonts w:eastAsia="Helvetica"/>
        </w:rPr>
        <w:t xml:space="preserve"> to be team-based</w:t>
      </w:r>
      <w:r>
        <w:rPr>
          <w:rFonts w:eastAsia="Helvetica"/>
        </w:rPr>
        <w:t>. We also incentivised participation by offering a prize to the winning team.</w:t>
      </w:r>
    </w:p>
    <w:p w14:paraId="64BAC23C" w14:textId="77777777" w:rsidR="00251049" w:rsidRPr="0004155D" w:rsidRDefault="00251049" w:rsidP="00D33213">
      <w:pPr>
        <w:pStyle w:val="h5"/>
      </w:pPr>
      <w:r w:rsidRPr="0004155D">
        <w:t>Results</w:t>
      </w:r>
    </w:p>
    <w:p w14:paraId="1F4CDCFA" w14:textId="77777777" w:rsidR="002C0991" w:rsidRDefault="002C0991" w:rsidP="007A3700">
      <w:pPr>
        <w:rPr>
          <w:rFonts w:eastAsia="Helvetica"/>
        </w:rPr>
      </w:pPr>
      <w:r>
        <w:rPr>
          <w:rFonts w:eastAsia="Helvetica"/>
        </w:rPr>
        <w:t>Six months after the trial ended, we analysed the turnstile data at the entry/exit points of the workplace and found:</w:t>
      </w:r>
    </w:p>
    <w:p w14:paraId="62C62F8C" w14:textId="1793E9D6" w:rsidR="002C0991" w:rsidRDefault="00F819B3" w:rsidP="003A373A">
      <w:pPr>
        <w:numPr>
          <w:ilvl w:val="0"/>
          <w:numId w:val="17"/>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t</w:t>
      </w:r>
      <w:r w:rsidR="002C0991">
        <w:rPr>
          <w:rFonts w:ascii="Helvetica" w:eastAsia="Helvetica" w:hAnsi="Helvetica" w:cs="Helvetica"/>
          <w:color w:val="3F3F3F"/>
        </w:rPr>
        <w:t>he proportion of arrivals at work outside the peak hour periods increased by 8.6 percentage</w:t>
      </w:r>
      <w:r>
        <w:rPr>
          <w:rFonts w:ascii="Helvetica" w:eastAsia="Helvetica" w:hAnsi="Helvetica" w:cs="Helvetica"/>
          <w:color w:val="3F3F3F"/>
        </w:rPr>
        <w:t> </w:t>
      </w:r>
      <w:r w:rsidR="002C0991">
        <w:rPr>
          <w:rFonts w:ascii="Helvetica" w:eastAsia="Helvetica" w:hAnsi="Helvetica" w:cs="Helvetica"/>
          <w:color w:val="3F3F3F"/>
        </w:rPr>
        <w:t>points compared to the baseline (p &lt; 0.001). This is equivalent to 411 additional instances per month of staff avoiding the peak hour periods in t</w:t>
      </w:r>
      <w:r>
        <w:rPr>
          <w:rFonts w:ascii="Helvetica" w:eastAsia="Helvetica" w:hAnsi="Helvetica" w:cs="Helvetica"/>
          <w:color w:val="3F3F3F"/>
        </w:rPr>
        <w:t>heir commutes to work</w:t>
      </w:r>
    </w:p>
    <w:p w14:paraId="681AE7B2" w14:textId="1F4178F2" w:rsidR="002C0991" w:rsidRDefault="00F819B3" w:rsidP="003A373A">
      <w:pPr>
        <w:numPr>
          <w:ilvl w:val="0"/>
          <w:numId w:val="17"/>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t</w:t>
      </w:r>
      <w:r w:rsidR="002C0991">
        <w:rPr>
          <w:rFonts w:ascii="Helvetica" w:eastAsia="Helvetica" w:hAnsi="Helvetica" w:cs="Helvetica"/>
          <w:color w:val="3F3F3F"/>
        </w:rPr>
        <w:t>he proportion of departures from work outside the peak hour periods increased by 3 percentage</w:t>
      </w:r>
      <w:r>
        <w:rPr>
          <w:rFonts w:ascii="Helvetica" w:eastAsia="Helvetica" w:hAnsi="Helvetica" w:cs="Helvetica"/>
          <w:color w:val="3F3F3F"/>
        </w:rPr>
        <w:t> </w:t>
      </w:r>
      <w:r w:rsidR="002C0991">
        <w:rPr>
          <w:rFonts w:ascii="Helvetica" w:eastAsia="Helvetica" w:hAnsi="Helvetica" w:cs="Helvetica"/>
          <w:color w:val="3F3F3F"/>
        </w:rPr>
        <w:t>points compared to the baseline (p &lt; 0.001). This is equivalent to 143 additional instances per month of staff avoiding the peak hour peri</w:t>
      </w:r>
      <w:r>
        <w:rPr>
          <w:rFonts w:ascii="Helvetica" w:eastAsia="Helvetica" w:hAnsi="Helvetica" w:cs="Helvetica"/>
          <w:color w:val="3F3F3F"/>
        </w:rPr>
        <w:t>ods in their commutes to work</w:t>
      </w:r>
    </w:p>
    <w:p w14:paraId="6B378FB2" w14:textId="24477A23" w:rsidR="002C0991" w:rsidRDefault="00F819B3" w:rsidP="003A373A">
      <w:pPr>
        <w:numPr>
          <w:ilvl w:val="0"/>
          <w:numId w:val="17"/>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b</w:t>
      </w:r>
      <w:r w:rsidR="002C0991">
        <w:rPr>
          <w:rFonts w:ascii="Helvetica" w:eastAsia="Helvetica" w:hAnsi="Helvetica" w:cs="Helvetica"/>
          <w:color w:val="3F3F3F"/>
        </w:rPr>
        <w:t>oth women and men were responsive to our interventions; however, the impact was particularly pronounced among women. It is likely the competition had a legitimising effect on women’s flexible work behaviours.</w:t>
      </w:r>
    </w:p>
    <w:p w14:paraId="69BD1881" w14:textId="73F2D735" w:rsidR="00251049" w:rsidRPr="009D1B4B" w:rsidRDefault="009D1B4B" w:rsidP="004E3FC0">
      <w:pPr>
        <w:pStyle w:val="Caption"/>
        <w:jc w:val="both"/>
        <w:rPr>
          <w:rFonts w:ascii="Helvetica" w:eastAsia="Helvetica" w:hAnsi="Helvetica" w:cs="Helvetica"/>
          <w:color w:val="117479"/>
        </w:rPr>
      </w:pPr>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21</w:t>
      </w:r>
      <w:r w:rsidR="003035A6">
        <w:rPr>
          <w:noProof/>
        </w:rPr>
        <w:fldChar w:fldCharType="end"/>
      </w:r>
      <w:r>
        <w:t xml:space="preserve">: </w:t>
      </w:r>
      <w:r w:rsidR="00251049" w:rsidRPr="009D1B4B">
        <w:rPr>
          <w:rFonts w:ascii="Helvetica" w:eastAsia="Helvetica" w:hAnsi="Helvetica" w:cs="Helvetica"/>
          <w:color w:val="117479"/>
        </w:rPr>
        <w:t xml:space="preserve">Arrival times at work during off-peak periods </w:t>
      </w:r>
      <w:r w:rsidR="002C0991">
        <w:rPr>
          <w:rFonts w:ascii="Helvetica" w:eastAsia="Helvetica" w:hAnsi="Helvetica" w:cs="Helvetica"/>
          <w:color w:val="117479"/>
        </w:rPr>
        <w:t>(</w:t>
      </w:r>
      <w:r w:rsidR="00251049" w:rsidRPr="009D1B4B">
        <w:rPr>
          <w:rFonts w:ascii="Helvetica" w:eastAsia="Helvetica" w:hAnsi="Helvetica" w:cs="Helvetica"/>
          <w:color w:val="117479"/>
        </w:rPr>
        <w:t>August 2016 to October 2017</w:t>
      </w:r>
      <w:r w:rsidR="002C0991">
        <w:rPr>
          <w:rFonts w:ascii="Helvetica" w:eastAsia="Helvetica" w:hAnsi="Helvetica" w:cs="Helvetica"/>
          <w:color w:val="117479"/>
        </w:rPr>
        <w:t>)</w:t>
      </w:r>
    </w:p>
    <w:p w14:paraId="16620B8F" w14:textId="25F652EE" w:rsidR="00251049" w:rsidRDefault="00601024" w:rsidP="004E3FC0">
      <w:pPr>
        <w:spacing w:line="260" w:lineRule="auto"/>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75D84D2C" wp14:editId="78461282">
            <wp:extent cx="5384800" cy="2311400"/>
            <wp:effectExtent l="0" t="0" r="0" b="0"/>
            <wp:docPr id="135" name="Picture 135" descr="The figure shows the proportion of arrivals at work outside the peak hour periods (peak hour is 8.15am to 9.15am):&#10;• During baseline (August to October 2016), it was about 39 per cent.&#10;• During the first phase with messages to managers and changes to calendar default settings (November 2016 to January 2017), it increased to 42 per cent.&#10;• During the second phase of the competition (February to March 2017), it increased further to 48 per cent.&#10;• In the follow-up period through to October 2017, it remained almost the same, at 47 per cent."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ig21.png"/>
                    <pic:cNvPicPr/>
                  </pic:nvPicPr>
                  <pic:blipFill>
                    <a:blip r:embed="rId104">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4A623D6C" w14:textId="77777777" w:rsidR="00251049" w:rsidRPr="0004155D" w:rsidRDefault="00251049" w:rsidP="00D33213">
      <w:pPr>
        <w:pStyle w:val="h4"/>
      </w:pPr>
      <w:r w:rsidRPr="0004155D">
        <w:t xml:space="preserve">Future opportunities </w:t>
      </w:r>
    </w:p>
    <w:p w14:paraId="2258E85E" w14:textId="2C283DA4" w:rsidR="002C0991" w:rsidRDefault="002C0991" w:rsidP="007A3700">
      <w:pPr>
        <w:rPr>
          <w:rFonts w:eastAsia="Helvetica"/>
        </w:rPr>
      </w:pPr>
      <w:r>
        <w:rPr>
          <w:rFonts w:ascii="Helvetica" w:eastAsia="Helvetica" w:hAnsi="Helvetica" w:cs="Helvetica"/>
          <w:color w:val="3F3F3F"/>
        </w:rPr>
        <w:t>We have been approached by government agencies across Australia interested</w:t>
      </w:r>
      <w:r>
        <w:rPr>
          <w:rFonts w:eastAsia="Helvetica"/>
        </w:rPr>
        <w:t xml:space="preserve"> in adopting elements of our project to increase the adoption of flexible work policies by their employees. </w:t>
      </w:r>
      <w:r w:rsidR="006E151A">
        <w:rPr>
          <w:rFonts w:eastAsia="Helvetica"/>
        </w:rPr>
        <w:br/>
      </w:r>
      <w:r>
        <w:rPr>
          <w:rFonts w:eastAsia="Helvetica"/>
        </w:rPr>
        <w:t>We published our trial in the Harvard Business Review to share the tools used in this project and to ensure the wide dissemination of the results among business leaders.</w:t>
      </w:r>
      <w:r>
        <w:rPr>
          <w:rStyle w:val="FootnoteReference"/>
          <w:rFonts w:eastAsia="Helvetica" w:cs="Helvetica"/>
          <w:color w:val="3F3F3F"/>
        </w:rPr>
        <w:footnoteReference w:id="57"/>
      </w:r>
      <w:r>
        <w:rPr>
          <w:rFonts w:eastAsia="Helvetica"/>
        </w:rPr>
        <w:t xml:space="preserve"> </w:t>
      </w:r>
    </w:p>
    <w:p w14:paraId="73B12AB4" w14:textId="77777777" w:rsidR="00251049" w:rsidRPr="00E908AC" w:rsidRDefault="00251049" w:rsidP="004E3FC0">
      <w:pPr>
        <w:spacing w:before="0" w:after="0" w:line="240" w:lineRule="auto"/>
        <w:jc w:val="both"/>
        <w:rPr>
          <w:rFonts w:ascii="Helvetica" w:eastAsia="Helvetica" w:hAnsi="Helvetica" w:cs="Helvetica"/>
          <w:color w:val="A6A6A6" w:themeColor="background1" w:themeShade="A6"/>
          <w:sz w:val="4"/>
          <w:szCs w:val="4"/>
        </w:rPr>
      </w:pPr>
    </w:p>
    <w:p w14:paraId="524806B6" w14:textId="77777777" w:rsidR="00AA6F02" w:rsidRPr="00E908AC" w:rsidRDefault="00AA6F02" w:rsidP="004E3FC0">
      <w:pPr>
        <w:spacing w:before="0" w:after="0" w:line="240" w:lineRule="auto"/>
        <w:jc w:val="both"/>
        <w:rPr>
          <w:rFonts w:ascii="Helvetica" w:eastAsia="Helvetica" w:hAnsi="Helvetica" w:cs="Helvetica"/>
          <w:color w:val="3F3F3F"/>
          <w:sz w:val="4"/>
          <w:szCs w:val="4"/>
        </w:rPr>
        <w:sectPr w:rsidR="00AA6F02" w:rsidRPr="00E908AC" w:rsidSect="00272E56">
          <w:headerReference w:type="even" r:id="rId105"/>
          <w:headerReference w:type="default" r:id="rId106"/>
          <w:headerReference w:type="first" r:id="rId107"/>
          <w:pgSz w:w="11906" w:h="16838" w:code="9"/>
          <w:pgMar w:top="1474" w:right="1985" w:bottom="1247" w:left="1418" w:header="680" w:footer="680" w:gutter="0"/>
          <w:cols w:space="708"/>
          <w:titlePg/>
          <w:docGrid w:linePitch="360"/>
        </w:sectPr>
      </w:pPr>
    </w:p>
    <w:p w14:paraId="6EC03EAA" w14:textId="55810920" w:rsidR="00251049" w:rsidRDefault="00251049" w:rsidP="004E3FC0">
      <w:pPr>
        <w:spacing w:line="260" w:lineRule="auto"/>
        <w:jc w:val="both"/>
        <w:rPr>
          <w:rFonts w:ascii="Helvetica" w:eastAsia="Helvetica" w:hAnsi="Helvetica" w:cs="Helvetica"/>
          <w:color w:val="3F3F3F"/>
        </w:rPr>
      </w:pPr>
    </w:p>
    <w:p w14:paraId="3AF768D2" w14:textId="77777777" w:rsidR="00AA6F02" w:rsidRDefault="00AA6F02" w:rsidP="004E3FC0">
      <w:pPr>
        <w:spacing w:line="260" w:lineRule="auto"/>
        <w:ind w:left="567"/>
        <w:jc w:val="both"/>
        <w:rPr>
          <w:rFonts w:ascii="Helvetica" w:eastAsia="Helvetica" w:hAnsi="Helvetica" w:cs="Helvetica"/>
          <w:color w:val="3F3F3F"/>
        </w:rPr>
      </w:pPr>
      <w:r w:rsidRPr="00252756">
        <w:rPr>
          <w:noProof/>
        </w:rPr>
        <w:drawing>
          <wp:inline distT="0" distB="0" distL="0" distR="0" wp14:anchorId="4BDB30C9" wp14:editId="0FA60933">
            <wp:extent cx="1259279" cy="1258525"/>
            <wp:effectExtent l="0" t="0" r="0" b="12065"/>
            <wp:docPr id="95" name="Picture 95" descr="Improvement"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board 1 copy 1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59279" cy="1258525"/>
                    </a:xfrm>
                    <a:prstGeom prst="rect">
                      <a:avLst/>
                    </a:prstGeom>
                  </pic:spPr>
                </pic:pic>
              </a:graphicData>
            </a:graphic>
          </wp:inline>
        </w:drawing>
      </w:r>
      <w:r>
        <w:rPr>
          <w:rFonts w:ascii="Helvetica" w:eastAsia="Helvetica" w:hAnsi="Helvetica" w:cs="Helvetica"/>
          <w:color w:val="3F3F3F"/>
        </w:rPr>
        <w:t xml:space="preserve"> </w:t>
      </w:r>
    </w:p>
    <w:p w14:paraId="604805CF" w14:textId="4190E42E" w:rsidR="00251049" w:rsidRDefault="00251049" w:rsidP="000C7425">
      <w:pPr>
        <w:pStyle w:val="Heading2"/>
        <w:rPr>
          <w:rFonts w:ascii="Helvetica" w:hAnsi="Helvetica" w:cs="Helvetica"/>
          <w:color w:val="FFFFFF"/>
        </w:rPr>
      </w:pPr>
      <w:bookmarkStart w:id="90" w:name="_Toc515874448"/>
      <w:bookmarkStart w:id="91" w:name="_Toc515874519"/>
      <w:bookmarkStart w:id="92" w:name="_Toc515874689"/>
      <w:bookmarkStart w:id="93" w:name="_Toc516827460"/>
      <w:r>
        <w:t xml:space="preserve">Improving consumer </w:t>
      </w:r>
      <w:r w:rsidR="00E0639C">
        <w:t>decisions</w:t>
      </w:r>
      <w:r>
        <w:t xml:space="preserve"> in a changing world</w:t>
      </w:r>
      <w:bookmarkEnd w:id="90"/>
      <w:bookmarkEnd w:id="91"/>
      <w:bookmarkEnd w:id="92"/>
      <w:bookmarkEnd w:id="93"/>
      <w:r>
        <w:t xml:space="preserve"> </w:t>
      </w:r>
    </w:p>
    <w:p w14:paraId="384EA8FD" w14:textId="372B038C" w:rsidR="009957AE" w:rsidRDefault="009957AE" w:rsidP="004E3FC0">
      <w:pPr>
        <w:jc w:val="both"/>
        <w:rPr>
          <w:rFonts w:eastAsia="Helvetica"/>
        </w:rPr>
      </w:pPr>
      <w:r>
        <w:rPr>
          <w:rFonts w:eastAsia="Helvetica"/>
        </w:rPr>
        <w:br w:type="page"/>
      </w:r>
    </w:p>
    <w:p w14:paraId="0833DBE4" w14:textId="0C43775E" w:rsidR="00FB33A2" w:rsidRDefault="00FB33A2" w:rsidP="00FB33A2">
      <w:pPr>
        <w:pStyle w:val="Heading3"/>
        <w:framePr w:wrap="around"/>
        <w:spacing w:after="240"/>
        <w:ind w:right="-851"/>
        <w:rPr>
          <w:bCs/>
        </w:rPr>
      </w:pPr>
      <w:r w:rsidRPr="00FB33A2">
        <w:rPr>
          <w:bCs/>
        </w:rPr>
        <w:lastRenderedPageBreak/>
        <w:t>Supporting older Australians in retirement income planning</w:t>
      </w:r>
    </w:p>
    <w:p w14:paraId="13470946" w14:textId="77777777" w:rsidR="001B5DD4" w:rsidRPr="001B5DD4" w:rsidRDefault="001B5DD4" w:rsidP="001B5DD4"/>
    <w:tbl>
      <w:tblPr>
        <w:tblStyle w:val="TableGrid"/>
        <w:tblpPr w:leftFromText="180" w:rightFromText="180" w:vertAnchor="page" w:horzAnchor="margin" w:tblpY="5510"/>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Supporting older Australians in retirement income planning"/>
        <w:tblDescription w:val="Text box description of a trial to support older Australians to plan their retirement  savings and improve income planning. "/>
      </w:tblPr>
      <w:tblGrid>
        <w:gridCol w:w="9162"/>
      </w:tblGrid>
      <w:tr w:rsidR="001B5DD4" w14:paraId="3FD9F5A0" w14:textId="77777777" w:rsidTr="001B5DD4">
        <w:trPr>
          <w:trHeight w:val="6123"/>
        </w:trPr>
        <w:tc>
          <w:tcPr>
            <w:tcW w:w="9162" w:type="dxa"/>
            <w:tcBorders>
              <w:bottom w:val="nil"/>
            </w:tcBorders>
            <w:shd w:val="clear" w:color="auto" w:fill="D9D9D9" w:themeFill="background1" w:themeFillShade="D9"/>
          </w:tcPr>
          <w:p w14:paraId="4047734C" w14:textId="46D54E37" w:rsidR="001B5DD4" w:rsidRPr="00693D50" w:rsidRDefault="001B5DD4" w:rsidP="001B5DD4">
            <w:pPr>
              <w:spacing w:after="240" w:line="320" w:lineRule="auto"/>
              <w:rPr>
                <w:rFonts w:ascii="Helvetica" w:eastAsia="Helvetica" w:hAnsi="Helvetica" w:cs="Helvetica"/>
                <w:color w:val="3F3F3F"/>
                <w:sz w:val="24"/>
              </w:rPr>
            </w:pPr>
            <w:bookmarkStart w:id="94" w:name="_Toc515874449"/>
            <w:bookmarkStart w:id="95" w:name="_Toc515874520"/>
            <w:bookmarkStart w:id="96" w:name="_Toc515874690"/>
            <w:r w:rsidRPr="00693D50">
              <w:rPr>
                <w:rFonts w:ascii="Helvetica" w:eastAsia="Helvetica" w:hAnsi="Helvetica" w:cs="Helvetica"/>
                <w:color w:val="3F3F3F"/>
                <w:sz w:val="24"/>
              </w:rPr>
              <w:t>The Australian population is ageing. More people are retiring and they need to decide what to do with their superannuation savings. This is an infrequent, high stakes and complex decision. There is not currently enough support to help people make this decision.</w:t>
            </w:r>
          </w:p>
          <w:p w14:paraId="101F0E6B" w14:textId="6725DB15" w:rsidR="001B5DD4" w:rsidRPr="00693D50" w:rsidRDefault="001B5DD4" w:rsidP="001B5DD4">
            <w:pPr>
              <w:spacing w:after="240" w:line="320" w:lineRule="auto"/>
              <w:rPr>
                <w:rFonts w:ascii="Helvetica" w:eastAsia="Helvetica" w:hAnsi="Helvetica" w:cs="Helvetica"/>
                <w:color w:val="3F3F3F"/>
                <w:sz w:val="24"/>
              </w:rPr>
            </w:pPr>
            <w:r w:rsidRPr="00693D50">
              <w:rPr>
                <w:rFonts w:ascii="Helvetica" w:eastAsia="Helvetica" w:hAnsi="Helvetica" w:cs="Helvetica"/>
                <w:color w:val="3F3F3F"/>
                <w:sz w:val="24"/>
              </w:rPr>
              <w:t>To help address this problem, this study examined how retirement income plans could be presented to older Australians to maximise consumer understanding and improve decision-making.</w:t>
            </w:r>
          </w:p>
          <w:p w14:paraId="1278D040" w14:textId="7CC26721" w:rsidR="001B5DD4" w:rsidRPr="004E3FC0" w:rsidRDefault="001B5DD4" w:rsidP="001B5DD4">
            <w:pPr>
              <w:spacing w:after="240" w:line="320" w:lineRule="auto"/>
              <w:rPr>
                <w:rFonts w:ascii="Helvetica" w:eastAsia="Helvetica" w:hAnsi="Helvetica" w:cs="Helvetica"/>
                <w:color w:val="3F3F3F"/>
                <w:sz w:val="24"/>
              </w:rPr>
            </w:pPr>
            <w:r w:rsidRPr="00693D50">
              <w:rPr>
                <w:rFonts w:ascii="Helvetica" w:eastAsia="Helvetica" w:hAnsi="Helvetica" w:cs="Helvetica"/>
                <w:color w:val="3F3F3F"/>
                <w:sz w:val="24"/>
              </w:rPr>
              <w:t xml:space="preserve">Over 3,600 older people responded to a series of hypothetical income plans. </w:t>
            </w:r>
            <w:r>
              <w:rPr>
                <w:rFonts w:ascii="Helvetica" w:eastAsia="Helvetica" w:hAnsi="Helvetica" w:cs="Helvetica"/>
                <w:color w:val="3F3F3F"/>
                <w:sz w:val="24"/>
              </w:rPr>
              <w:br/>
            </w:r>
            <w:r w:rsidRPr="00693D50">
              <w:rPr>
                <w:rFonts w:ascii="Helvetica" w:eastAsia="Helvetica" w:hAnsi="Helvetica" w:cs="Helvetica"/>
                <w:color w:val="3F3F3F"/>
                <w:sz w:val="24"/>
              </w:rPr>
              <w:t>The results showed presenting information simply helped people understand the options available and to make decisions that aligned with their superannuation preferences.</w:t>
            </w:r>
          </w:p>
        </w:tc>
      </w:tr>
    </w:tbl>
    <w:bookmarkEnd w:id="94"/>
    <w:bookmarkEnd w:id="95"/>
    <w:bookmarkEnd w:id="96"/>
    <w:p w14:paraId="6A271C05" w14:textId="7AFD0767" w:rsidR="00EB6B12" w:rsidRDefault="00AC3B4F" w:rsidP="001B5DD4">
      <w:pPr>
        <w:pStyle w:val="h4"/>
      </w:pPr>
      <w:r>
        <w:t xml:space="preserve"> </w:t>
      </w:r>
      <w:r w:rsidR="001B5DD4" w:rsidRPr="004E3FC0">
        <w:t>Abstract</w:t>
      </w:r>
    </w:p>
    <w:p w14:paraId="332BA6CF" w14:textId="0CF625E4" w:rsidR="00E0639C" w:rsidRPr="00EB6B12" w:rsidRDefault="00EB6B12" w:rsidP="00EB6B12">
      <w:pPr>
        <w:pStyle w:val="h4"/>
      </w:pPr>
      <w:r>
        <w:rPr>
          <w:noProof/>
        </w:rPr>
        <w:drawing>
          <wp:anchor distT="0" distB="0" distL="114300" distR="114300" simplePos="0" relativeHeight="251827712" behindDoc="0" locked="0" layoutInCell="1" allowOverlap="1" wp14:anchorId="6CD4B55B" wp14:editId="5EDCE1C7">
            <wp:simplePos x="0" y="0"/>
            <wp:positionH relativeFrom="margin">
              <wp:posOffset>63500</wp:posOffset>
            </wp:positionH>
            <wp:positionV relativeFrom="paragraph">
              <wp:posOffset>4779645</wp:posOffset>
            </wp:positionV>
            <wp:extent cx="2271395" cy="520065"/>
            <wp:effectExtent l="0" t="0" r="0" b="0"/>
            <wp:wrapNone/>
            <wp:docPr id="26" name="Picture 26" descr="Australian Government The Treasury"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sy.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71395" cy="520065"/>
                    </a:xfrm>
                    <a:prstGeom prst="rect">
                      <a:avLst/>
                    </a:prstGeom>
                  </pic:spPr>
                </pic:pic>
              </a:graphicData>
            </a:graphic>
            <wp14:sizeRelH relativeFrom="page">
              <wp14:pctWidth>0</wp14:pctWidth>
            </wp14:sizeRelH>
            <wp14:sizeRelV relativeFrom="page">
              <wp14:pctHeight>0</wp14:pctHeight>
            </wp14:sizeRelV>
          </wp:anchor>
        </w:drawing>
      </w:r>
      <w:r w:rsidRPr="000B0B98">
        <w:rPr>
          <w:noProof/>
        </w:rPr>
        <w:drawing>
          <wp:anchor distT="0" distB="0" distL="114300" distR="114300" simplePos="0" relativeHeight="251826688" behindDoc="0" locked="0" layoutInCell="1" allowOverlap="1" wp14:anchorId="1827C8E1" wp14:editId="2D061EEB">
            <wp:simplePos x="0" y="0"/>
            <wp:positionH relativeFrom="column">
              <wp:posOffset>3895385</wp:posOffset>
            </wp:positionH>
            <wp:positionV relativeFrom="paragraph">
              <wp:posOffset>4801353</wp:posOffset>
            </wp:positionV>
            <wp:extent cx="1910715" cy="499110"/>
            <wp:effectExtent l="0" t="0" r="0" b="0"/>
            <wp:wrapNone/>
            <wp:docPr id="742" name="Picture 742" descr="\\share.internal.pmc.gov.au@ssl\teams\ed_beta\PlanningStrategy\Templates\2018_BETA_Templates\BETA_brand\BETA_Logo_CMYK_GREEN.jpg"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712">
        <w:t>Project by</w:t>
      </w:r>
      <w:r>
        <w:t xml:space="preserve"> </w:t>
      </w:r>
      <w:r w:rsidR="00E0639C">
        <w:br w:type="page"/>
      </w:r>
    </w:p>
    <w:p w14:paraId="2CAB1DAE" w14:textId="77777777" w:rsidR="00E0639C" w:rsidRPr="00D33213" w:rsidRDefault="00E0639C" w:rsidP="00D33213">
      <w:pPr>
        <w:pStyle w:val="h4"/>
      </w:pPr>
      <w:r w:rsidRPr="00C47451">
        <w:lastRenderedPageBreak/>
        <w:t xml:space="preserve">The policy problem </w:t>
      </w:r>
    </w:p>
    <w:p w14:paraId="5D593AEC" w14:textId="78BAB14F" w:rsidR="009525D0" w:rsidRDefault="009525D0" w:rsidP="007A3700">
      <w:pPr>
        <w:rPr>
          <w:rFonts w:eastAsia="Helvetica"/>
        </w:rPr>
      </w:pPr>
      <w:r>
        <w:rPr>
          <w:rFonts w:eastAsia="Helvetica"/>
        </w:rPr>
        <w:t>Similar to other countries around the world, Australia has an ageing population. It is projected the number of people aged 65 and over will more than double by 2061.</w:t>
      </w:r>
      <w:r>
        <w:rPr>
          <w:rStyle w:val="FootnoteReference"/>
        </w:rPr>
        <w:footnoteReference w:id="58"/>
      </w:r>
      <w:r>
        <w:rPr>
          <w:rFonts w:eastAsia="Helvetica"/>
        </w:rPr>
        <w:t xml:space="preserve"> Consequently, more people will need to learn the difficult task of how to manage their retirement savings. </w:t>
      </w:r>
      <w:r w:rsidR="006E151A">
        <w:rPr>
          <w:rFonts w:eastAsia="Helvetica"/>
        </w:rPr>
        <w:br/>
      </w:r>
      <w:r>
        <w:rPr>
          <w:rFonts w:eastAsia="Helvetica"/>
        </w:rPr>
        <w:t>People must account for uncertainties, such as how long they might live, changes to their lifestyle needs/preferences and uncertainties related to investment performance.</w:t>
      </w:r>
    </w:p>
    <w:p w14:paraId="433668F8" w14:textId="1990A6C7" w:rsidR="009525D0" w:rsidRDefault="009525D0" w:rsidP="007A3700">
      <w:pPr>
        <w:rPr>
          <w:rFonts w:eastAsia="Helvetica"/>
        </w:rPr>
      </w:pPr>
      <w:r>
        <w:rPr>
          <w:rFonts w:eastAsia="Helvetica"/>
        </w:rPr>
        <w:t xml:space="preserve">At present, most retirees access an account-based pension </w:t>
      </w:r>
      <w:r w:rsidR="00EA5ACD">
        <w:rPr>
          <w:rFonts w:eastAsia="Helvetica"/>
        </w:rPr>
        <w:t>requiring them to</w:t>
      </w:r>
      <w:r>
        <w:rPr>
          <w:rFonts w:eastAsia="Helvetica"/>
        </w:rPr>
        <w:t xml:space="preserve"> decide how much to withdraw each year, a complex decision in and of itself. If an incorrect amount is selected, people may run out of retirement savings.</w:t>
      </w:r>
    </w:p>
    <w:p w14:paraId="1965C7E4" w14:textId="77777777" w:rsidR="009525D0" w:rsidRDefault="009525D0" w:rsidP="007A3700">
      <w:pPr>
        <w:rPr>
          <w:rFonts w:eastAsia="Helvetica"/>
        </w:rPr>
      </w:pPr>
      <w:r>
        <w:rPr>
          <w:rFonts w:eastAsia="Helvetica"/>
        </w:rPr>
        <w:t>To address these issues, superannuation funds now offer a new plan known as the ‘Comprehensive Income Product for Retirement’. This product converts people’s superannuation balance into a regular income payment based on the information that people input about their needs.</w:t>
      </w:r>
    </w:p>
    <w:p w14:paraId="698510C1" w14:textId="4E88F8B5" w:rsidR="00A50939" w:rsidRDefault="009525D0" w:rsidP="007A3700">
      <w:pPr>
        <w:rPr>
          <w:rFonts w:eastAsia="Helvetica"/>
        </w:rPr>
      </w:pPr>
      <w:r>
        <w:rPr>
          <w:rFonts w:eastAsia="Helvetica"/>
        </w:rPr>
        <w:t>Previous research has shown when it comes to financial decisions in general and superannuation in particular, many people do not make optimal choices.</w:t>
      </w:r>
      <w:r>
        <w:rPr>
          <w:rStyle w:val="FootnoteReference"/>
        </w:rPr>
        <w:footnoteReference w:id="59"/>
      </w:r>
      <w:r>
        <w:rPr>
          <w:rFonts w:eastAsia="Helvetica"/>
        </w:rPr>
        <w:t xml:space="preserve"> We looked at how superannuation funds can present information to members so </w:t>
      </w:r>
      <w:r w:rsidR="00EA5ACD">
        <w:rPr>
          <w:rFonts w:eastAsia="Helvetica"/>
        </w:rPr>
        <w:t xml:space="preserve">that </w:t>
      </w:r>
      <w:r>
        <w:rPr>
          <w:rFonts w:eastAsia="Helvetica"/>
        </w:rPr>
        <w:t>they can better understand their options and choose the retirement income product that best suits them</w:t>
      </w:r>
      <w:r w:rsidR="00A50939">
        <w:rPr>
          <w:rFonts w:eastAsia="Helvetica"/>
        </w:rPr>
        <w:t xml:space="preserve">. </w:t>
      </w:r>
    </w:p>
    <w:p w14:paraId="19D06B72" w14:textId="77777777" w:rsidR="00E0639C" w:rsidRPr="00C47451" w:rsidRDefault="00E0639C" w:rsidP="00D33213">
      <w:pPr>
        <w:pStyle w:val="h4"/>
      </w:pPr>
      <w:r w:rsidRPr="0004155D">
        <w:t>Our findings and learnings</w:t>
      </w:r>
    </w:p>
    <w:p w14:paraId="109B1BD8" w14:textId="29B24D0A" w:rsidR="00A50939" w:rsidRDefault="009525D0" w:rsidP="007A3700">
      <w:pPr>
        <w:rPr>
          <w:rFonts w:eastAsia="Helvetica"/>
        </w:rPr>
      </w:pPr>
      <w:r>
        <w:rPr>
          <w:rFonts w:eastAsia="Helvetica"/>
        </w:rPr>
        <w:t>In our study, older people were asked to compare an account-based pension to the Comprehensive Income Product for Retirement.We examined how the information about the two plans could be presented to improve consumer understanding</w:t>
      </w:r>
      <w:r w:rsidR="00A50939">
        <w:rPr>
          <w:rFonts w:eastAsia="Helvetica"/>
        </w:rPr>
        <w:t>.</w:t>
      </w:r>
    </w:p>
    <w:p w14:paraId="76119304" w14:textId="77777777" w:rsidR="000933C6" w:rsidRDefault="000933C6" w:rsidP="007A3700">
      <w:pPr>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E0639C" w14:paraId="535E52A0" w14:textId="77777777" w:rsidTr="00FA42F4">
        <w:trPr>
          <w:trHeight w:val="1"/>
        </w:trPr>
        <w:tc>
          <w:tcPr>
            <w:tcW w:w="5000" w:type="pct"/>
            <w:shd w:val="clear" w:color="auto" w:fill="F2F2F2"/>
            <w:tcMar>
              <w:left w:w="108" w:type="dxa"/>
              <w:right w:w="108" w:type="dxa"/>
            </w:tcMar>
          </w:tcPr>
          <w:p w14:paraId="5A5F64F8" w14:textId="77777777" w:rsidR="00E0639C" w:rsidRDefault="00E0639C" w:rsidP="00D33213">
            <w:pPr>
              <w:spacing w:line="259" w:lineRule="auto"/>
              <w:jc w:val="both"/>
              <w:outlineLvl w:val="6"/>
              <w:rPr>
                <w:rFonts w:ascii="Helvetica" w:eastAsia="Helvetica" w:hAnsi="Helvetica" w:cs="Helvetica"/>
                <w:b/>
                <w:color w:val="142E3B"/>
                <w:sz w:val="24"/>
              </w:rPr>
            </w:pPr>
            <w:r>
              <w:rPr>
                <w:i/>
                <w:iCs/>
                <w:noProof/>
                <w:color w:val="142E3B" w:themeColor="accent6"/>
                <w:sz w:val="28"/>
              </w:rPr>
              <w:drawing>
                <wp:anchor distT="0" distB="0" distL="0" distR="114300" simplePos="0" relativeHeight="251628032" behindDoc="1" locked="0" layoutInCell="1" allowOverlap="1" wp14:anchorId="3C5A4C18" wp14:editId="11B48928">
                  <wp:simplePos x="0" y="0"/>
                  <wp:positionH relativeFrom="margin">
                    <wp:posOffset>-13557</wp:posOffset>
                  </wp:positionH>
                  <wp:positionV relativeFrom="paragraph">
                    <wp:posOffset>32109</wp:posOffset>
                  </wp:positionV>
                  <wp:extent cx="370800" cy="370800"/>
                  <wp:effectExtent l="0" t="0" r="0" b="3175"/>
                  <wp:wrapTight wrapText="bothSides">
                    <wp:wrapPolygon edited="0">
                      <wp:start x="0" y="0"/>
                      <wp:lineTo x="0" y="20007"/>
                      <wp:lineTo x="20007" y="20007"/>
                      <wp:lineTo x="20007" y="0"/>
                      <wp:lineTo x="0" y="0"/>
                    </wp:wrapPolygon>
                  </wp:wrapTight>
                  <wp:docPr id="758" name="Picture 758"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color w:val="142E3B"/>
                <w:sz w:val="24"/>
              </w:rPr>
              <w:t xml:space="preserve">Behavioural insight </w:t>
            </w:r>
          </w:p>
          <w:p w14:paraId="0F46AE2B" w14:textId="2669BF0A" w:rsidR="00A50939" w:rsidRDefault="00E0639C" w:rsidP="007A3700">
            <w:pPr>
              <w:rPr>
                <w:rFonts w:eastAsia="Helvetica"/>
              </w:rPr>
            </w:pPr>
            <w:r w:rsidRPr="00475E18">
              <w:rPr>
                <w:rFonts w:ascii="Helvetica" w:eastAsia="Helvetica" w:hAnsi="Helvetica" w:cs="Helvetica"/>
                <w:b/>
                <w:color w:val="auto"/>
              </w:rPr>
              <w:t xml:space="preserve">Simplification </w:t>
            </w:r>
            <w:r w:rsidR="00A50939">
              <w:rPr>
                <w:rFonts w:eastAsia="Helvetica"/>
              </w:rPr>
              <w:t>of information about choices is commonly used to assist people making financial decisions. Essentially, simplification seeks to reduce and/or clarify information so that it is easier to understand and use.</w:t>
            </w:r>
          </w:p>
          <w:p w14:paraId="550543B8" w14:textId="77777777" w:rsidR="00475E18" w:rsidRDefault="00A50939" w:rsidP="007A3700">
            <w:pPr>
              <w:rPr>
                <w:rFonts w:eastAsia="Helvetica"/>
              </w:rPr>
            </w:pPr>
            <w:r>
              <w:rPr>
                <w:rFonts w:eastAsia="Helvetica"/>
              </w:rPr>
              <w:t>There are many different ways to simplify information. Unsurprisingly, the evidence on simplification is mixed.</w:t>
            </w:r>
            <w:r>
              <w:rPr>
                <w:rStyle w:val="FootnoteReference"/>
                <w:rFonts w:eastAsia="Helvetica" w:cs="Helvetica"/>
                <w:color w:val="3F3F3F"/>
              </w:rPr>
              <w:footnoteReference w:id="60"/>
            </w:r>
            <w:r>
              <w:rPr>
                <w:rFonts w:eastAsia="Helvetica"/>
              </w:rPr>
              <w:t xml:space="preserve"> </w:t>
            </w:r>
          </w:p>
          <w:p w14:paraId="689265F5" w14:textId="15AE2670" w:rsidR="00A50939" w:rsidRPr="00475E18" w:rsidRDefault="00A50939" w:rsidP="007A3700">
            <w:pPr>
              <w:rPr>
                <w:rFonts w:ascii="Times New Roman" w:eastAsiaTheme="minorHAnsi" w:hAnsi="Times New Roman"/>
                <w:color w:val="auto"/>
                <w:sz w:val="24"/>
                <w:szCs w:val="24"/>
              </w:rPr>
            </w:pPr>
            <w:r>
              <w:rPr>
                <w:rFonts w:eastAsia="Helvetica"/>
              </w:rPr>
              <w:t xml:space="preserve">To contribute to the research on simplification and in an attempt to increase the </w:t>
            </w:r>
            <w:r w:rsidRPr="00A50939">
              <w:rPr>
                <w:rFonts w:eastAsia="Helvetica"/>
                <w:b/>
              </w:rPr>
              <w:t>salience</w:t>
            </w:r>
            <w:r>
              <w:rPr>
                <w:rFonts w:eastAsia="Helvetica"/>
              </w:rPr>
              <w:t xml:space="preserve"> of income comparison, we considered the effects of using tables, graphical displays, a visual quality scale (e.g., a star ratings) and an attention cue (e.g., a bold border).</w:t>
            </w:r>
            <w:r>
              <w:rPr>
                <w:rFonts w:ascii="Times New Roman" w:eastAsiaTheme="minorHAnsi" w:hAnsi="Times New Roman"/>
                <w:color w:val="auto"/>
                <w:sz w:val="24"/>
                <w:szCs w:val="24"/>
              </w:rPr>
              <w:t xml:space="preserve"> </w:t>
            </w:r>
          </w:p>
        </w:tc>
      </w:tr>
    </w:tbl>
    <w:p w14:paraId="519C6EC4" w14:textId="77777777" w:rsidR="000933C6" w:rsidRDefault="000933C6" w:rsidP="007A3700">
      <w:pPr>
        <w:rPr>
          <w:rFonts w:eastAsia="Helvetica"/>
        </w:rPr>
      </w:pPr>
    </w:p>
    <w:p w14:paraId="7557110E" w14:textId="05D131EF" w:rsidR="00475E18" w:rsidRDefault="009525D0" w:rsidP="007A3700">
      <w:pPr>
        <w:rPr>
          <w:rFonts w:eastAsia="Helvetica"/>
        </w:rPr>
      </w:pPr>
      <w:r>
        <w:rPr>
          <w:rFonts w:eastAsia="Helvetica"/>
        </w:rPr>
        <w:t xml:space="preserve">People were randomly assigned to one of eight conditions and asked to view information about the two plans. The conditions varied the combinations of text, number tables, text tables, star ratings and graphs. </w:t>
      </w:r>
    </w:p>
    <w:p w14:paraId="302ACD5A" w14:textId="77777777" w:rsidR="00E0639C" w:rsidRPr="00C47451" w:rsidRDefault="00E0639C" w:rsidP="00D33213">
      <w:pPr>
        <w:pStyle w:val="h5"/>
      </w:pPr>
      <w:r w:rsidRPr="00C47451">
        <w:lastRenderedPageBreak/>
        <w:t>Most effective presentations of information</w:t>
      </w:r>
    </w:p>
    <w:p w14:paraId="26A11D06" w14:textId="00B0D738" w:rsidR="009525D0" w:rsidRDefault="009525D0" w:rsidP="007A3700">
      <w:pPr>
        <w:rPr>
          <w:rFonts w:eastAsia="Helvetica"/>
        </w:rPr>
      </w:pPr>
      <w:r>
        <w:rPr>
          <w:rFonts w:eastAsia="Helvetica"/>
        </w:rPr>
        <w:t xml:space="preserve">Simple text-based descriptions of key plan features (such as those displayed in </w:t>
      </w:r>
      <w:r>
        <w:rPr>
          <w:rFonts w:eastAsia="Helvetica"/>
        </w:rPr>
        <w:fldChar w:fldCharType="begin"/>
      </w:r>
      <w:r>
        <w:rPr>
          <w:rFonts w:eastAsia="Helvetica"/>
        </w:rPr>
        <w:instrText xml:space="preserve"> REF _Ref513795674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22</w:t>
      </w:r>
      <w:r>
        <w:rPr>
          <w:rFonts w:eastAsia="Helvetica"/>
        </w:rPr>
        <w:fldChar w:fldCharType="end"/>
      </w:r>
      <w:r>
        <w:rPr>
          <w:rFonts w:eastAsia="Helvetica"/>
        </w:rPr>
        <w:t xml:space="preserve">) were the most effective while tables with numerical estimates were the least effective. </w:t>
      </w:r>
    </w:p>
    <w:p w14:paraId="3CB96027" w14:textId="5479ED60" w:rsidR="00475E18" w:rsidRDefault="009525D0" w:rsidP="007A3700">
      <w:pPr>
        <w:rPr>
          <w:rFonts w:eastAsia="Helvetica"/>
        </w:rPr>
      </w:pPr>
      <w:r>
        <w:rPr>
          <w:rFonts w:eastAsia="Helvetica"/>
        </w:rPr>
        <w:t xml:space="preserve">The use of a text table that highlighted income (see </w:t>
      </w:r>
      <w:r>
        <w:rPr>
          <w:rFonts w:eastAsia="Helvetica"/>
        </w:rPr>
        <w:fldChar w:fldCharType="begin"/>
      </w:r>
      <w:r>
        <w:rPr>
          <w:rFonts w:eastAsia="Helvetica"/>
        </w:rPr>
        <w:instrText xml:space="preserve"> REF _Ref513795674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22</w:t>
      </w:r>
      <w:r>
        <w:rPr>
          <w:rFonts w:eastAsia="Helvetica"/>
        </w:rPr>
        <w:fldChar w:fldCharType="end"/>
      </w:r>
      <w:r>
        <w:rPr>
          <w:rFonts w:eastAsia="Helvetica"/>
        </w:rPr>
        <w:t>) proved to the most effective method of presenting information. The text table improved outcomes of comprehension, perceived clarity, decision-making ease, decision-making confidence and where it aligns with their preferences, selecting the Comprehensive Income Product for Retirement rather than the account-based pension</w:t>
      </w:r>
      <w:r w:rsidR="00475E18">
        <w:rPr>
          <w:rFonts w:eastAsia="Helvetica"/>
        </w:rPr>
        <w:t>.</w:t>
      </w:r>
    </w:p>
    <w:p w14:paraId="03C90B15" w14:textId="77777777" w:rsidR="00E0639C" w:rsidRPr="00C47451" w:rsidRDefault="00E0639C" w:rsidP="00D33213">
      <w:pPr>
        <w:pStyle w:val="h4"/>
      </w:pPr>
      <w:r w:rsidRPr="0004155D">
        <w:t xml:space="preserve">Future opportunities </w:t>
      </w:r>
    </w:p>
    <w:p w14:paraId="44EA90E3" w14:textId="5D426DB3" w:rsidR="00A43C36" w:rsidRDefault="00A43C36" w:rsidP="007A3700">
      <w:r>
        <w:rPr>
          <w:rFonts w:eastAsia="Helvetica"/>
        </w:rPr>
        <w:t xml:space="preserve">Based on people’s stated preferences, there is demand for the Comprehensive Income Product for Retirement. </w:t>
      </w:r>
      <w:r>
        <w:t xml:space="preserve">Our study showed behavioural insights can be used to increase understanding and hypothetical uptake of this product when it aligns with consumer preferences. </w:t>
      </w:r>
    </w:p>
    <w:p w14:paraId="5C23542C" w14:textId="0B5BCFE4" w:rsidR="00E0639C" w:rsidRDefault="00E0639C" w:rsidP="007A3700">
      <w:pPr>
        <w:rPr>
          <w:rFonts w:eastAsia="Helvetica"/>
        </w:rPr>
      </w:pPr>
      <w:r>
        <w:rPr>
          <w:rFonts w:eastAsia="Helvetica"/>
        </w:rPr>
        <w:t xml:space="preserve">For further information about </w:t>
      </w:r>
      <w:r w:rsidR="00475E18">
        <w:rPr>
          <w:rFonts w:eastAsia="Helvetica"/>
        </w:rPr>
        <w:t>this</w:t>
      </w:r>
      <w:r>
        <w:rPr>
          <w:rFonts w:eastAsia="Helvetica"/>
        </w:rPr>
        <w:t xml:space="preserve"> trial, read the full report</w:t>
      </w:r>
      <w:r w:rsidR="008E37A7">
        <w:rPr>
          <w:rFonts w:eastAsia="Helvetica"/>
        </w:rPr>
        <w:t xml:space="preserve"> at the</w:t>
      </w:r>
      <w:r>
        <w:rPr>
          <w:rFonts w:eastAsia="Helvetica"/>
        </w:rPr>
        <w:t xml:space="preserve"> </w:t>
      </w:r>
      <w:hyperlink r:id="rId110">
        <w:r w:rsidR="008E37A7">
          <w:rPr>
            <w:rFonts w:eastAsia="Helvetica"/>
            <w:color w:val="2158A8"/>
            <w:u w:val="single"/>
          </w:rPr>
          <w:t>BETA website</w:t>
        </w:r>
      </w:hyperlink>
      <w:r>
        <w:rPr>
          <w:rFonts w:eastAsia="Helvetica"/>
        </w:rPr>
        <w:t>.</w:t>
      </w:r>
    </w:p>
    <w:p w14:paraId="4B97E3CA" w14:textId="77777777" w:rsidR="009525D0" w:rsidRPr="009525D0" w:rsidRDefault="009525D0" w:rsidP="004E3FC0">
      <w:pPr>
        <w:spacing w:before="0" w:after="0" w:line="240" w:lineRule="auto"/>
        <w:jc w:val="both"/>
        <w:rPr>
          <w:rFonts w:asciiTheme="majorHAnsi" w:eastAsia="Helvetica" w:hAnsiTheme="majorHAnsi"/>
          <w:b/>
          <w:sz w:val="4"/>
          <w:szCs w:val="4"/>
        </w:rPr>
      </w:pPr>
      <w:r w:rsidRPr="009525D0">
        <w:rPr>
          <w:rFonts w:eastAsia="Helvetica"/>
          <w:sz w:val="4"/>
          <w:szCs w:val="4"/>
        </w:rPr>
        <w:br w:type="page"/>
      </w:r>
    </w:p>
    <w:tbl>
      <w:tblPr>
        <w:tblStyle w:val="TableGrid"/>
        <w:tblpPr w:leftFromText="180" w:rightFromText="180" w:vertAnchor="page" w:horzAnchor="margin" w:tblpY="5057"/>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Saying more with less: simplifying energy fact sheets"/>
        <w:tblDescription w:val="Text box description of a project to help simplify information given to consumers about energy."/>
      </w:tblPr>
      <w:tblGrid>
        <w:gridCol w:w="9162"/>
      </w:tblGrid>
      <w:tr w:rsidR="00C47F20" w14:paraId="20931B9D" w14:textId="77777777" w:rsidTr="00FB33A2">
        <w:trPr>
          <w:trHeight w:val="6123"/>
        </w:trPr>
        <w:tc>
          <w:tcPr>
            <w:tcW w:w="9162" w:type="dxa"/>
            <w:tcBorders>
              <w:bottom w:val="nil"/>
            </w:tcBorders>
            <w:shd w:val="clear" w:color="auto" w:fill="D9D9D9" w:themeFill="background1" w:themeFillShade="D9"/>
          </w:tcPr>
          <w:p w14:paraId="6D01B318" w14:textId="77777777" w:rsidR="00C47F20" w:rsidRPr="00C47F20" w:rsidRDefault="00C47F20" w:rsidP="00FB33A2">
            <w:pPr>
              <w:spacing w:after="240" w:line="320" w:lineRule="auto"/>
              <w:rPr>
                <w:rFonts w:ascii="Helvetica" w:eastAsia="Helvetica" w:hAnsi="Helvetica" w:cs="Helvetica"/>
                <w:color w:val="3F3F3F"/>
                <w:sz w:val="24"/>
              </w:rPr>
            </w:pPr>
            <w:bookmarkStart w:id="97" w:name="_Ref515219247"/>
            <w:bookmarkStart w:id="98" w:name="_Toc515874450"/>
            <w:bookmarkStart w:id="99" w:name="_Toc515874521"/>
            <w:bookmarkStart w:id="100" w:name="_Toc515874691"/>
            <w:r w:rsidRPr="00C47F20">
              <w:rPr>
                <w:rFonts w:ascii="Helvetica" w:eastAsia="Helvetica" w:hAnsi="Helvetica" w:cs="Helvetica"/>
                <w:color w:val="3F3F3F"/>
                <w:sz w:val="24"/>
              </w:rPr>
              <w:lastRenderedPageBreak/>
              <w:t>A range of behavioural biases contribute to consumer inertia in the energy market. The time and effort required to compare and choose a plan may seem insurmountable.</w:t>
            </w:r>
          </w:p>
          <w:p w14:paraId="7540841F" w14:textId="77777777" w:rsidR="00C47F20" w:rsidRPr="00C47F20" w:rsidRDefault="00C47F20" w:rsidP="00FB33A2">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Consumers need access to information about available energy plans to identify which plan is the most cost-effective plan for them. Energy fact sheets are one of a number of tools designed to help consumers understand and compare energy plans. The information provided in fact sheets should be sufficiently comprehensive to enable consumers to make good choices but should not leave consumers feeling overwhelmed.</w:t>
            </w:r>
          </w:p>
          <w:p w14:paraId="47198263" w14:textId="77777777" w:rsidR="00C47F20" w:rsidRPr="00C47F20" w:rsidRDefault="00C47F20" w:rsidP="00FB33A2">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 xml:space="preserve">We developed five behaviourally-informed fact sheets (i.e., BETA fact sheets) and tested these alternative fact sheets and the existing fact sheet with around 4,500 Australians. </w:t>
            </w:r>
          </w:p>
          <w:p w14:paraId="672C10F3" w14:textId="38ABE3CF" w:rsidR="00C47F20" w:rsidRPr="004E3FC0" w:rsidRDefault="00C47F20" w:rsidP="00FB33A2">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All five BETA fact sheets were clearly preferred to the existing fact sheet. Survey participants found these fact sheets easy to understand and helpful in comparing electricity plans and making household budget decisions.</w:t>
            </w:r>
          </w:p>
        </w:tc>
      </w:tr>
    </w:tbl>
    <w:p w14:paraId="5904C2C2" w14:textId="39B577D2" w:rsidR="009957AE" w:rsidRDefault="00FB33A2" w:rsidP="00FB33A2">
      <w:pPr>
        <w:pStyle w:val="Heading3"/>
        <w:framePr w:wrap="around"/>
        <w:spacing w:after="240"/>
        <w:ind w:right="-13"/>
        <w:rPr>
          <w:bCs/>
        </w:rPr>
      </w:pPr>
      <w:bookmarkStart w:id="101" w:name="_Toc516827462"/>
      <w:bookmarkEnd w:id="97"/>
      <w:bookmarkEnd w:id="98"/>
      <w:bookmarkEnd w:id="99"/>
      <w:bookmarkEnd w:id="100"/>
      <w:r w:rsidRPr="00FB33A2">
        <w:rPr>
          <w:bCs/>
        </w:rPr>
        <w:t>Saying more with less: simplifying energy fact sheets</w:t>
      </w:r>
      <w:bookmarkEnd w:id="101"/>
    </w:p>
    <w:p w14:paraId="2A95EBEA" w14:textId="1CD41793" w:rsidR="001B5DD4" w:rsidRPr="004E3FC0" w:rsidRDefault="001B5DD4" w:rsidP="001B5DD4">
      <w:pPr>
        <w:pStyle w:val="h4"/>
      </w:pPr>
      <w:r w:rsidRPr="004E3FC0">
        <w:t>Abstract</w:t>
      </w:r>
    </w:p>
    <w:p w14:paraId="489C5BF1" w14:textId="6E09746F" w:rsidR="00EB6B12" w:rsidRDefault="00EB6B12" w:rsidP="00EB6B12">
      <w:pPr>
        <w:pStyle w:val="h4"/>
      </w:pPr>
      <w:r w:rsidRPr="00573712">
        <w:t>Project by</w:t>
      </w:r>
    </w:p>
    <w:p w14:paraId="317FFF93" w14:textId="786A894D" w:rsidR="00EB6B12" w:rsidRDefault="00EB6B12" w:rsidP="00EB6B12"/>
    <w:p w14:paraId="167C67C5" w14:textId="5F80A969" w:rsidR="00EB6B12" w:rsidRDefault="00EB6B12" w:rsidP="00EB6B12"/>
    <w:p w14:paraId="01C274A1" w14:textId="65F01641" w:rsidR="001B5DD4" w:rsidRPr="001B5DD4" w:rsidRDefault="00EB6B12" w:rsidP="001B5DD4">
      <w:r w:rsidRPr="000B0B98">
        <w:rPr>
          <w:noProof/>
        </w:rPr>
        <w:drawing>
          <wp:anchor distT="0" distB="0" distL="114300" distR="114300" simplePos="0" relativeHeight="251830784" behindDoc="0" locked="0" layoutInCell="1" allowOverlap="1" wp14:anchorId="0FBF33C3" wp14:editId="44A6B135">
            <wp:simplePos x="0" y="0"/>
            <wp:positionH relativeFrom="column">
              <wp:posOffset>3779003</wp:posOffset>
            </wp:positionH>
            <wp:positionV relativeFrom="paragraph">
              <wp:posOffset>181477</wp:posOffset>
            </wp:positionV>
            <wp:extent cx="1910715" cy="499110"/>
            <wp:effectExtent l="0" t="0" r="0" b="0"/>
            <wp:wrapNone/>
            <wp:docPr id="87" name="Picture 87"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760" behindDoc="0" locked="0" layoutInCell="1" allowOverlap="1" wp14:anchorId="3DA5C157" wp14:editId="6F28421B">
            <wp:simplePos x="0" y="0"/>
            <wp:positionH relativeFrom="margin">
              <wp:align>left</wp:align>
            </wp:positionH>
            <wp:positionV relativeFrom="paragraph">
              <wp:posOffset>188389</wp:posOffset>
            </wp:positionV>
            <wp:extent cx="1958975" cy="473075"/>
            <wp:effectExtent l="0" t="0" r="3175" b="3175"/>
            <wp:wrapNone/>
            <wp:docPr id="100" name="Picture 100" descr="Australian Energy Regulator"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58975" cy="47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59DEB" w14:textId="3D5ADFCE" w:rsidR="00251049" w:rsidRPr="0004155D" w:rsidRDefault="009957AE" w:rsidP="00D33213">
      <w:pPr>
        <w:pStyle w:val="h4"/>
      </w:pPr>
      <w:r w:rsidRPr="0004155D">
        <w:lastRenderedPageBreak/>
        <w:t>The p</w:t>
      </w:r>
      <w:r w:rsidR="00251049" w:rsidRPr="0004155D">
        <w:t xml:space="preserve">olicy problem </w:t>
      </w:r>
    </w:p>
    <w:p w14:paraId="12287D74" w14:textId="7D25FF48" w:rsidR="005D0412" w:rsidRDefault="005D0412" w:rsidP="007A3700">
      <w:pPr>
        <w:rPr>
          <w:rFonts w:eastAsia="Helvetica"/>
        </w:rPr>
      </w:pPr>
      <w:r>
        <w:rPr>
          <w:rFonts w:eastAsia="Helvetica"/>
        </w:rPr>
        <w:t>The Australian energy market requires consumers to consider large amounts of complex information. This can cause consumers to feel overwhelmed and increase the likelihood of making poor choices about an energy plan or give</w:t>
      </w:r>
      <w:r w:rsidR="006116D6">
        <w:rPr>
          <w:rFonts w:eastAsia="Helvetica"/>
        </w:rPr>
        <w:t xml:space="preserve"> </w:t>
      </w:r>
      <w:r>
        <w:rPr>
          <w:rFonts w:eastAsia="Helvetica"/>
        </w:rPr>
        <w:t>up making a decision altogether.</w:t>
      </w:r>
      <w:r>
        <w:rPr>
          <w:rStyle w:val="FootnoteReference"/>
          <w:rFonts w:eastAsia="Helvetica" w:cs="Helvetica"/>
          <w:color w:val="3F3F3F"/>
        </w:rPr>
        <w:footnoteReference w:id="61"/>
      </w:r>
      <w:r>
        <w:rPr>
          <w:rFonts w:eastAsia="Helvetica"/>
        </w:rPr>
        <w:t xml:space="preserve"> </w:t>
      </w:r>
      <w:r w:rsidR="006E151A">
        <w:rPr>
          <w:rFonts w:eastAsia="Helvetica"/>
        </w:rPr>
        <w:br/>
      </w:r>
      <w:r>
        <w:rPr>
          <w:rFonts w:eastAsia="Helvetica"/>
        </w:rPr>
        <w:t>Indeed, statistics show 47 per cent of Australian consumers have not changed their electricity company or plan in the last five years.</w:t>
      </w:r>
      <w:r>
        <w:rPr>
          <w:rStyle w:val="FootnoteReference"/>
          <w:rFonts w:eastAsia="Helvetica"/>
        </w:rPr>
        <w:footnoteReference w:id="62"/>
      </w:r>
      <w:r>
        <w:rPr>
          <w:rFonts w:eastAsia="Helvetica"/>
        </w:rPr>
        <w:t xml:space="preserve"> </w:t>
      </w:r>
    </w:p>
    <w:p w14:paraId="5A7F0036" w14:textId="366195C5" w:rsidR="00F2368A" w:rsidRDefault="005D0412" w:rsidP="007A3700">
      <w:pPr>
        <w:rPr>
          <w:rFonts w:eastAsia="Helvetica"/>
        </w:rPr>
      </w:pPr>
      <w:r>
        <w:rPr>
          <w:rFonts w:eastAsia="Helvetica"/>
        </w:rPr>
        <w:t>At a time when retail electricity prices are placing cost pressures on households (</w:t>
      </w:r>
      <w:r>
        <w:t>r</w:t>
      </w:r>
      <w:r w:rsidRPr="008F637F">
        <w:t>etail electricity prices have increased by 80 to 90</w:t>
      </w:r>
      <w:r>
        <w:t> </w:t>
      </w:r>
      <w:r w:rsidRPr="008F637F">
        <w:t>per</w:t>
      </w:r>
      <w:r>
        <w:t> </w:t>
      </w:r>
      <w:r w:rsidRPr="008F637F">
        <w:t>cent in the past decade</w:t>
      </w:r>
      <w:r>
        <w:t>)</w:t>
      </w:r>
      <w:r>
        <w:rPr>
          <w:rFonts w:eastAsia="Helvetica"/>
        </w:rPr>
        <w:t>,</w:t>
      </w:r>
      <w:r>
        <w:rPr>
          <w:rStyle w:val="FootnoteReference"/>
          <w:rFonts w:eastAsia="Helvetica"/>
        </w:rPr>
        <w:footnoteReference w:id="63"/>
      </w:r>
      <w:r>
        <w:rPr>
          <w:rFonts w:eastAsia="Helvetica"/>
        </w:rPr>
        <w:t xml:space="preserve"> not switching to a better plan could be costing consumers hundreds of dollars a year</w:t>
      </w:r>
      <w:r w:rsidR="00F2368A">
        <w:rPr>
          <w:rFonts w:eastAsia="Helvetica"/>
        </w:rPr>
        <w:t>.</w:t>
      </w:r>
    </w:p>
    <w:p w14:paraId="1F89E2F0" w14:textId="77777777" w:rsidR="00251049" w:rsidRPr="0004155D" w:rsidRDefault="00251049" w:rsidP="00D33213">
      <w:pPr>
        <w:pStyle w:val="h4"/>
      </w:pPr>
      <w:r w:rsidRPr="0004155D">
        <w:t xml:space="preserve">Our findings and learnings </w:t>
      </w:r>
    </w:p>
    <w:p w14:paraId="07D3D7D9" w14:textId="59663BCD" w:rsidR="00251049" w:rsidRDefault="00251049" w:rsidP="007A3700">
      <w:pPr>
        <w:rPr>
          <w:rFonts w:eastAsia="Helvetica"/>
        </w:rPr>
      </w:pPr>
      <w:r>
        <w:rPr>
          <w:rFonts w:eastAsia="Helvetica"/>
        </w:rPr>
        <w:t xml:space="preserve">We drew on behavioural insights to design five alternative energy fact sheets for the same electricity plan. We designed the fact sheets to be shorter, simpler and more attractive. </w:t>
      </w:r>
    </w:p>
    <w:p w14:paraId="42110835" w14:textId="77777777" w:rsidR="008844DA" w:rsidRDefault="008844DA" w:rsidP="004E3FC0">
      <w:pPr>
        <w:jc w:val="both"/>
        <w:rPr>
          <w:rFonts w:eastAsia="Helvetica"/>
        </w:rPr>
      </w:pPr>
    </w:p>
    <w:tbl>
      <w:tblPr>
        <w:tblW w:w="5000" w:type="pct"/>
        <w:tblBorders>
          <w:top w:val="single" w:sz="4" w:space="0" w:color="20B9A3"/>
          <w:bottom w:val="threeDEmboss" w:sz="6" w:space="0" w:color="20B9A3"/>
        </w:tblBorders>
        <w:tblCellMar>
          <w:left w:w="10" w:type="dxa"/>
          <w:right w:w="10" w:type="dxa"/>
        </w:tblCellMar>
        <w:tblLook w:val="0000" w:firstRow="0" w:lastRow="0" w:firstColumn="0" w:lastColumn="0" w:noHBand="0" w:noVBand="0"/>
      </w:tblPr>
      <w:tblGrid>
        <w:gridCol w:w="8503"/>
      </w:tblGrid>
      <w:tr w:rsidR="00251049" w14:paraId="336FA1F3" w14:textId="77777777" w:rsidTr="00AA6F02">
        <w:trPr>
          <w:trHeight w:val="1"/>
        </w:trPr>
        <w:tc>
          <w:tcPr>
            <w:tcW w:w="5000" w:type="pct"/>
            <w:shd w:val="clear" w:color="auto" w:fill="F2F2F2"/>
            <w:tcMar>
              <w:left w:w="108" w:type="dxa"/>
              <w:right w:w="108" w:type="dxa"/>
            </w:tcMar>
          </w:tcPr>
          <w:p w14:paraId="650C5E52" w14:textId="779BF68F" w:rsidR="00251049" w:rsidRDefault="00AA6F02" w:rsidP="00D33213">
            <w:pPr>
              <w:spacing w:line="259" w:lineRule="auto"/>
              <w:jc w:val="both"/>
              <w:outlineLvl w:val="5"/>
              <w:rPr>
                <w:rFonts w:ascii="Helvetica" w:eastAsia="Helvetica" w:hAnsi="Helvetica" w:cs="Helvetica"/>
                <w:b/>
                <w:color w:val="142E3B"/>
                <w:sz w:val="24"/>
              </w:rPr>
            </w:pPr>
            <w:r>
              <w:rPr>
                <w:i/>
                <w:iCs/>
                <w:noProof/>
                <w:color w:val="142E3B" w:themeColor="accent6"/>
                <w:sz w:val="28"/>
              </w:rPr>
              <w:drawing>
                <wp:anchor distT="0" distB="0" distL="0" distR="114300" simplePos="0" relativeHeight="251620864" behindDoc="1" locked="0" layoutInCell="1" allowOverlap="1" wp14:anchorId="79CF445E" wp14:editId="7D37CA28">
                  <wp:simplePos x="0" y="0"/>
                  <wp:positionH relativeFrom="margin">
                    <wp:posOffset>-2509</wp:posOffset>
                  </wp:positionH>
                  <wp:positionV relativeFrom="paragraph">
                    <wp:posOffset>39148</wp:posOffset>
                  </wp:positionV>
                  <wp:extent cx="370800" cy="370800"/>
                  <wp:effectExtent l="0" t="0" r="0" b="3175"/>
                  <wp:wrapTight wrapText="bothSides">
                    <wp:wrapPolygon edited="0">
                      <wp:start x="0" y="0"/>
                      <wp:lineTo x="0" y="20007"/>
                      <wp:lineTo x="20007" y="20007"/>
                      <wp:lineTo x="20007" y="0"/>
                      <wp:lineTo x="0" y="0"/>
                    </wp:wrapPolygon>
                  </wp:wrapTight>
                  <wp:docPr id="766" name="Picture 766" descr="Behavioural insights"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_thinking-5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0800" cy="370800"/>
                          </a:xfrm>
                          <a:prstGeom prst="rect">
                            <a:avLst/>
                          </a:prstGeom>
                          <a:ln>
                            <a:noFill/>
                          </a:ln>
                        </pic:spPr>
                      </pic:pic>
                    </a:graphicData>
                  </a:graphic>
                  <wp14:sizeRelH relativeFrom="page">
                    <wp14:pctWidth>0</wp14:pctWidth>
                  </wp14:sizeRelH>
                  <wp14:sizeRelV relativeFrom="page">
                    <wp14:pctHeight>0</wp14:pctHeight>
                  </wp14:sizeRelV>
                </wp:anchor>
              </w:drawing>
            </w:r>
            <w:r w:rsidR="00251049">
              <w:rPr>
                <w:rFonts w:ascii="Helvetica" w:eastAsia="Helvetica" w:hAnsi="Helvetica" w:cs="Helvetica"/>
                <w:b/>
                <w:color w:val="142E3B"/>
                <w:sz w:val="24"/>
              </w:rPr>
              <w:t>Behavioural insight</w:t>
            </w:r>
            <w:r w:rsidR="00F2368A">
              <w:rPr>
                <w:rFonts w:ascii="Helvetica" w:eastAsia="Helvetica" w:hAnsi="Helvetica" w:cs="Helvetica"/>
                <w:b/>
                <w:color w:val="142E3B"/>
                <w:sz w:val="24"/>
              </w:rPr>
              <w:t>s</w:t>
            </w:r>
            <w:r w:rsidR="00251049">
              <w:rPr>
                <w:rFonts w:ascii="Helvetica" w:eastAsia="Helvetica" w:hAnsi="Helvetica" w:cs="Helvetica"/>
                <w:b/>
                <w:color w:val="142E3B"/>
                <w:sz w:val="24"/>
              </w:rPr>
              <w:t>: Cognitive overload and status quo bias</w:t>
            </w:r>
          </w:p>
          <w:p w14:paraId="4B6316D4" w14:textId="5462AE71" w:rsidR="00251049" w:rsidRPr="00AF0A41" w:rsidRDefault="005D0412" w:rsidP="007A3700">
            <w:pPr>
              <w:rPr>
                <w:rFonts w:ascii="Times New Roman" w:eastAsiaTheme="minorHAnsi" w:hAnsi="Times New Roman"/>
                <w:color w:val="auto"/>
                <w:sz w:val="24"/>
                <w:szCs w:val="24"/>
              </w:rPr>
            </w:pPr>
            <w:r>
              <w:rPr>
                <w:rFonts w:eastAsia="Helvetica"/>
              </w:rPr>
              <w:t>The complexity and number of available energy plans can also cause consumers to ignore some information or use mental shortcuts to simplify the decision-making process.</w:t>
            </w:r>
            <w:r>
              <w:rPr>
                <w:rStyle w:val="FootnoteReference"/>
                <w:rFonts w:eastAsia="Helvetica" w:cs="Helvetica"/>
                <w:color w:val="3F3F3F"/>
              </w:rPr>
              <w:footnoteReference w:id="64"/>
            </w:r>
            <w:r>
              <w:rPr>
                <w:rFonts w:eastAsia="Helvetica"/>
              </w:rPr>
              <w:t xml:space="preserve"> For example, consumers may engage in ‘elimination by aspects’ (i.e., set criteria and ignore options that do not meet baseline thresholds) and ‘satisficing’ (i.e., search for options until they find one that is ‘good enough’).</w:t>
            </w:r>
            <w:r>
              <w:rPr>
                <w:rStyle w:val="FootnoteReference"/>
                <w:rFonts w:eastAsia="Helvetica" w:cs="Helvetica"/>
                <w:color w:val="3F3F3F"/>
              </w:rPr>
              <w:footnoteReference w:id="65"/>
            </w:r>
            <w:r>
              <w:rPr>
                <w:rFonts w:ascii="Times New Roman" w:eastAsiaTheme="minorHAnsi" w:hAnsi="Times New Roman"/>
                <w:color w:val="auto"/>
                <w:sz w:val="24"/>
                <w:szCs w:val="24"/>
              </w:rPr>
              <w:t xml:space="preserve"> </w:t>
            </w:r>
            <w:r w:rsidR="00D96541">
              <w:rPr>
                <w:rFonts w:ascii="Times New Roman" w:eastAsiaTheme="minorHAnsi" w:hAnsi="Times New Roman"/>
                <w:color w:val="auto"/>
                <w:sz w:val="24"/>
                <w:szCs w:val="24"/>
              </w:rPr>
              <w:t xml:space="preserve"> </w:t>
            </w:r>
          </w:p>
        </w:tc>
      </w:tr>
    </w:tbl>
    <w:p w14:paraId="72B4A51D" w14:textId="77777777" w:rsidR="0083281B" w:rsidRDefault="0083281B" w:rsidP="007A3700">
      <w:pPr>
        <w:rPr>
          <w:rFonts w:eastAsia="Helvetica"/>
        </w:rPr>
      </w:pPr>
    </w:p>
    <w:p w14:paraId="6CB4571D" w14:textId="72D207B3" w:rsidR="00AF0A41" w:rsidRDefault="00AF0A41" w:rsidP="007A3700">
      <w:pPr>
        <w:rPr>
          <w:rFonts w:eastAsia="Helvetica"/>
        </w:rPr>
      </w:pPr>
      <w:r>
        <w:rPr>
          <w:rFonts w:eastAsia="Helvetica"/>
        </w:rPr>
        <w:t xml:space="preserve">We experimented with changes in the top sections of a single page fact sheet (the middle and lower sections remained the same). </w:t>
      </w:r>
      <w:r>
        <w:rPr>
          <w:rFonts w:eastAsia="Helvetica"/>
        </w:rPr>
        <w:fldChar w:fldCharType="begin"/>
      </w:r>
      <w:r>
        <w:rPr>
          <w:rFonts w:eastAsia="Helvetica"/>
        </w:rPr>
        <w:instrText xml:space="preserve"> REF _Ref515216169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w:t>
      </w:r>
      <w:r w:rsidR="00667E75">
        <w:rPr>
          <w:noProof/>
        </w:rPr>
        <w:t>2</w:t>
      </w:r>
      <w:r>
        <w:rPr>
          <w:rFonts w:eastAsia="Helvetica"/>
        </w:rPr>
        <w:fldChar w:fldCharType="end"/>
      </w:r>
      <w:r>
        <w:rPr>
          <w:rFonts w:eastAsia="Helvetica"/>
        </w:rPr>
        <w:t xml:space="preserve"> shows the top sections of two of the fact sheets.</w:t>
      </w:r>
    </w:p>
    <w:p w14:paraId="7B9FAA0D" w14:textId="77777777" w:rsidR="00873964" w:rsidRDefault="00873964">
      <w:pPr>
        <w:keepLines w:val="0"/>
        <w:spacing w:before="0" w:after="0" w:line="240" w:lineRule="auto"/>
        <w:rPr>
          <w:rFonts w:cs="Arial"/>
          <w:bCs/>
          <w:color w:val="117479" w:themeColor="accent2"/>
          <w:szCs w:val="22"/>
        </w:rPr>
      </w:pPr>
      <w:bookmarkStart w:id="102" w:name="_Ref515216169"/>
      <w:r>
        <w:br w:type="page"/>
      </w:r>
    </w:p>
    <w:p w14:paraId="385D8464" w14:textId="0E04560B" w:rsidR="00251049" w:rsidRPr="009D1B4B" w:rsidRDefault="009D1B4B" w:rsidP="004E3FC0">
      <w:pPr>
        <w:pStyle w:val="Caption"/>
        <w:jc w:val="both"/>
        <w:rPr>
          <w:rFonts w:ascii="Helvetica" w:eastAsia="Helvetica" w:hAnsi="Helvetica" w:cs="Helvetica"/>
          <w:color w:val="117479"/>
        </w:rPr>
      </w:pPr>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w:t>
      </w:r>
      <w:r w:rsidR="00667E75">
        <w:rPr>
          <w:noProof/>
        </w:rPr>
        <w:t>2</w:t>
      </w:r>
      <w:r w:rsidR="003035A6">
        <w:rPr>
          <w:noProof/>
        </w:rPr>
        <w:fldChar w:fldCharType="end"/>
      </w:r>
      <w:bookmarkEnd w:id="102"/>
      <w:r>
        <w:t xml:space="preserve">: </w:t>
      </w:r>
      <w:r w:rsidR="00251049" w:rsidRPr="009D1B4B">
        <w:rPr>
          <w:rFonts w:ascii="Helvetica" w:eastAsia="Helvetica" w:hAnsi="Helvetica" w:cs="Helvetica"/>
          <w:color w:val="117479"/>
        </w:rPr>
        <w:t>The top sections of two new energy fact sheets</w:t>
      </w:r>
    </w:p>
    <w:tbl>
      <w:tblPr>
        <w:tblW w:w="5000" w:type="pct"/>
        <w:tblCellMar>
          <w:left w:w="10" w:type="dxa"/>
          <w:right w:w="10" w:type="dxa"/>
        </w:tblCellMar>
        <w:tblLook w:val="0000" w:firstRow="0" w:lastRow="0" w:firstColumn="0" w:lastColumn="0" w:noHBand="0" w:noVBand="0"/>
      </w:tblPr>
      <w:tblGrid>
        <w:gridCol w:w="4246"/>
        <w:gridCol w:w="4257"/>
      </w:tblGrid>
      <w:tr w:rsidR="00251049" w14:paraId="65E4C576" w14:textId="77777777" w:rsidTr="005D0412">
        <w:tc>
          <w:tcPr>
            <w:tcW w:w="2509" w:type="pct"/>
            <w:shd w:val="clear" w:color="000000" w:fill="FFFFFF"/>
            <w:tcMar>
              <w:left w:w="108" w:type="dxa"/>
              <w:right w:w="108" w:type="dxa"/>
            </w:tcMar>
          </w:tcPr>
          <w:p w14:paraId="76ACB1AA" w14:textId="77777777" w:rsidR="00251049" w:rsidRDefault="00251049" w:rsidP="004E3FC0">
            <w:pPr>
              <w:spacing w:line="260" w:lineRule="auto"/>
              <w:jc w:val="both"/>
            </w:pPr>
            <w:r>
              <w:rPr>
                <w:rFonts w:ascii="Helvetica" w:eastAsia="Helvetica" w:hAnsi="Helvetica" w:cs="Helvetica"/>
                <w:b/>
                <w:color w:val="3F3F3F"/>
              </w:rPr>
              <w:t>Fact sheet 1</w:t>
            </w:r>
          </w:p>
        </w:tc>
        <w:tc>
          <w:tcPr>
            <w:tcW w:w="2491" w:type="pct"/>
            <w:shd w:val="clear" w:color="000000" w:fill="FFFFFF"/>
            <w:tcMar>
              <w:left w:w="108" w:type="dxa"/>
              <w:right w:w="108" w:type="dxa"/>
            </w:tcMar>
          </w:tcPr>
          <w:p w14:paraId="5A28AF95" w14:textId="77777777" w:rsidR="00251049" w:rsidRDefault="00251049" w:rsidP="004E3FC0">
            <w:pPr>
              <w:spacing w:line="260" w:lineRule="auto"/>
              <w:jc w:val="both"/>
            </w:pPr>
            <w:r>
              <w:rPr>
                <w:rFonts w:ascii="Helvetica" w:eastAsia="Helvetica" w:hAnsi="Helvetica" w:cs="Helvetica"/>
                <w:b/>
                <w:color w:val="3F3F3F"/>
              </w:rPr>
              <w:t>Fact sheet 3</w:t>
            </w:r>
          </w:p>
        </w:tc>
      </w:tr>
      <w:tr w:rsidR="00251049" w14:paraId="7CB18C9B" w14:textId="77777777" w:rsidTr="005D0412">
        <w:tc>
          <w:tcPr>
            <w:tcW w:w="2509" w:type="pct"/>
            <w:shd w:val="clear" w:color="000000" w:fill="FFFFFF"/>
            <w:tcMar>
              <w:left w:w="108" w:type="dxa"/>
              <w:right w:w="108" w:type="dxa"/>
            </w:tcMar>
          </w:tcPr>
          <w:p w14:paraId="14783402" w14:textId="30343634" w:rsidR="00251049" w:rsidRDefault="00FC1C8B" w:rsidP="004E3FC0">
            <w:pPr>
              <w:spacing w:line="260" w:lineRule="auto"/>
              <w:jc w:val="both"/>
              <w:rPr>
                <w:rFonts w:ascii="Calibri" w:eastAsia="Calibri" w:hAnsi="Calibri" w:cs="Calibri"/>
              </w:rPr>
            </w:pPr>
            <w:r>
              <w:rPr>
                <w:noProof/>
              </w:rPr>
              <w:drawing>
                <wp:inline distT="0" distB="0" distL="0" distR="0" wp14:anchorId="5E1029B4" wp14:editId="698285EF">
                  <wp:extent cx="2669140" cy="1512000"/>
                  <wp:effectExtent l="0" t="0" r="0" b="0"/>
                  <wp:docPr id="736" name="Picture 736" descr="One fact sheet provides little icons of the different household types, based on number of people, number of bedrooms, weekly washing, heating and cooling needs, and the amount of time spent at home by people. The estimated yearly energy bill is based on these household types." title="Figure 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669140" cy="1512000"/>
                          </a:xfrm>
                          <a:prstGeom prst="rect">
                            <a:avLst/>
                          </a:prstGeom>
                        </pic:spPr>
                      </pic:pic>
                    </a:graphicData>
                  </a:graphic>
                </wp:inline>
              </w:drawing>
            </w:r>
          </w:p>
        </w:tc>
        <w:tc>
          <w:tcPr>
            <w:tcW w:w="2491" w:type="pct"/>
            <w:shd w:val="clear" w:color="000000" w:fill="FFFFFF"/>
            <w:tcMar>
              <w:left w:w="108" w:type="dxa"/>
              <w:right w:w="108" w:type="dxa"/>
            </w:tcMar>
          </w:tcPr>
          <w:p w14:paraId="626FF908" w14:textId="1D75BDCC" w:rsidR="00251049" w:rsidRDefault="00FC1C8B" w:rsidP="004E3FC0">
            <w:pPr>
              <w:spacing w:line="260" w:lineRule="auto"/>
              <w:jc w:val="both"/>
              <w:rPr>
                <w:rFonts w:ascii="Calibri" w:eastAsia="Calibri" w:hAnsi="Calibri" w:cs="Calibri"/>
              </w:rPr>
            </w:pPr>
            <w:r>
              <w:rPr>
                <w:noProof/>
              </w:rPr>
              <w:drawing>
                <wp:inline distT="0" distB="0" distL="0" distR="0" wp14:anchorId="48FF0A62" wp14:editId="384FEC50">
                  <wp:extent cx="2675944" cy="1512000"/>
                  <wp:effectExtent l="0" t="0" r="0" b="0"/>
                  <wp:docPr id="744" name="Picture 744" descr="The other factsheet shows a simpler description of household types, based on the number of people. The estimated yearly energy bill is then provided." title="Figure 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75944" cy="1512000"/>
                          </a:xfrm>
                          <a:prstGeom prst="rect">
                            <a:avLst/>
                          </a:prstGeom>
                        </pic:spPr>
                      </pic:pic>
                    </a:graphicData>
                  </a:graphic>
                </wp:inline>
              </w:drawing>
            </w:r>
          </w:p>
        </w:tc>
      </w:tr>
    </w:tbl>
    <w:p w14:paraId="492A957D" w14:textId="77777777" w:rsidR="005D0412" w:rsidRDefault="005D0412" w:rsidP="007A3700">
      <w:pPr>
        <w:rPr>
          <w:rFonts w:eastAsia="Helvetica"/>
        </w:rPr>
      </w:pPr>
      <w:bookmarkStart w:id="103" w:name="_Ref513798678"/>
      <w:r>
        <w:rPr>
          <w:rFonts w:eastAsia="Helvetica"/>
        </w:rPr>
        <w:t>We compared our five fact sheets to the original fact sheet using a framed field experiment and focus groups:</w:t>
      </w:r>
    </w:p>
    <w:p w14:paraId="01B5B4C1" w14:textId="77777777" w:rsidR="005D0412"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Framed field experiment: We asked 4,554 Australian adults with experience in choosing an electricity retailer to complete an online survey.</w:t>
      </w:r>
    </w:p>
    <w:p w14:paraId="32E40982" w14:textId="77777777" w:rsidR="005D0412"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Focus groups: We asked three small focus groups (whose members comprised a cross-section of household electricity consumers, including an older group who told us they rarely used the internet) for their views on the fact sheets. </w:t>
      </w:r>
    </w:p>
    <w:p w14:paraId="714D9F4F" w14:textId="4C6E732B" w:rsidR="005D0412" w:rsidRDefault="005D0412" w:rsidP="007A3700">
      <w:pPr>
        <w:rPr>
          <w:rFonts w:eastAsia="Helvetica"/>
        </w:rPr>
      </w:pPr>
      <w:r>
        <w:rPr>
          <w:rFonts w:eastAsia="Helvetica"/>
        </w:rPr>
        <w:t>Overall, t</w:t>
      </w:r>
      <w:r w:rsidRPr="0068521A">
        <w:rPr>
          <w:rFonts w:eastAsia="Helvetica"/>
        </w:rPr>
        <w:t xml:space="preserve">he results showed the </w:t>
      </w:r>
      <w:r>
        <w:rPr>
          <w:rFonts w:eastAsia="Helvetica"/>
        </w:rPr>
        <w:t>BETA</w:t>
      </w:r>
      <w:r w:rsidRPr="0068521A">
        <w:rPr>
          <w:rFonts w:eastAsia="Helvetica"/>
        </w:rPr>
        <w:t xml:space="preserve"> energy fact sheets were clearly preferred to the existing fact sheet. No single fact sheet was substantially more effective than any of the others.</w:t>
      </w:r>
    </w:p>
    <w:p w14:paraId="49E59DCC" w14:textId="77777777" w:rsidR="005D0412" w:rsidRPr="0068521A" w:rsidRDefault="005D0412" w:rsidP="007A3700">
      <w:pPr>
        <w:rPr>
          <w:rFonts w:eastAsia="Helvetica"/>
          <w:b/>
        </w:rPr>
      </w:pPr>
      <w:r w:rsidRPr="0068521A">
        <w:rPr>
          <w:rFonts w:eastAsia="Helvetica"/>
          <w:b/>
        </w:rPr>
        <w:t>Consumer engagement</w:t>
      </w:r>
    </w:p>
    <w:p w14:paraId="08E37DF2" w14:textId="77777777" w:rsidR="005D0412" w:rsidRDefault="005D0412" w:rsidP="007A3700">
      <w:r>
        <w:t>Participants’ engagement with the fact sheets was determined by how</w:t>
      </w:r>
      <w:r w:rsidRPr="00B672D8">
        <w:t xml:space="preserve"> much they agreed or disagreed with </w:t>
      </w:r>
      <w:r>
        <w:t xml:space="preserve">positive </w:t>
      </w:r>
      <w:r w:rsidRPr="00B672D8">
        <w:t xml:space="preserve">statements about whether </w:t>
      </w:r>
      <w:r>
        <w:t>a</w:t>
      </w:r>
      <w:r w:rsidRPr="00B672D8">
        <w:t xml:space="preserve"> fact sheet</w:t>
      </w:r>
      <w:r>
        <w:t>:</w:t>
      </w:r>
      <w:r w:rsidRPr="00B672D8">
        <w:t xml:space="preserve"> </w:t>
      </w:r>
    </w:p>
    <w:p w14:paraId="1A63506F" w14:textId="77777777" w:rsidR="005D0412" w:rsidRPr="00AF0A41"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sidRPr="00AF0A41">
        <w:rPr>
          <w:rFonts w:ascii="Helvetica" w:eastAsia="Helvetica" w:hAnsi="Helvetica" w:cs="Helvetica"/>
          <w:color w:val="3F3F3F"/>
        </w:rPr>
        <w:t>was easy to understand</w:t>
      </w:r>
    </w:p>
    <w:p w14:paraId="6F11698B" w14:textId="77777777" w:rsidR="005D0412" w:rsidRPr="00AF0A41"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sidRPr="00AF0A41">
        <w:rPr>
          <w:rFonts w:ascii="Helvetica" w:eastAsia="Helvetica" w:hAnsi="Helvetica" w:cs="Helvetica"/>
          <w:color w:val="3F3F3F"/>
        </w:rPr>
        <w:t>was interesting</w:t>
      </w:r>
    </w:p>
    <w:p w14:paraId="0A0AF4AF" w14:textId="77777777" w:rsidR="005D0412" w:rsidRPr="00AF0A41"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sidRPr="00AF0A41">
        <w:rPr>
          <w:rFonts w:ascii="Helvetica" w:eastAsia="Helvetica" w:hAnsi="Helvetica" w:cs="Helvetica"/>
          <w:color w:val="3F3F3F"/>
        </w:rPr>
        <w:t>provided useful information</w:t>
      </w:r>
    </w:p>
    <w:p w14:paraId="6159825D" w14:textId="77777777" w:rsidR="005D0412" w:rsidRPr="00AF0A41"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sidRPr="00AF0A41">
        <w:rPr>
          <w:rFonts w:ascii="Helvetica" w:eastAsia="Helvetica" w:hAnsi="Helvetica" w:cs="Helvetica"/>
          <w:color w:val="3F3F3F"/>
        </w:rPr>
        <w:t>made comparing electricity plans easier</w:t>
      </w:r>
    </w:p>
    <w:p w14:paraId="41EB0ABE" w14:textId="77777777" w:rsidR="005D0412" w:rsidRPr="00AF0A41" w:rsidRDefault="005D0412" w:rsidP="003A373A">
      <w:pPr>
        <w:numPr>
          <w:ilvl w:val="0"/>
          <w:numId w:val="18"/>
        </w:numPr>
        <w:tabs>
          <w:tab w:val="left" w:pos="360"/>
        </w:tabs>
        <w:spacing w:line="260" w:lineRule="auto"/>
        <w:ind w:left="360" w:hanging="360"/>
        <w:rPr>
          <w:rFonts w:ascii="Helvetica" w:eastAsia="Helvetica" w:hAnsi="Helvetica" w:cs="Helvetica"/>
          <w:color w:val="3F3F3F"/>
        </w:rPr>
      </w:pPr>
      <w:r w:rsidRPr="00AF0A41">
        <w:rPr>
          <w:rFonts w:ascii="Helvetica" w:eastAsia="Helvetica" w:hAnsi="Helvetica" w:cs="Helvetica"/>
          <w:color w:val="3F3F3F"/>
        </w:rPr>
        <w:t xml:space="preserve">helped them make household budgeting decisions.  </w:t>
      </w:r>
    </w:p>
    <w:p w14:paraId="7107F682" w14:textId="77777777" w:rsidR="005D0412" w:rsidRDefault="005D0412" w:rsidP="007A3700">
      <w:pPr>
        <w:rPr>
          <w:rFonts w:eastAsia="Helvetica"/>
        </w:rPr>
      </w:pPr>
      <w:r>
        <w:rPr>
          <w:rFonts w:eastAsia="Helvetica"/>
        </w:rPr>
        <w:t>In terms of consumer engagement with their energy plans, at least 65 per cent of the participants who viewed a BETA fact sheet strongly or mildly agreed with the above statements. Conversely, only 50 per cent of the participants who viewed the existing fact sheet strongly or mildly agreed with the above statements.</w:t>
      </w:r>
    </w:p>
    <w:p w14:paraId="5988D11C" w14:textId="77777777" w:rsidR="005D0412" w:rsidRPr="0068521A" w:rsidRDefault="005D0412" w:rsidP="007A3700">
      <w:pPr>
        <w:rPr>
          <w:rFonts w:eastAsia="Helvetica"/>
          <w:b/>
        </w:rPr>
      </w:pPr>
      <w:r w:rsidRPr="0068521A">
        <w:rPr>
          <w:rFonts w:eastAsia="Helvetica"/>
          <w:b/>
        </w:rPr>
        <w:t>Consumer confidence</w:t>
      </w:r>
    </w:p>
    <w:p w14:paraId="70CB10FC" w14:textId="0C60BEA8" w:rsidR="005D0412" w:rsidRDefault="005D0412" w:rsidP="007A3700">
      <w:pPr>
        <w:rPr>
          <w:rFonts w:eastAsia="Helvetica"/>
        </w:rPr>
      </w:pPr>
      <w:r>
        <w:rPr>
          <w:rFonts w:eastAsia="Helvetica"/>
        </w:rPr>
        <w:t>In terms of consumer confidence, participants felt moderately more confident after viewing any of the BETA fact sheets compared to those who viewed the existing fact sheet (see</w:t>
      </w:r>
      <w:r>
        <w:rPr>
          <w:rFonts w:ascii="Helvetica" w:eastAsia="Helvetica" w:hAnsi="Helvetica" w:cs="Helvetica"/>
          <w:color w:val="3F3F3F"/>
        </w:rPr>
        <w:t xml:space="preserve"> </w:t>
      </w:r>
      <w:r>
        <w:rPr>
          <w:rFonts w:eastAsia="Helvetica"/>
        </w:rPr>
        <w:fldChar w:fldCharType="begin"/>
      </w:r>
      <w:r>
        <w:rPr>
          <w:rFonts w:ascii="Helvetica" w:eastAsia="Helvetica" w:hAnsi="Helvetica" w:cs="Helvetica"/>
          <w:color w:val="3F3F3F"/>
        </w:rPr>
        <w:instrText xml:space="preserve"> REF _Ref515867857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w:t>
      </w:r>
      <w:r w:rsidR="00C404CE">
        <w:rPr>
          <w:noProof/>
        </w:rPr>
        <w:t>3</w:t>
      </w:r>
      <w:r>
        <w:rPr>
          <w:rFonts w:eastAsia="Helvetica"/>
        </w:rPr>
        <w:fldChar w:fldCharType="end"/>
      </w:r>
      <w:r>
        <w:rPr>
          <w:rFonts w:eastAsia="Helvetica"/>
        </w:rPr>
        <w:t>, FS6 is the existing fact sheet).</w:t>
      </w:r>
    </w:p>
    <w:p w14:paraId="79DD5489" w14:textId="0E73E84E" w:rsidR="00251049" w:rsidRPr="00D61C96" w:rsidRDefault="00D61C96" w:rsidP="004E3FC0">
      <w:pPr>
        <w:pStyle w:val="Caption"/>
        <w:jc w:val="both"/>
        <w:rPr>
          <w:rFonts w:ascii="Helvetica" w:eastAsia="Helvetica" w:hAnsi="Helvetica" w:cs="Helvetica"/>
          <w:color w:val="117479"/>
        </w:rPr>
      </w:pPr>
      <w:bookmarkStart w:id="104" w:name="_Ref515867857"/>
      <w:r>
        <w:lastRenderedPageBreak/>
        <w:t>Figure</w:t>
      </w:r>
      <w:bookmarkEnd w:id="103"/>
      <w:bookmarkEnd w:id="104"/>
      <w:r w:rsidR="00C404CE">
        <w:rPr>
          <w:noProof/>
        </w:rPr>
        <w:t xml:space="preserve"> 23</w:t>
      </w:r>
      <w:r>
        <w:t xml:space="preserve">: </w:t>
      </w:r>
      <w:r w:rsidR="00251049" w:rsidRPr="00D61C96">
        <w:rPr>
          <w:rFonts w:ascii="Helvetica" w:eastAsia="Helvetica" w:hAnsi="Helvetica" w:cs="Helvetica"/>
          <w:color w:val="117479"/>
        </w:rPr>
        <w:t>Average change</w:t>
      </w:r>
      <w:r w:rsidR="00AF0A41">
        <w:rPr>
          <w:rFonts w:ascii="Helvetica" w:eastAsia="Helvetica" w:hAnsi="Helvetica" w:cs="Helvetica"/>
          <w:color w:val="117479"/>
        </w:rPr>
        <w:t>s</w:t>
      </w:r>
      <w:r w:rsidR="00251049" w:rsidRPr="00D61C96">
        <w:rPr>
          <w:rFonts w:ascii="Helvetica" w:eastAsia="Helvetica" w:hAnsi="Helvetica" w:cs="Helvetica"/>
          <w:color w:val="117479"/>
        </w:rPr>
        <w:t xml:space="preserve"> in participants’ </w:t>
      </w:r>
      <w:r w:rsidR="00AF0A41">
        <w:rPr>
          <w:rFonts w:ascii="Helvetica" w:eastAsia="Helvetica" w:hAnsi="Helvetica" w:cs="Helvetica"/>
          <w:color w:val="117479"/>
        </w:rPr>
        <w:t>confidence levels</w:t>
      </w:r>
    </w:p>
    <w:p w14:paraId="3B00F2A6" w14:textId="025D6050" w:rsidR="00251049" w:rsidRDefault="00C404CE" w:rsidP="004E3FC0">
      <w:pPr>
        <w:spacing w:line="260" w:lineRule="auto"/>
        <w:jc w:val="both"/>
      </w:pPr>
      <w:r>
        <w:rPr>
          <w:noProof/>
        </w:rPr>
        <w:drawing>
          <wp:inline distT="0" distB="0" distL="0" distR="0" wp14:anchorId="53447E54" wp14:editId="28184E96">
            <wp:extent cx="5384800" cy="2311400"/>
            <wp:effectExtent l="0" t="0" r="0" b="0"/>
            <wp:docPr id="136" name="Picture 136" descr="In terms of consumer confidence, participants felt moderately more confident after viewing any of the BETA fact sheets compared to those who viewed the existing fact sheet (p &lt; 0.01):&#10;• Fact sheet 1 saw an increase in confidence of 6.4 per cent&#10;• Fac sheet 2 saw an increase in confidence of 5.1 per cent&#10;• Fact sheet 3 saw an increase in confidence of 6.1 per cent&#10;• Fact sheet 4 saw an increase in confidence of 7.7 per cent&#10;• Fact sheet 5 saw an increase in confidence of 4.8 per cent&#10;• The existing fact sheet saw a decrease in confidence of 3 per cent."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Fig23.png"/>
                    <pic:cNvPicPr/>
                  </pic:nvPicPr>
                  <pic:blipFill>
                    <a:blip r:embed="rId114">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7C66B051" w14:textId="77777777" w:rsidR="00AF0A41" w:rsidRDefault="008655B7" w:rsidP="007A3700">
      <w:pPr>
        <w:rPr>
          <w:rFonts w:eastAsia="Helvetica"/>
        </w:rPr>
      </w:pPr>
      <w:r>
        <w:rPr>
          <w:rFonts w:eastAsia="Helvetica"/>
        </w:rPr>
        <w:t>A related question is whether better presentation of information leads to changes in consumer choices. We were unable to draw any firm conclusions on this point so it remains an area for further research.</w:t>
      </w:r>
    </w:p>
    <w:p w14:paraId="2E698CEB" w14:textId="26008122" w:rsidR="00251049" w:rsidRPr="0004155D" w:rsidRDefault="00251049" w:rsidP="00D33213">
      <w:pPr>
        <w:pStyle w:val="h4"/>
      </w:pPr>
      <w:r w:rsidRPr="0004155D">
        <w:t xml:space="preserve">Future opportunities </w:t>
      </w:r>
    </w:p>
    <w:p w14:paraId="09DE2565" w14:textId="77777777" w:rsidR="005D0412" w:rsidRDefault="005D0412" w:rsidP="007A3700">
      <w:pPr>
        <w:framePr w:hSpace="180" w:wrap="around" w:vAnchor="page" w:hAnchor="margin" w:y="1694"/>
        <w:rPr>
          <w:rFonts w:eastAsia="Helvetica"/>
        </w:rPr>
      </w:pPr>
      <w:r>
        <w:rPr>
          <w:rFonts w:eastAsia="Helvetica"/>
        </w:rPr>
        <w:t>The results of this study are not only relevant to future designs of energy fact sheets, but also to any material used by energy companies to communicate with consumers (e.g., bills, contracts and advertised plans). Given the complexity of the energy market, research should investigate whether there is merit for energy companies to agree on a common set of energy terms and images for consumers. We note the Australian Energy Regulator already mandates the use of common terms for its energy fact sheets.</w:t>
      </w:r>
    </w:p>
    <w:p w14:paraId="6C4C84D1" w14:textId="5C509AF3" w:rsidR="00251049" w:rsidRDefault="00251049" w:rsidP="007A3700">
      <w:pPr>
        <w:framePr w:hSpace="180" w:wrap="around" w:vAnchor="page" w:hAnchor="margin" w:y="1694"/>
        <w:rPr>
          <w:rFonts w:eastAsia="Helvetica"/>
        </w:rPr>
      </w:pPr>
      <w:r>
        <w:rPr>
          <w:rFonts w:eastAsia="Helvetica"/>
        </w:rPr>
        <w:t xml:space="preserve">For further information about </w:t>
      </w:r>
      <w:r w:rsidR="00AF0A41">
        <w:rPr>
          <w:rFonts w:eastAsia="Helvetica"/>
        </w:rPr>
        <w:t>this</w:t>
      </w:r>
      <w:r>
        <w:rPr>
          <w:rFonts w:eastAsia="Helvetica"/>
        </w:rPr>
        <w:t xml:space="preserve"> trial, read the full report </w:t>
      </w:r>
      <w:r w:rsidR="008E37A7">
        <w:rPr>
          <w:rFonts w:eastAsia="Helvetica"/>
        </w:rPr>
        <w:t xml:space="preserve">at the </w:t>
      </w:r>
      <w:hyperlink r:id="rId115">
        <w:r w:rsidR="008E37A7">
          <w:rPr>
            <w:rFonts w:eastAsia="Helvetica"/>
            <w:color w:val="2158A8"/>
            <w:u w:val="single"/>
          </w:rPr>
          <w:t>Department of Prime Minister and Cabinet website</w:t>
        </w:r>
      </w:hyperlink>
      <w:r>
        <w:rPr>
          <w:rFonts w:eastAsia="Helvetica"/>
        </w:rPr>
        <w:t>.</w:t>
      </w:r>
    </w:p>
    <w:p w14:paraId="2549E118" w14:textId="77777777" w:rsidR="009525D0" w:rsidRPr="009525D0" w:rsidRDefault="009525D0" w:rsidP="004E3FC0">
      <w:pPr>
        <w:spacing w:before="0" w:after="0" w:line="240" w:lineRule="auto"/>
        <w:jc w:val="both"/>
        <w:rPr>
          <w:rFonts w:asciiTheme="majorHAnsi" w:eastAsia="Helvetica" w:hAnsiTheme="majorHAnsi"/>
          <w:b/>
          <w:sz w:val="4"/>
          <w:szCs w:val="4"/>
        </w:rPr>
      </w:pPr>
      <w:r w:rsidRPr="009525D0">
        <w:rPr>
          <w:rFonts w:eastAsia="Helvetica"/>
          <w:sz w:val="4"/>
          <w:szCs w:val="4"/>
        </w:rPr>
        <w:br w:type="page"/>
      </w:r>
    </w:p>
    <w:p w14:paraId="3F7DF88D" w14:textId="129E3475" w:rsidR="00FB33A2" w:rsidRDefault="00FB33A2" w:rsidP="00756727">
      <w:pPr>
        <w:pStyle w:val="Heading3"/>
        <w:framePr w:wrap="around"/>
      </w:pPr>
      <w:r w:rsidRPr="00756727">
        <w:lastRenderedPageBreak/>
        <w:t>Detailed pricing information increases confidence but not understanding</w:t>
      </w:r>
    </w:p>
    <w:p w14:paraId="43E94A5D" w14:textId="77777777" w:rsidR="001B5DD4" w:rsidRPr="004E3FC0" w:rsidRDefault="001B5DD4" w:rsidP="001B5DD4">
      <w:pPr>
        <w:pStyle w:val="h4"/>
      </w:pPr>
      <w:r w:rsidRPr="004E3FC0">
        <w:t>Abstract</w:t>
      </w:r>
    </w:p>
    <w:tbl>
      <w:tblPr>
        <w:tblStyle w:val="TableGrid"/>
        <w:tblpPr w:leftFromText="180" w:rightFromText="180" w:vertAnchor="page" w:horzAnchor="margin" w:tblpY="6363"/>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Detailed pricing information increases confidence but not understanding "/>
        <w:tblDescription w:val="Text box description of a comparison of energy plans and how people respond to information about pricing. "/>
      </w:tblPr>
      <w:tblGrid>
        <w:gridCol w:w="9162"/>
      </w:tblGrid>
      <w:tr w:rsidR="001B5DD4" w14:paraId="799AF07D" w14:textId="77777777" w:rsidTr="001B5DD4">
        <w:trPr>
          <w:trHeight w:val="4814"/>
        </w:trPr>
        <w:tc>
          <w:tcPr>
            <w:tcW w:w="9162" w:type="dxa"/>
            <w:tcBorders>
              <w:bottom w:val="nil"/>
            </w:tcBorders>
            <w:shd w:val="clear" w:color="auto" w:fill="D9D9D9" w:themeFill="background1" w:themeFillShade="D9"/>
          </w:tcPr>
          <w:p w14:paraId="4E766AAB" w14:textId="77777777" w:rsidR="001B5DD4" w:rsidRPr="00C47F20" w:rsidRDefault="001B5DD4" w:rsidP="001B5DD4">
            <w:pPr>
              <w:spacing w:after="240" w:line="320" w:lineRule="auto"/>
              <w:rPr>
                <w:rFonts w:ascii="Helvetica" w:eastAsia="Helvetica" w:hAnsi="Helvetica" w:cs="Helvetica"/>
                <w:color w:val="3F3F3F"/>
                <w:sz w:val="24"/>
              </w:rPr>
            </w:pPr>
            <w:bookmarkStart w:id="105" w:name="_Toc515874451"/>
            <w:bookmarkStart w:id="106" w:name="_Toc515874522"/>
            <w:bookmarkStart w:id="107" w:name="_Toc515874692"/>
            <w:r w:rsidRPr="00C47F20">
              <w:rPr>
                <w:rFonts w:ascii="Helvetica" w:eastAsia="Helvetica" w:hAnsi="Helvetica" w:cs="Helvetica"/>
                <w:color w:val="3F3F3F"/>
                <w:sz w:val="24"/>
              </w:rPr>
              <w:t xml:space="preserve">We compared five versions of a potential Basic Plan Information Document for energy plans. </w:t>
            </w:r>
          </w:p>
          <w:p w14:paraId="2FE6F37F" w14:textId="77777777" w:rsidR="001B5DD4" w:rsidRPr="00C47F20" w:rsidRDefault="001B5DD4"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 xml:space="preserve">The results showed including detailed pricing information increased consumer confidence. However, it should be noted almost 90 per cent of the respondents were unable to interpret the detailed pricing information correctly. </w:t>
            </w:r>
          </w:p>
          <w:p w14:paraId="4A180CA7" w14:textId="77777777" w:rsidR="001B5DD4" w:rsidRPr="00C47F20" w:rsidRDefault="001B5DD4"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 xml:space="preserve">We also found providing detailed pricing information at the top of the document reduced the number of respondents who selected the cheapest plan. </w:t>
            </w:r>
          </w:p>
          <w:p w14:paraId="17AA4161" w14:textId="77777777" w:rsidR="001B5DD4" w:rsidRPr="004E3FC0" w:rsidRDefault="001B5DD4" w:rsidP="001B5DD4">
            <w:pPr>
              <w:spacing w:after="240" w:line="320" w:lineRule="auto"/>
              <w:rPr>
                <w:rFonts w:ascii="Helvetica" w:eastAsia="Helvetica" w:hAnsi="Helvetica" w:cs="Helvetica"/>
                <w:color w:val="3F3F3F"/>
                <w:sz w:val="24"/>
              </w:rPr>
            </w:pPr>
            <w:r w:rsidRPr="00C47F20">
              <w:rPr>
                <w:rFonts w:ascii="Helvetica" w:eastAsia="Helvetica" w:hAnsi="Helvetica" w:cs="Helvetica"/>
                <w:color w:val="3F3F3F"/>
                <w:sz w:val="24"/>
              </w:rPr>
              <w:t>The results suggest there is significant scope for regulators to test disclosure documents to ensure their effectiveness.</w:t>
            </w:r>
          </w:p>
        </w:tc>
      </w:tr>
    </w:tbl>
    <w:bookmarkEnd w:id="105"/>
    <w:bookmarkEnd w:id="106"/>
    <w:bookmarkEnd w:id="107"/>
    <w:p w14:paraId="5CA18D6F" w14:textId="3C1AE9D3" w:rsidR="00EB6B12" w:rsidRDefault="00EB6B12" w:rsidP="00EB6B12">
      <w:pPr>
        <w:pStyle w:val="h4"/>
      </w:pPr>
      <w:r w:rsidRPr="00573712">
        <w:t>Project by</w:t>
      </w:r>
    </w:p>
    <w:p w14:paraId="52275D34" w14:textId="5EBA3E79" w:rsidR="00FB33A2" w:rsidRDefault="00EB6B12" w:rsidP="00FB33A2">
      <w:pPr>
        <w:jc w:val="both"/>
        <w:rPr>
          <w:rFonts w:eastAsia="Helvetica"/>
        </w:rPr>
      </w:pPr>
      <w:r>
        <w:rPr>
          <w:noProof/>
        </w:rPr>
        <w:drawing>
          <wp:anchor distT="0" distB="0" distL="114300" distR="114300" simplePos="0" relativeHeight="251833856" behindDoc="0" locked="0" layoutInCell="1" allowOverlap="1" wp14:anchorId="5BD7D384" wp14:editId="4E0880FF">
            <wp:simplePos x="0" y="0"/>
            <wp:positionH relativeFrom="column">
              <wp:posOffset>4414210</wp:posOffset>
            </wp:positionH>
            <wp:positionV relativeFrom="paragraph">
              <wp:posOffset>215457</wp:posOffset>
            </wp:positionV>
            <wp:extent cx="1397000" cy="495300"/>
            <wp:effectExtent l="0" t="0" r="0" b="0"/>
            <wp:wrapNone/>
            <wp:docPr id="34" name="Picture 34" descr="The Behavioural Insights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3970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9EC98" w14:textId="53281171" w:rsidR="00AA6F02" w:rsidRDefault="00EB6B12" w:rsidP="004E3FC0">
      <w:pPr>
        <w:jc w:val="both"/>
        <w:rPr>
          <w:rFonts w:eastAsia="Helvetica"/>
        </w:rPr>
      </w:pPr>
      <w:r>
        <w:rPr>
          <w:noProof/>
        </w:rPr>
        <w:drawing>
          <wp:anchor distT="0" distB="0" distL="114300" distR="114300" simplePos="0" relativeHeight="251832832" behindDoc="0" locked="0" layoutInCell="1" allowOverlap="1" wp14:anchorId="7E61161E" wp14:editId="519553A0">
            <wp:simplePos x="0" y="0"/>
            <wp:positionH relativeFrom="margin">
              <wp:align>left</wp:align>
            </wp:positionH>
            <wp:positionV relativeFrom="paragraph">
              <wp:posOffset>10440</wp:posOffset>
            </wp:positionV>
            <wp:extent cx="1958975" cy="473075"/>
            <wp:effectExtent l="0" t="0" r="3175" b="3175"/>
            <wp:wrapNone/>
            <wp:docPr id="88" name="Picture 88" descr="Australian Energy Regulator"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58975" cy="47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6F02">
        <w:rPr>
          <w:rFonts w:eastAsia="Helvetica"/>
        </w:rPr>
        <w:br w:type="page"/>
      </w:r>
    </w:p>
    <w:p w14:paraId="09082913" w14:textId="0193023F" w:rsidR="00251049" w:rsidRPr="0004155D" w:rsidRDefault="00251049" w:rsidP="00D33213">
      <w:pPr>
        <w:pStyle w:val="h4"/>
      </w:pPr>
      <w:r w:rsidRPr="0004155D">
        <w:lastRenderedPageBreak/>
        <w:t xml:space="preserve">The policy problem </w:t>
      </w:r>
    </w:p>
    <w:p w14:paraId="6332ADC6" w14:textId="77777777" w:rsidR="00D3490E" w:rsidRDefault="00D3490E" w:rsidP="007A3700">
      <w:pPr>
        <w:rPr>
          <w:rFonts w:eastAsia="Helvetica"/>
        </w:rPr>
      </w:pPr>
      <w:r>
        <w:rPr>
          <w:rFonts w:eastAsia="Helvetica"/>
        </w:rPr>
        <w:t>Customers seeking to compare energy plans do not often have an easy, consistent way of assessing the likely cost of different plans.</w:t>
      </w:r>
      <w:r>
        <w:rPr>
          <w:rStyle w:val="FootnoteReference"/>
        </w:rPr>
        <w:footnoteReference w:id="66"/>
      </w:r>
      <w:r>
        <w:rPr>
          <w:vertAlign w:val="superscript"/>
        </w:rPr>
        <w:t>,</w:t>
      </w:r>
      <w:r>
        <w:rPr>
          <w:rStyle w:val="FootnoteReference"/>
        </w:rPr>
        <w:footnoteReference w:id="67"/>
      </w:r>
      <w:r>
        <w:rPr>
          <w:vertAlign w:val="superscript"/>
        </w:rPr>
        <w:t>,</w:t>
      </w:r>
      <w:r>
        <w:rPr>
          <w:rStyle w:val="FootnoteReference"/>
        </w:rPr>
        <w:footnoteReference w:id="68"/>
      </w:r>
      <w:r>
        <w:rPr>
          <w:rFonts w:eastAsia="Helvetica"/>
        </w:rPr>
        <w:t xml:space="preserve"> Further, it is difficult to determine the best way of providing information to consumers, particularly with the triple goal of maximising consumer 1) confidence, 2) decision-making and 3) comprehension. </w:t>
      </w:r>
    </w:p>
    <w:p w14:paraId="1671FA96" w14:textId="5C89C8C6" w:rsidR="00D3490E" w:rsidRDefault="00D3490E" w:rsidP="007A3700">
      <w:pPr>
        <w:rPr>
          <w:rFonts w:eastAsia="Helvetica"/>
        </w:rPr>
      </w:pPr>
      <w:r>
        <w:rPr>
          <w:rFonts w:eastAsia="Helvetica"/>
        </w:rPr>
        <w:t xml:space="preserve">This trial sought to build on the findings of a preliminary trial (see page </w:t>
      </w:r>
      <w:r>
        <w:rPr>
          <w:rFonts w:eastAsia="Helvetica"/>
        </w:rPr>
        <w:fldChar w:fldCharType="begin"/>
      </w:r>
      <w:r>
        <w:rPr>
          <w:rFonts w:eastAsia="Helvetica"/>
        </w:rPr>
        <w:instrText xml:space="preserve"> PAGEREF _Ref515219247 \h </w:instrText>
      </w:r>
      <w:r>
        <w:rPr>
          <w:rFonts w:eastAsia="Helvetica"/>
        </w:rPr>
      </w:r>
      <w:r>
        <w:rPr>
          <w:rFonts w:eastAsia="Helvetica"/>
        </w:rPr>
        <w:fldChar w:fldCharType="separate"/>
      </w:r>
      <w:r w:rsidR="00B01953">
        <w:rPr>
          <w:rFonts w:eastAsia="Helvetica"/>
          <w:noProof/>
        </w:rPr>
        <w:t>62</w:t>
      </w:r>
      <w:r>
        <w:rPr>
          <w:rFonts w:eastAsia="Helvetica"/>
        </w:rPr>
        <w:fldChar w:fldCharType="end"/>
      </w:r>
      <w:r>
        <w:rPr>
          <w:rFonts w:eastAsia="Helvetica"/>
        </w:rPr>
        <w:t>) and develop a new standard for delivering information that could be used to replace the current energy price fact sheet.</w:t>
      </w:r>
    </w:p>
    <w:p w14:paraId="75640ED1" w14:textId="77777777" w:rsidR="00251049" w:rsidRPr="0004155D" w:rsidRDefault="00251049" w:rsidP="00D33213">
      <w:pPr>
        <w:pStyle w:val="h4"/>
      </w:pPr>
      <w:r w:rsidRPr="0004155D">
        <w:t>Our findings and learnings</w:t>
      </w:r>
    </w:p>
    <w:p w14:paraId="115E4112" w14:textId="62DD287A" w:rsidR="00D3490E" w:rsidRDefault="00D3490E" w:rsidP="007A3700">
      <w:pPr>
        <w:rPr>
          <w:rFonts w:eastAsia="Helvetica"/>
        </w:rPr>
      </w:pPr>
      <w:r>
        <w:rPr>
          <w:rFonts w:eastAsia="Helvetica"/>
        </w:rPr>
        <w:t xml:space="preserve">We compared five versions of a potential Basic Plan Information Document for energy plans in an online framed field experiment. The first four Basic Plan Information Documents had been developed for a preliminary trial (see page </w:t>
      </w:r>
      <w:r>
        <w:rPr>
          <w:rFonts w:eastAsia="Helvetica"/>
        </w:rPr>
        <w:fldChar w:fldCharType="begin"/>
      </w:r>
      <w:r>
        <w:rPr>
          <w:rFonts w:eastAsia="Helvetica"/>
        </w:rPr>
        <w:instrText xml:space="preserve"> PAGEREF _Ref515219247 \h </w:instrText>
      </w:r>
      <w:r>
        <w:rPr>
          <w:rFonts w:eastAsia="Helvetica"/>
        </w:rPr>
      </w:r>
      <w:r>
        <w:rPr>
          <w:rFonts w:eastAsia="Helvetica"/>
        </w:rPr>
        <w:fldChar w:fldCharType="separate"/>
      </w:r>
      <w:r w:rsidR="00B01953">
        <w:rPr>
          <w:rFonts w:eastAsia="Helvetica"/>
          <w:noProof/>
        </w:rPr>
        <w:t>62</w:t>
      </w:r>
      <w:r>
        <w:rPr>
          <w:rFonts w:eastAsia="Helvetica"/>
        </w:rPr>
        <w:fldChar w:fldCharType="end"/>
      </w:r>
      <w:r>
        <w:rPr>
          <w:rFonts w:eastAsia="Helvetica"/>
        </w:rPr>
        <w:t xml:space="preserve">) while the fifth version was developed by the Behavioural Insights Team. </w:t>
      </w:r>
    </w:p>
    <w:p w14:paraId="67F2FBAB" w14:textId="77777777" w:rsidR="00D3490E" w:rsidRDefault="00D3490E" w:rsidP="007A3700">
      <w:pPr>
        <w:rPr>
          <w:rFonts w:eastAsia="Helvetica"/>
        </w:rPr>
      </w:pPr>
      <w:r>
        <w:rPr>
          <w:rFonts w:eastAsia="Helvetica"/>
        </w:rPr>
        <w:t>Respondents were randomly allocated to one of five treatment groups. Each treatment group was shown four hypothetical energy plans within each version of the Basic Plan Information Document. They were then asked to choose the plan that would be cheapest for them and to indicate how confident they were about their decision and how well they comprehended the plan.</w:t>
      </w:r>
    </w:p>
    <w:p w14:paraId="6FADCECC" w14:textId="0364C825" w:rsidR="00D3490E" w:rsidRDefault="00D3490E" w:rsidP="007A3700">
      <w:pPr>
        <w:rPr>
          <w:rFonts w:eastAsia="Helvetica"/>
        </w:rPr>
      </w:pPr>
      <w:r>
        <w:rPr>
          <w:rFonts w:eastAsia="Helvetica"/>
        </w:rPr>
        <w:fldChar w:fldCharType="begin"/>
      </w:r>
      <w:r>
        <w:rPr>
          <w:rFonts w:eastAsia="Helvetica"/>
        </w:rPr>
        <w:instrText xml:space="preserve"> REF _Ref515219344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w:t>
      </w:r>
      <w:r w:rsidR="008B5320">
        <w:rPr>
          <w:noProof/>
        </w:rPr>
        <w:t>4</w:t>
      </w:r>
      <w:r>
        <w:rPr>
          <w:rFonts w:eastAsia="Helvetica"/>
        </w:rPr>
        <w:fldChar w:fldCharType="end"/>
      </w:r>
      <w:r>
        <w:rPr>
          <w:rFonts w:eastAsia="Helvetica"/>
        </w:rPr>
        <w:t xml:space="preserve"> shows the version used in Treatment 1; the key components are highlighted. In other versions, the key components differed, for example, variations were made to the position, length, presence (or absence) and use of hyperlinks to access further information.</w:t>
      </w:r>
    </w:p>
    <w:p w14:paraId="7CA7458B" w14:textId="700FB411" w:rsidR="00251049" w:rsidRPr="00D61C96" w:rsidRDefault="00D61C96" w:rsidP="004E3FC0">
      <w:pPr>
        <w:pStyle w:val="Caption"/>
        <w:jc w:val="both"/>
        <w:rPr>
          <w:rFonts w:ascii="Helvetica" w:eastAsia="Helvetica" w:hAnsi="Helvetica" w:cs="Helvetica"/>
          <w:color w:val="117479"/>
        </w:rPr>
      </w:pPr>
      <w:bookmarkStart w:id="108" w:name="_Ref515219344"/>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w:t>
      </w:r>
      <w:r w:rsidR="008B5320">
        <w:rPr>
          <w:noProof/>
        </w:rPr>
        <w:t>4</w:t>
      </w:r>
      <w:r w:rsidR="003035A6">
        <w:rPr>
          <w:noProof/>
        </w:rPr>
        <w:fldChar w:fldCharType="end"/>
      </w:r>
      <w:bookmarkEnd w:id="108"/>
      <w:r>
        <w:t xml:space="preserve">: </w:t>
      </w:r>
      <w:r w:rsidR="00D3490E">
        <w:rPr>
          <w:rFonts w:ascii="Helvetica" w:eastAsia="Helvetica" w:hAnsi="Helvetica" w:cs="Helvetica"/>
          <w:color w:val="117479"/>
        </w:rPr>
        <w:t>A</w:t>
      </w:r>
      <w:r w:rsidR="00251049" w:rsidRPr="00D61C96">
        <w:rPr>
          <w:rFonts w:ascii="Helvetica" w:eastAsia="Helvetica" w:hAnsi="Helvetica" w:cs="Helvetica"/>
          <w:color w:val="117479"/>
        </w:rPr>
        <w:t xml:space="preserve"> version </w:t>
      </w:r>
      <w:r w:rsidR="00754C69" w:rsidRPr="00D61C96">
        <w:rPr>
          <w:rFonts w:ascii="Helvetica" w:eastAsia="Helvetica" w:hAnsi="Helvetica" w:cs="Helvetica"/>
          <w:color w:val="117479"/>
        </w:rPr>
        <w:t>of</w:t>
      </w:r>
      <w:r w:rsidR="00D3490E">
        <w:rPr>
          <w:rFonts w:ascii="Helvetica" w:eastAsia="Helvetica" w:hAnsi="Helvetica" w:cs="Helvetica"/>
          <w:color w:val="117479"/>
        </w:rPr>
        <w:t xml:space="preserve"> the</w:t>
      </w:r>
      <w:r w:rsidR="00754C69" w:rsidRPr="00D61C96">
        <w:rPr>
          <w:rFonts w:ascii="Helvetica" w:eastAsia="Helvetica" w:hAnsi="Helvetica" w:cs="Helvetica"/>
          <w:color w:val="117479"/>
        </w:rPr>
        <w:t xml:space="preserve"> Basic Plan Information Document </w:t>
      </w:r>
      <w:r w:rsidR="00251049" w:rsidRPr="00D61C96">
        <w:rPr>
          <w:rFonts w:ascii="Helvetica" w:eastAsia="Helvetica" w:hAnsi="Helvetica" w:cs="Helvetica"/>
          <w:color w:val="117479"/>
        </w:rPr>
        <w:t>used in Treatment 1</w:t>
      </w:r>
    </w:p>
    <w:p w14:paraId="3823D8E3" w14:textId="678F8243" w:rsidR="00251049" w:rsidRDefault="00D61C96" w:rsidP="004E3FC0">
      <w:pPr>
        <w:spacing w:line="260" w:lineRule="auto"/>
        <w:jc w:val="both"/>
        <w:rPr>
          <w:rFonts w:ascii="Helvetica" w:eastAsia="Helvetica" w:hAnsi="Helvetica" w:cs="Helvetica"/>
          <w:color w:val="3F3F3F"/>
        </w:rPr>
      </w:pPr>
      <w:r>
        <w:rPr>
          <w:noProof/>
        </w:rPr>
        <w:drawing>
          <wp:inline distT="0" distB="0" distL="0" distR="0" wp14:anchorId="078537A9" wp14:editId="759BEB90">
            <wp:extent cx="5295900" cy="2933700"/>
            <wp:effectExtent l="0" t="0" r="0" b="0"/>
            <wp:docPr id="757" name="Picture 757" descr="The version used in Treatment 1; the following key components are highlighted: &#10;• A table with comparison price estimates for three different household sizes&#10;• Information on plan features including discounts, rebates and the contract term&#10;• A detailed pricing table about prices.&#10;" title="Figure 24"/>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95900" cy="2933700"/>
                    </a:xfrm>
                    <a:prstGeom prst="rect">
                      <a:avLst/>
                    </a:prstGeom>
                    <a:noFill/>
                    <a:ln>
                      <a:noFill/>
                    </a:ln>
                  </pic:spPr>
                </pic:pic>
              </a:graphicData>
            </a:graphic>
          </wp:inline>
        </w:drawing>
      </w:r>
    </w:p>
    <w:p w14:paraId="52444BD0" w14:textId="264BD14C" w:rsidR="00251049" w:rsidRPr="0004155D" w:rsidRDefault="00D3490E" w:rsidP="00D33213">
      <w:pPr>
        <w:pStyle w:val="h5"/>
      </w:pPr>
      <w:r>
        <w:lastRenderedPageBreak/>
        <w:t>The provision of</w:t>
      </w:r>
      <w:r w:rsidR="00251049" w:rsidRPr="0004155D">
        <w:t xml:space="preserve"> detailed pricing information improve</w:t>
      </w:r>
      <w:r>
        <w:t>d</w:t>
      </w:r>
      <w:r w:rsidR="00251049" w:rsidRPr="0004155D">
        <w:t xml:space="preserve"> confidence, </w:t>
      </w:r>
      <w:r>
        <w:t>but</w:t>
      </w:r>
      <w:r w:rsidR="00251049" w:rsidRPr="0004155D">
        <w:t xml:space="preserve"> consumers struggle</w:t>
      </w:r>
      <w:r>
        <w:t>d to interpret the content</w:t>
      </w:r>
    </w:p>
    <w:p w14:paraId="3CA13870" w14:textId="77777777" w:rsidR="00D3490E" w:rsidRDefault="00D3490E" w:rsidP="007A3700">
      <w:pPr>
        <w:rPr>
          <w:rFonts w:eastAsia="Helvetica"/>
        </w:rPr>
      </w:pPr>
      <w:r>
        <w:rPr>
          <w:rFonts w:eastAsia="Helvetica"/>
        </w:rPr>
        <w:t xml:space="preserve">Three of the treatment arms included a detailed pricing table while two of the treatment arms featured the table in a separate document that the respondents had to click to access. </w:t>
      </w:r>
    </w:p>
    <w:p w14:paraId="714842DB" w14:textId="62E61170" w:rsidR="00D3490E" w:rsidRDefault="00D3490E" w:rsidP="007A3700">
      <w:pPr>
        <w:rPr>
          <w:rFonts w:eastAsia="Helvetica"/>
        </w:rPr>
      </w:pPr>
      <w:r>
        <w:rPr>
          <w:rFonts w:eastAsia="Helvetica"/>
        </w:rPr>
        <w:t xml:space="preserve">Consistent with previous qualitative research, we found respondent </w:t>
      </w:r>
      <w:r>
        <w:rPr>
          <w:rFonts w:eastAsia="Helvetica"/>
          <w:b/>
        </w:rPr>
        <w:t>confidence in their decision was higher in the treatment arms which included the detailed pricing table</w:t>
      </w:r>
      <w:r>
        <w:rPr>
          <w:rFonts w:eastAsia="Helvetica"/>
        </w:rPr>
        <w:t xml:space="preserve"> </w:t>
      </w:r>
      <w:r w:rsidR="006E151A">
        <w:rPr>
          <w:rFonts w:eastAsia="Helvetica"/>
        </w:rPr>
        <w:br/>
      </w:r>
      <w:r>
        <w:rPr>
          <w:rFonts w:eastAsia="Helvetica"/>
        </w:rPr>
        <w:t xml:space="preserve">(see </w:t>
      </w:r>
      <w:r>
        <w:rPr>
          <w:rFonts w:eastAsia="Helvetica"/>
        </w:rPr>
        <w:fldChar w:fldCharType="begin"/>
      </w:r>
      <w:r>
        <w:rPr>
          <w:rFonts w:eastAsia="Helvetica"/>
        </w:rPr>
        <w:instrText xml:space="preserve"> REF _Ref515219569 \h </w:instrText>
      </w:r>
      <w:r w:rsidR="004E3FC0">
        <w:rPr>
          <w:rFonts w:eastAsia="Helvetica"/>
        </w:rPr>
        <w:instrText xml:space="preserve"> \* MERGEFORMAT </w:instrText>
      </w:r>
      <w:r>
        <w:rPr>
          <w:rFonts w:eastAsia="Helvetica"/>
        </w:rPr>
      </w:r>
      <w:r>
        <w:rPr>
          <w:rFonts w:eastAsia="Helvetica"/>
        </w:rPr>
        <w:fldChar w:fldCharType="separate"/>
      </w:r>
      <w:r w:rsidR="00B01953">
        <w:t xml:space="preserve">Figure </w:t>
      </w:r>
      <w:r w:rsidR="00B01953">
        <w:rPr>
          <w:noProof/>
        </w:rPr>
        <w:t>2</w:t>
      </w:r>
      <w:r w:rsidR="008B5320">
        <w:rPr>
          <w:noProof/>
        </w:rPr>
        <w:t>5</w:t>
      </w:r>
      <w:r>
        <w:rPr>
          <w:rFonts w:eastAsia="Helvetica"/>
        </w:rPr>
        <w:fldChar w:fldCharType="end"/>
      </w:r>
      <w:r>
        <w:rPr>
          <w:rFonts w:eastAsia="Helvetica"/>
        </w:rPr>
        <w:t>). However, almost 90 per cent of respondents were not able to correctly use the detailed pricing information to calculate the cost of a hypothetical day’s energy usage. This may because while including more data (in the form of the table) increased respondents’ confidence in their decisions, respondents were not able to turn this information into useful knowledge.</w:t>
      </w:r>
    </w:p>
    <w:p w14:paraId="7CE3FD6B" w14:textId="0DFB5EDF" w:rsidR="00251049" w:rsidRPr="00D61C96" w:rsidRDefault="00D61C96" w:rsidP="004E3FC0">
      <w:pPr>
        <w:pStyle w:val="Caption"/>
        <w:jc w:val="both"/>
        <w:rPr>
          <w:rFonts w:ascii="Helvetica" w:eastAsia="Helvetica" w:hAnsi="Helvetica" w:cs="Helvetica"/>
          <w:color w:val="117479"/>
        </w:rPr>
      </w:pPr>
      <w:bookmarkStart w:id="109" w:name="_Ref515219569"/>
      <w:r>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w:t>
      </w:r>
      <w:r w:rsidR="008B5320">
        <w:rPr>
          <w:noProof/>
        </w:rPr>
        <w:t>5</w:t>
      </w:r>
      <w:r w:rsidR="003035A6">
        <w:rPr>
          <w:noProof/>
        </w:rPr>
        <w:fldChar w:fldCharType="end"/>
      </w:r>
      <w:bookmarkEnd w:id="109"/>
      <w:r>
        <w:t xml:space="preserve">: </w:t>
      </w:r>
      <w:r w:rsidR="00251049" w:rsidRPr="00D61C96">
        <w:rPr>
          <w:rFonts w:ascii="Helvetica" w:eastAsia="Helvetica" w:hAnsi="Helvetica" w:cs="Helvetica"/>
          <w:color w:val="117479"/>
        </w:rPr>
        <w:t>Aggregated confidence score, by treatment</w:t>
      </w:r>
    </w:p>
    <w:p w14:paraId="1E60F635" w14:textId="1159BCCA" w:rsidR="00251049" w:rsidRDefault="008B5320" w:rsidP="004E3FC0">
      <w:pPr>
        <w:jc w:val="both"/>
        <w:rPr>
          <w:rFonts w:ascii="Helvetica" w:eastAsia="Helvetica" w:hAnsi="Helvetica" w:cs="Helvetica"/>
          <w:color w:val="3F3F3F"/>
        </w:rPr>
      </w:pPr>
      <w:r>
        <w:rPr>
          <w:rFonts w:ascii="Helvetica" w:eastAsia="Helvetica" w:hAnsi="Helvetica" w:cs="Helvetica"/>
          <w:noProof/>
          <w:color w:val="3F3F3F"/>
        </w:rPr>
        <w:drawing>
          <wp:inline distT="0" distB="0" distL="0" distR="0" wp14:anchorId="3AAC5AF7" wp14:editId="139D18D8">
            <wp:extent cx="5384800" cy="2311400"/>
            <wp:effectExtent l="0" t="0" r="0" b="0"/>
            <wp:docPr id="137" name="Picture 137" descr="Consistent with previous qualitative research, we found respondent confidence in their decision was higher in the treatment arms which included the detailed pricing table (p &lt; 0.001): &#10;• Treatment 1 saw an increase in confidence of 6.3 per cent&#10;• Treatment 2 saw an increase in confidence of 6.2 per cent&#10;• Treatment 3 saw an increase in confidence of 6.3 per cent&#10;• Treatment 4 saw an increase in confidence of 5.9 per cent&#10;• Treatment 5 saw an increase in confidence of 5.8 per cent&#10;The increase in confidence in Treatments 4 and 5 were significant at p &lt; 0.001. &#10;However, almost 90 per cent of respondents were not able to correctly use the detailed pricing information to calculate the cost of a hypothetical day’s energy usage. This may because while including more data (in the form of the table) increased respondents’ confidence in their decisions, respondents were not able to turn this information into useful knowledge.&#10;"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ig25.png"/>
                    <pic:cNvPicPr/>
                  </pic:nvPicPr>
                  <pic:blipFill>
                    <a:blip r:embed="rId117">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08D20E1F" w14:textId="07277EF0" w:rsidR="00251049" w:rsidRPr="0004155D" w:rsidRDefault="00251049" w:rsidP="00D33213">
      <w:pPr>
        <w:pStyle w:val="h5"/>
      </w:pPr>
      <w:r w:rsidRPr="0004155D">
        <w:t xml:space="preserve">Providing detailed pricing information first leads to </w:t>
      </w:r>
      <w:r w:rsidR="00D3490E">
        <w:t>poorer</w:t>
      </w:r>
      <w:r w:rsidRPr="0004155D">
        <w:t xml:space="preserve"> decision-making</w:t>
      </w:r>
    </w:p>
    <w:p w14:paraId="7DC527CA" w14:textId="211CF8D9" w:rsidR="00D3490E" w:rsidRDefault="00D3490E" w:rsidP="007A3700">
      <w:pPr>
        <w:rPr>
          <w:rFonts w:eastAsia="Helvetica"/>
        </w:rPr>
      </w:pPr>
      <w:r>
        <w:rPr>
          <w:rFonts w:eastAsia="Helvetica"/>
        </w:rPr>
        <w:t>One treatment arm (i.e.</w:t>
      </w:r>
      <w:r w:rsidR="00F20346">
        <w:rPr>
          <w:rFonts w:eastAsia="Helvetica"/>
        </w:rPr>
        <w:t>,</w:t>
      </w:r>
      <w:r>
        <w:rPr>
          <w:rFonts w:eastAsia="Helvetica"/>
        </w:rPr>
        <w:t xml:space="preserve"> Treatment 2) included a </w:t>
      </w:r>
      <w:r w:rsidR="00F20346">
        <w:rPr>
          <w:rFonts w:eastAsia="Helvetica"/>
        </w:rPr>
        <w:t>pricing</w:t>
      </w:r>
      <w:r>
        <w:rPr>
          <w:rFonts w:eastAsia="Helvetica"/>
        </w:rPr>
        <w:t xml:space="preserve"> table at the top of the document. This essentially reversed the order with which information had been presented in Treatment 1 </w:t>
      </w:r>
      <w:r w:rsidR="006E151A">
        <w:rPr>
          <w:rFonts w:eastAsia="Helvetica"/>
        </w:rPr>
        <w:br/>
      </w:r>
      <w:r>
        <w:rPr>
          <w:rFonts w:eastAsia="Helvetica"/>
        </w:rPr>
        <w:t xml:space="preserve">(in which the table appeared at the bottom of the page) and Treatment 3 (in which the table appeared on a subsequent page). </w:t>
      </w:r>
    </w:p>
    <w:p w14:paraId="0F9478FB" w14:textId="75C6E7D5" w:rsidR="00D3490E" w:rsidRDefault="00D3490E" w:rsidP="007A3700">
      <w:pPr>
        <w:rPr>
          <w:rFonts w:eastAsia="Helvetica"/>
        </w:rPr>
      </w:pPr>
      <w:r>
        <w:rPr>
          <w:rFonts w:eastAsia="Helvetica"/>
        </w:rPr>
        <w:t xml:space="preserve">Presenting the </w:t>
      </w:r>
      <w:r w:rsidR="00F20346">
        <w:rPr>
          <w:rFonts w:eastAsia="Helvetica"/>
        </w:rPr>
        <w:t>pricing</w:t>
      </w:r>
      <w:r>
        <w:rPr>
          <w:rFonts w:eastAsia="Helvetica"/>
        </w:rPr>
        <w:t xml:space="preserve"> table at the top of the page led to poorer decision-making; that is, </w:t>
      </w:r>
      <w:r>
        <w:rPr>
          <w:rFonts w:eastAsia="Helvetica"/>
          <w:b/>
        </w:rPr>
        <w:t>fewer respondents were able to pick the cheapest plan when a detailed pricing table appeared at the top of the page</w:t>
      </w:r>
      <w:r>
        <w:rPr>
          <w:rFonts w:eastAsia="Helvetica"/>
        </w:rPr>
        <w:t xml:space="preserve"> (see </w:t>
      </w:r>
      <w:r>
        <w:rPr>
          <w:rFonts w:eastAsia="Helvetica"/>
        </w:rPr>
        <w:fldChar w:fldCharType="begin"/>
      </w:r>
      <w:r>
        <w:rPr>
          <w:rFonts w:eastAsia="Helvetica"/>
        </w:rPr>
        <w:instrText xml:space="preserve"> REF _Ref513798727 \h  \* MERGEFORMAT </w:instrText>
      </w:r>
      <w:r>
        <w:rPr>
          <w:rFonts w:eastAsia="Helvetica"/>
        </w:rPr>
      </w:r>
      <w:r>
        <w:rPr>
          <w:rFonts w:eastAsia="Helvetica"/>
        </w:rPr>
        <w:fldChar w:fldCharType="separate"/>
      </w:r>
      <w:r w:rsidR="00B01953">
        <w:t xml:space="preserve">Figure </w:t>
      </w:r>
      <w:r w:rsidR="00B01953">
        <w:rPr>
          <w:noProof/>
        </w:rPr>
        <w:t>2</w:t>
      </w:r>
      <w:r w:rsidR="008B5320">
        <w:rPr>
          <w:noProof/>
        </w:rPr>
        <w:t>6</w:t>
      </w:r>
      <w:r>
        <w:rPr>
          <w:rFonts w:eastAsia="Helvetica"/>
        </w:rPr>
        <w:fldChar w:fldCharType="end"/>
      </w:r>
      <w:r>
        <w:rPr>
          <w:rFonts w:eastAsia="Helvetica"/>
        </w:rPr>
        <w:t>).</w:t>
      </w:r>
    </w:p>
    <w:p w14:paraId="4DF1EDC1" w14:textId="72666AF4" w:rsidR="00D3490E" w:rsidRDefault="00D3490E" w:rsidP="007A3700">
      <w:pPr>
        <w:rPr>
          <w:rFonts w:eastAsia="Helvetica"/>
        </w:rPr>
      </w:pPr>
      <w:r>
        <w:rPr>
          <w:rFonts w:eastAsia="Helvetica"/>
        </w:rPr>
        <w:t>It may be that presenting the pricing table at the top of the page encourage</w:t>
      </w:r>
      <w:r w:rsidR="00F20346">
        <w:rPr>
          <w:rFonts w:eastAsia="Helvetica"/>
        </w:rPr>
        <w:t>d</w:t>
      </w:r>
      <w:r>
        <w:rPr>
          <w:rFonts w:eastAsia="Helvetica"/>
        </w:rPr>
        <w:t xml:space="preserve"> consumers to use the table rather than the comparison price estimates when comparing plans. Alternately, it may be that consumers struggle to convert the information contained detailed pricing table into good decisions.</w:t>
      </w:r>
    </w:p>
    <w:p w14:paraId="7F448665" w14:textId="4CABAAE1" w:rsidR="00251049" w:rsidRPr="00D61C96" w:rsidRDefault="00D61C96" w:rsidP="004E3FC0">
      <w:pPr>
        <w:pStyle w:val="Caption"/>
        <w:jc w:val="both"/>
        <w:rPr>
          <w:rFonts w:ascii="Helvetica" w:eastAsia="Helvetica" w:hAnsi="Helvetica" w:cs="Helvetica"/>
          <w:color w:val="117479"/>
        </w:rPr>
      </w:pPr>
      <w:bookmarkStart w:id="110" w:name="_Ref513798727"/>
      <w:r>
        <w:lastRenderedPageBreak/>
        <w:t xml:space="preserve">Figure </w:t>
      </w:r>
      <w:r w:rsidR="003035A6">
        <w:rPr>
          <w:noProof/>
        </w:rPr>
        <w:fldChar w:fldCharType="begin"/>
      </w:r>
      <w:r w:rsidR="003035A6">
        <w:rPr>
          <w:noProof/>
        </w:rPr>
        <w:instrText xml:space="preserve"> SEQ Figure \* ARABIC </w:instrText>
      </w:r>
      <w:r w:rsidR="003035A6">
        <w:rPr>
          <w:noProof/>
        </w:rPr>
        <w:fldChar w:fldCharType="separate"/>
      </w:r>
      <w:r w:rsidR="00B01953">
        <w:rPr>
          <w:noProof/>
        </w:rPr>
        <w:t>2</w:t>
      </w:r>
      <w:r w:rsidR="008B5320">
        <w:rPr>
          <w:noProof/>
        </w:rPr>
        <w:t>6</w:t>
      </w:r>
      <w:r w:rsidR="003035A6">
        <w:rPr>
          <w:noProof/>
        </w:rPr>
        <w:fldChar w:fldCharType="end"/>
      </w:r>
      <w:bookmarkEnd w:id="110"/>
      <w:r>
        <w:t xml:space="preserve">: </w:t>
      </w:r>
      <w:r w:rsidR="00251049" w:rsidRPr="00D61C96">
        <w:rPr>
          <w:rFonts w:ascii="Helvetica" w:eastAsia="Helvetica" w:hAnsi="Helvetica" w:cs="Helvetica"/>
          <w:color w:val="117479"/>
        </w:rPr>
        <w:t xml:space="preserve">Proportion </w:t>
      </w:r>
      <w:r w:rsidR="00F20346">
        <w:rPr>
          <w:rFonts w:ascii="Helvetica" w:eastAsia="Helvetica" w:hAnsi="Helvetica" w:cs="Helvetica"/>
          <w:color w:val="117479"/>
        </w:rPr>
        <w:t xml:space="preserve">of consumers who chose the cheapest plan across </w:t>
      </w:r>
      <w:r w:rsidR="00251049" w:rsidRPr="00D61C96">
        <w:rPr>
          <w:rFonts w:ascii="Helvetica" w:eastAsia="Helvetica" w:hAnsi="Helvetica" w:cs="Helvetica"/>
          <w:color w:val="117479"/>
        </w:rPr>
        <w:t>treatment</w:t>
      </w:r>
      <w:r w:rsidR="00F20346">
        <w:rPr>
          <w:rFonts w:ascii="Helvetica" w:eastAsia="Helvetica" w:hAnsi="Helvetica" w:cs="Helvetica"/>
          <w:color w:val="117479"/>
        </w:rPr>
        <w:t xml:space="preserve"> groups</w:t>
      </w:r>
    </w:p>
    <w:p w14:paraId="3E5FE701" w14:textId="702CD7C1" w:rsidR="00AA6F02" w:rsidRDefault="008B5320" w:rsidP="004E3FC0">
      <w:pPr>
        <w:spacing w:line="260" w:lineRule="auto"/>
        <w:jc w:val="both"/>
      </w:pPr>
      <w:r>
        <w:rPr>
          <w:noProof/>
        </w:rPr>
        <w:drawing>
          <wp:inline distT="0" distB="0" distL="0" distR="0" wp14:anchorId="035DECB8" wp14:editId="605164B1">
            <wp:extent cx="5384800" cy="2311400"/>
            <wp:effectExtent l="0" t="0" r="0" b="0"/>
            <wp:docPr id="138" name="Picture 138" descr="Presenting the pricing table at the top of the page led to poorer decision-making; that is, fewer respondents were able to pick the cheapest plan when a detailed pricing table appeared at the top of the page. Figure 26 shows the proportion of consumers who chose the cheapest plan across treatment groups (p &lt; 0.05):&#10;• Treatment 1 saw a proportion of 54.6 per cent&#10;• Treatment 2 saw a proportion of 46.5 per cent&#10;• Treatment 3 saw a proportion of 54.4 per cent&#10;• Treatment 4 saw a proportion of 52.3 per cent&#10;• Treatment 5 saw a proportion of 53.7 per cent.&#10;It may be that presenting the pricing table at the top of the page encouraged consumers to use the table rather than the comparison price estimates when comparing plans. Alternately, it may be that consumers struggle to convert the information contained detailed pricing table into good decisions.&#10;"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Fig26.png"/>
                    <pic:cNvPicPr/>
                  </pic:nvPicPr>
                  <pic:blipFill>
                    <a:blip r:embed="rId118">
                      <a:extLst>
                        <a:ext uri="{28A0092B-C50C-407E-A947-70E740481C1C}">
                          <a14:useLocalDpi xmlns:a14="http://schemas.microsoft.com/office/drawing/2010/main" val="0"/>
                        </a:ext>
                      </a:extLst>
                    </a:blip>
                    <a:stretch>
                      <a:fillRect/>
                    </a:stretch>
                  </pic:blipFill>
                  <pic:spPr>
                    <a:xfrm>
                      <a:off x="0" y="0"/>
                      <a:ext cx="5384800" cy="2311400"/>
                    </a:xfrm>
                    <a:prstGeom prst="rect">
                      <a:avLst/>
                    </a:prstGeom>
                  </pic:spPr>
                </pic:pic>
              </a:graphicData>
            </a:graphic>
          </wp:inline>
        </w:drawing>
      </w:r>
    </w:p>
    <w:p w14:paraId="0861DCF9" w14:textId="32230FCC" w:rsidR="00F20346" w:rsidRDefault="00F20346" w:rsidP="007A3700">
      <w:pPr>
        <w:rPr>
          <w:rFonts w:eastAsia="Helvetica"/>
        </w:rPr>
      </w:pPr>
      <w:r>
        <w:rPr>
          <w:rFonts w:eastAsia="Helvetica"/>
        </w:rPr>
        <w:t>The trial suggests a balanced approach needs to be adopted when providing detailed information to maximise consumers’ decision-making ability and confidence levels. The best approach appears to be to include detailed information, but to de-prioritise it and provide other cues for comparing plans.</w:t>
      </w:r>
    </w:p>
    <w:p w14:paraId="4DBDEFA2" w14:textId="77777777" w:rsidR="00251049" w:rsidRPr="0004155D" w:rsidRDefault="00251049" w:rsidP="00D33213">
      <w:pPr>
        <w:pStyle w:val="h4"/>
      </w:pPr>
      <w:r w:rsidRPr="0004155D">
        <w:t xml:space="preserve">Future opportunities </w:t>
      </w:r>
    </w:p>
    <w:p w14:paraId="44375BBA" w14:textId="2AF5F11A" w:rsidR="00F20346" w:rsidRDefault="00F20346" w:rsidP="007A3700">
      <w:pPr>
        <w:rPr>
          <w:rFonts w:eastAsia="Helvetica"/>
        </w:rPr>
      </w:pPr>
      <w:r>
        <w:rPr>
          <w:rFonts w:eastAsia="Helvetica"/>
        </w:rPr>
        <w:t>Of the treatments, even the best results led to only 60</w:t>
      </w:r>
      <w:r w:rsidR="00E730BF">
        <w:rPr>
          <w:rFonts w:eastAsia="Helvetica"/>
        </w:rPr>
        <w:t> </w:t>
      </w:r>
      <w:r>
        <w:rPr>
          <w:rFonts w:eastAsia="Helvetica"/>
        </w:rPr>
        <w:t>per</w:t>
      </w:r>
      <w:r w:rsidR="00E730BF">
        <w:rPr>
          <w:rFonts w:eastAsia="Helvetica"/>
        </w:rPr>
        <w:t> </w:t>
      </w:r>
      <w:r>
        <w:rPr>
          <w:rFonts w:eastAsia="Helvetica"/>
        </w:rPr>
        <w:t>cent of consumers selecting the cheapest plan for them. Future research should seek to increase this percentage and investigate the relationship between consumer confidence and engagement with markets.</w:t>
      </w:r>
    </w:p>
    <w:p w14:paraId="0D00959C" w14:textId="4449EC30" w:rsidR="00251049" w:rsidRDefault="00F20346" w:rsidP="007A3700">
      <w:pPr>
        <w:rPr>
          <w:rFonts w:eastAsia="Helvetica"/>
        </w:rPr>
      </w:pPr>
      <w:r>
        <w:rPr>
          <w:rFonts w:eastAsia="Helvetica"/>
        </w:rPr>
        <w:t>The trial represents a rare instance of disclosure documents being rigorously tested to understand how the format of such documents affects consumers’ levels of confidence and their decisions. There is significant scope for regulators in many fields to test their disclosure documents to determine if these documents are truly fit for purpose and lead</w:t>
      </w:r>
      <w:r w:rsidR="00251049">
        <w:rPr>
          <w:rFonts w:eastAsia="Helvetica"/>
        </w:rPr>
        <w:t xml:space="preserve"> to better consumer decisions and confidence. </w:t>
      </w:r>
    </w:p>
    <w:p w14:paraId="310B2BF7" w14:textId="4FF9DA4B" w:rsidR="00AA6F02" w:rsidRPr="00164677" w:rsidRDefault="00AA6F02" w:rsidP="004E3FC0">
      <w:pPr>
        <w:spacing w:before="0" w:after="0" w:line="240" w:lineRule="auto"/>
        <w:jc w:val="both"/>
        <w:rPr>
          <w:rFonts w:eastAsia="Helvetica"/>
          <w:color w:val="A6A6A6" w:themeColor="background1" w:themeShade="A6"/>
          <w:sz w:val="4"/>
          <w:szCs w:val="4"/>
        </w:rPr>
      </w:pPr>
      <w:r w:rsidRPr="00164677">
        <w:rPr>
          <w:rFonts w:eastAsia="Helvetica"/>
          <w:color w:val="A6A6A6" w:themeColor="background1" w:themeShade="A6"/>
          <w:sz w:val="4"/>
          <w:szCs w:val="4"/>
        </w:rPr>
        <w:br w:type="page"/>
      </w:r>
    </w:p>
    <w:tbl>
      <w:tblPr>
        <w:tblStyle w:val="TableGrid"/>
        <w:tblpPr w:leftFromText="180" w:rightFromText="180" w:vertAnchor="page" w:horzAnchor="margin" w:tblpY="6028"/>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Teens ethics and technology: Making "/>
        <w:tblDescription w:val="Text box description of research to understand how young people use the internet and make decisions online. "/>
      </w:tblPr>
      <w:tblGrid>
        <w:gridCol w:w="9162"/>
      </w:tblGrid>
      <w:tr w:rsidR="00FB33A2" w14:paraId="4AC834B3" w14:textId="77777777" w:rsidTr="001B5DD4">
        <w:trPr>
          <w:trHeight w:val="5657"/>
        </w:trPr>
        <w:tc>
          <w:tcPr>
            <w:tcW w:w="9162" w:type="dxa"/>
            <w:tcBorders>
              <w:bottom w:val="nil"/>
            </w:tcBorders>
            <w:shd w:val="clear" w:color="auto" w:fill="D9D9D9" w:themeFill="background1" w:themeFillShade="D9"/>
          </w:tcPr>
          <w:p w14:paraId="006F5979" w14:textId="77777777" w:rsidR="00FB33A2" w:rsidRPr="004E3FC0" w:rsidRDefault="00FB33A2" w:rsidP="00FB33A2">
            <w:pPr>
              <w:spacing w:after="240" w:line="320" w:lineRule="auto"/>
              <w:rPr>
                <w:rFonts w:ascii="Helvetica" w:eastAsia="Helvetica" w:hAnsi="Helvetica" w:cs="Helvetica"/>
                <w:color w:val="3F3F3F"/>
                <w:sz w:val="24"/>
              </w:rPr>
            </w:pPr>
            <w:bookmarkStart w:id="111" w:name="_Toc515874452"/>
            <w:bookmarkStart w:id="112" w:name="_Toc515874523"/>
            <w:bookmarkStart w:id="113" w:name="_Toc515874693"/>
            <w:r w:rsidRPr="00C47F20">
              <w:rPr>
                <w:rFonts w:ascii="Helvetica" w:eastAsia="Helvetica" w:hAnsi="Helvetica" w:cs="Helvetica"/>
                <w:color w:val="3F3F3F"/>
                <w:sz w:val="24"/>
              </w:rPr>
              <w:lastRenderedPageBreak/>
              <w:t>We undertook qualitative research to understand how young people use the internet and make ethical decisions online. We identified four ingredients for the long-term ethical development of a young person. With our program partners, we are now incorporating these ingredients into interventions.</w:t>
            </w:r>
          </w:p>
        </w:tc>
      </w:tr>
    </w:tbl>
    <w:bookmarkEnd w:id="111"/>
    <w:bookmarkEnd w:id="112"/>
    <w:bookmarkEnd w:id="113"/>
    <w:p w14:paraId="56475DCD" w14:textId="140428C1" w:rsidR="00FB33A2" w:rsidRDefault="00FB33A2" w:rsidP="003B2BEB">
      <w:pPr>
        <w:pStyle w:val="Heading3"/>
        <w:framePr w:w="9209" w:wrap="around"/>
        <w:spacing w:after="240"/>
        <w:ind w:right="-13"/>
        <w:rPr>
          <w:bCs/>
        </w:rPr>
      </w:pPr>
      <w:r w:rsidRPr="00FB33A2">
        <w:rPr>
          <w:bCs/>
        </w:rPr>
        <w:t xml:space="preserve">Teens ethics and technology: Making </w:t>
      </w:r>
      <w:r w:rsidRPr="00FB33A2">
        <w:rPr>
          <w:bCs/>
        </w:rPr>
        <w:br/>
        <w:t xml:space="preserve">moral decisions in the online world </w:t>
      </w:r>
    </w:p>
    <w:p w14:paraId="7E060C48" w14:textId="77777777" w:rsidR="001B5DD4" w:rsidRPr="004E3FC0" w:rsidRDefault="001B5DD4" w:rsidP="001B5DD4">
      <w:pPr>
        <w:pStyle w:val="h4"/>
      </w:pPr>
      <w:r w:rsidRPr="004E3FC0">
        <w:t>Abstract</w:t>
      </w:r>
    </w:p>
    <w:p w14:paraId="14026972" w14:textId="41FD923A" w:rsidR="00EB6B12" w:rsidRDefault="00EB6B12" w:rsidP="00EB6B12">
      <w:pPr>
        <w:pStyle w:val="h4"/>
      </w:pPr>
      <w:r w:rsidRPr="00573712">
        <w:t>Project by</w:t>
      </w:r>
    </w:p>
    <w:p w14:paraId="3B94026C" w14:textId="75247421" w:rsidR="00EB6B12" w:rsidRDefault="00EB6B12" w:rsidP="00EB6B12"/>
    <w:p w14:paraId="382DBFB9" w14:textId="78A499D9" w:rsidR="00EB6B12" w:rsidRDefault="00EB6B12" w:rsidP="00EB6B12"/>
    <w:p w14:paraId="7E9C3167" w14:textId="398380EC" w:rsidR="001B5DD4" w:rsidRPr="001B5DD4" w:rsidRDefault="00EB6B12" w:rsidP="001B5DD4">
      <w:r>
        <w:rPr>
          <w:noProof/>
        </w:rPr>
        <w:drawing>
          <wp:anchor distT="0" distB="0" distL="114300" distR="114300" simplePos="0" relativeHeight="251836928" behindDoc="0" locked="0" layoutInCell="1" allowOverlap="1" wp14:anchorId="4CF9436D" wp14:editId="4075E7A0">
            <wp:simplePos x="0" y="0"/>
            <wp:positionH relativeFrom="column">
              <wp:posOffset>495137</wp:posOffset>
            </wp:positionH>
            <wp:positionV relativeFrom="paragraph">
              <wp:posOffset>138445</wp:posOffset>
            </wp:positionV>
            <wp:extent cx="1373505" cy="1039495"/>
            <wp:effectExtent l="0" t="0" r="0" b="8255"/>
            <wp:wrapNone/>
            <wp:docPr id="90" name="Picture 90" descr="The Vincent Fairfax Family Trus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VFFF.png"/>
                    <pic:cNvPicPr/>
                  </pic:nvPicPr>
                  <pic:blipFill rotWithShape="1">
                    <a:blip r:embed="rId119" cstate="print">
                      <a:extLst>
                        <a:ext uri="{28A0092B-C50C-407E-A947-70E740481C1C}">
                          <a14:useLocalDpi xmlns:a14="http://schemas.microsoft.com/office/drawing/2010/main" val="0"/>
                        </a:ext>
                      </a:extLst>
                    </a:blip>
                    <a:srcRect l="15369" t="11920" r="15431" b="14017"/>
                    <a:stretch/>
                  </pic:blipFill>
                  <pic:spPr bwMode="auto">
                    <a:xfrm>
                      <a:off x="0" y="0"/>
                      <a:ext cx="1373505" cy="103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AAC54" w14:textId="12881632" w:rsidR="00251049" w:rsidRPr="0004155D" w:rsidRDefault="00EB6B12" w:rsidP="001B5DD4">
      <w:pPr>
        <w:pStyle w:val="h4"/>
      </w:pPr>
      <w:r>
        <w:rPr>
          <w:noProof/>
        </w:rPr>
        <w:drawing>
          <wp:anchor distT="0" distB="0" distL="114300" distR="114300" simplePos="0" relativeHeight="251835904" behindDoc="0" locked="0" layoutInCell="1" allowOverlap="1" wp14:anchorId="4E20DF58" wp14:editId="3F3078EB">
            <wp:simplePos x="0" y="0"/>
            <wp:positionH relativeFrom="margin">
              <wp:align>right</wp:align>
            </wp:positionH>
            <wp:positionV relativeFrom="paragraph">
              <wp:posOffset>100330</wp:posOffset>
            </wp:positionV>
            <wp:extent cx="1704340" cy="713105"/>
            <wp:effectExtent l="0" t="0" r="0" b="0"/>
            <wp:wrapNone/>
            <wp:docPr id="92" name="Picture 92" descr="The Behavioural Insights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T-01.png"/>
                    <pic:cNvPicPr/>
                  </pic:nvPicPr>
                  <pic:blipFill rotWithShape="1">
                    <a:blip r:embed="rId120" cstate="print">
                      <a:extLst>
                        <a:ext uri="{28A0092B-C50C-407E-A947-70E740481C1C}">
                          <a14:useLocalDpi xmlns:a14="http://schemas.microsoft.com/office/drawing/2010/main" val="0"/>
                        </a:ext>
                      </a:extLst>
                    </a:blip>
                    <a:srcRect b="-18080"/>
                    <a:stretch/>
                  </pic:blipFill>
                  <pic:spPr bwMode="auto">
                    <a:xfrm>
                      <a:off x="0" y="0"/>
                      <a:ext cx="1704340" cy="71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049">
        <w:br w:type="page"/>
      </w:r>
      <w:r w:rsidR="00251049" w:rsidRPr="0004155D">
        <w:lastRenderedPageBreak/>
        <w:t xml:space="preserve">The policy problem </w:t>
      </w:r>
    </w:p>
    <w:p w14:paraId="5AA1CE62" w14:textId="0333B22C" w:rsidR="00251049" w:rsidRDefault="00F20346" w:rsidP="007A3700">
      <w:pPr>
        <w:rPr>
          <w:rFonts w:eastAsia="Helvetica"/>
          <w:shd w:val="clear" w:color="auto" w:fill="FFFF00"/>
        </w:rPr>
      </w:pPr>
      <w:r>
        <w:rPr>
          <w:rFonts w:eastAsia="Helvetica"/>
        </w:rPr>
        <w:t>Over the last decade, digital media platforms have commanded a growing share of our collective time and attention. Of individuals aged between 14 and 17 in Australia, 82</w:t>
      </w:r>
      <w:r w:rsidR="00E730BF">
        <w:rPr>
          <w:rFonts w:eastAsia="Helvetica"/>
        </w:rPr>
        <w:t> </w:t>
      </w:r>
      <w:r>
        <w:rPr>
          <w:rFonts w:eastAsia="Helvetica"/>
        </w:rPr>
        <w:t>per</w:t>
      </w:r>
      <w:r w:rsidR="00E730BF">
        <w:rPr>
          <w:rFonts w:eastAsia="Helvetica"/>
        </w:rPr>
        <w:t> </w:t>
      </w:r>
      <w:r>
        <w:rPr>
          <w:rFonts w:eastAsia="Helvetica"/>
        </w:rPr>
        <w:t>cent view the internet as very or extremely important to their lives.</w:t>
      </w:r>
      <w:r>
        <w:rPr>
          <w:rStyle w:val="FootnoteReference"/>
        </w:rPr>
        <w:footnoteReference w:id="69"/>
      </w:r>
      <w:r>
        <w:rPr>
          <w:rFonts w:eastAsia="Helvetica"/>
        </w:rPr>
        <w:t xml:space="preserve"> For these young people, how they think, act and treat each other online affects the kind of adults they will become.</w:t>
      </w:r>
      <w:r>
        <w:rPr>
          <w:rStyle w:val="FootnoteReference"/>
        </w:rPr>
        <w:footnoteReference w:id="70"/>
      </w:r>
      <w:r>
        <w:rPr>
          <w:rFonts w:eastAsia="Helvetica"/>
        </w:rPr>
        <w:t xml:space="preserve"> </w:t>
      </w:r>
      <w:r w:rsidR="006E151A">
        <w:rPr>
          <w:rFonts w:eastAsia="Helvetica"/>
        </w:rPr>
        <w:br/>
      </w:r>
      <w:r>
        <w:rPr>
          <w:rFonts w:eastAsia="Helvetica"/>
        </w:rPr>
        <w:t>A number of existing programs seek to minimise harm and risk; however, very few policies and interventions seek to use technology as a positive force for ethical development.</w:t>
      </w:r>
      <w:r w:rsidR="00251049">
        <w:rPr>
          <w:rFonts w:eastAsia="Helvetica"/>
        </w:rPr>
        <w:t xml:space="preserve"> </w:t>
      </w:r>
    </w:p>
    <w:p w14:paraId="0C776477" w14:textId="77777777" w:rsidR="00251049" w:rsidRPr="0004155D" w:rsidRDefault="00251049" w:rsidP="00D33213">
      <w:pPr>
        <w:pStyle w:val="h4"/>
      </w:pPr>
      <w:r w:rsidRPr="0004155D">
        <w:t xml:space="preserve">Our findings and learnings </w:t>
      </w:r>
    </w:p>
    <w:p w14:paraId="258A2771" w14:textId="300288B8" w:rsidR="00F20346" w:rsidRDefault="00F20346" w:rsidP="007A3700">
      <w:pPr>
        <w:rPr>
          <w:rFonts w:eastAsia="Helvetica"/>
          <w:shd w:val="clear" w:color="auto" w:fill="FFFFFF"/>
        </w:rPr>
      </w:pPr>
      <w:r>
        <w:rPr>
          <w:rFonts w:eastAsia="Helvetica"/>
          <w:shd w:val="clear" w:color="auto" w:fill="FFFFFF"/>
        </w:rPr>
        <w:t xml:space="preserve">We conducted a series of one-on-one interviews with young people and their parents, held two workshops with 29 young people at a school and youth centre, ran an online diary study and engaged in regular consultations with the eight members of our Youth Advisory Panel. </w:t>
      </w:r>
      <w:r w:rsidR="006E151A">
        <w:rPr>
          <w:rFonts w:eastAsia="Helvetica"/>
          <w:shd w:val="clear" w:color="auto" w:fill="FFFFFF"/>
        </w:rPr>
        <w:br/>
      </w:r>
      <w:r>
        <w:rPr>
          <w:rFonts w:eastAsia="Helvetica"/>
          <w:shd w:val="clear" w:color="auto" w:fill="FFFFFF"/>
        </w:rPr>
        <w:t>This qualitative research culminated in the ‘No Filter Forum’, a two-day deliberative event attended by 60 young people aged between 12 and 16.</w:t>
      </w:r>
    </w:p>
    <w:p w14:paraId="4017E32E" w14:textId="314ED243" w:rsidR="00F20346" w:rsidRDefault="00F20346" w:rsidP="007A3700">
      <w:pPr>
        <w:rPr>
          <w:rFonts w:eastAsia="Helvetica"/>
        </w:rPr>
      </w:pPr>
      <w:r>
        <w:rPr>
          <w:rFonts w:eastAsia="Helvetica"/>
          <w:shd w:val="clear" w:color="auto" w:fill="FFFFFF"/>
        </w:rPr>
        <w:t>We sought to understand the factors that make an ethical choice more likely in a given situation and the broader conditions that enable a young person to flourish as an ethical person over time.</w:t>
      </w:r>
      <w:r>
        <w:rPr>
          <w:rFonts w:eastAsia="Helvetica"/>
        </w:rPr>
        <w:t xml:space="preserve"> Our research revealed four important ingredients for the ethical development of a young person:</w:t>
      </w:r>
    </w:p>
    <w:p w14:paraId="6F734056" w14:textId="53450C2B" w:rsidR="00F20346" w:rsidRDefault="00F20346" w:rsidP="003A373A">
      <w:pPr>
        <w:numPr>
          <w:ilvl w:val="0"/>
          <w:numId w:val="19"/>
        </w:numPr>
        <w:tabs>
          <w:tab w:val="left" w:pos="360"/>
        </w:tabs>
        <w:spacing w:line="260" w:lineRule="auto"/>
        <w:ind w:left="360" w:hanging="360"/>
        <w:rPr>
          <w:rFonts w:ascii="Helvetica" w:eastAsia="Helvetica" w:hAnsi="Helvetica" w:cs="Helvetica"/>
          <w:b/>
          <w:color w:val="3F3F3F"/>
        </w:rPr>
      </w:pPr>
      <w:r>
        <w:rPr>
          <w:rFonts w:ascii="Helvetica" w:eastAsia="Helvetica" w:hAnsi="Helvetica" w:cs="Helvetica"/>
          <w:b/>
          <w:color w:val="3F3F3F"/>
        </w:rPr>
        <w:t xml:space="preserve">Moral awareness and engagement. </w:t>
      </w:r>
      <w:r>
        <w:rPr>
          <w:rFonts w:ascii="Helvetica" w:eastAsia="Helvetica" w:hAnsi="Helvetica" w:cs="Helvetica"/>
          <w:color w:val="3F3F3F"/>
        </w:rPr>
        <w:t>Holding the right moral values is not helpful if people fail to apply them when it matters. This means avoiding ‘ethical fading’, when people fail to even notice the ethical components of their decisions. It also means avoiding moral disengagement, where, after doing something wrong, people mentally reframe it (for example by blaming the victim) to protect their image as good people.</w:t>
      </w:r>
      <w:r w:rsidRPr="00E730BF">
        <w:rPr>
          <w:rStyle w:val="FootnoteReference"/>
          <w:bCs/>
        </w:rPr>
        <w:footnoteReference w:id="71"/>
      </w:r>
    </w:p>
    <w:p w14:paraId="33782146" w14:textId="77777777" w:rsidR="00F20346" w:rsidRDefault="00F20346"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b/>
          <w:color w:val="3F3F3F"/>
        </w:rPr>
        <w:t>Character skills.</w:t>
      </w:r>
      <w:r>
        <w:rPr>
          <w:rFonts w:ascii="Helvetica" w:eastAsia="Helvetica" w:hAnsi="Helvetica" w:cs="Helvetica"/>
          <w:color w:val="3F3F3F"/>
        </w:rPr>
        <w:t xml:space="preserve"> Once young people recognise the right thing to do, character skills (e.g., empathy, self-efficacy and self-control) can turn recognition into action. Such skills are important, especially if the right choice is not a comfortable choice.</w:t>
      </w:r>
    </w:p>
    <w:p w14:paraId="22A141FD" w14:textId="77777777" w:rsidR="00F20346" w:rsidRDefault="00F20346"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b/>
          <w:color w:val="3F3F3F"/>
        </w:rPr>
        <w:t>The environment.</w:t>
      </w:r>
      <w:r>
        <w:rPr>
          <w:rFonts w:ascii="Helvetica" w:eastAsia="Helvetica" w:hAnsi="Helvetica" w:cs="Helvetica"/>
          <w:color w:val="3F3F3F"/>
        </w:rPr>
        <w:t xml:space="preserve"> To a large degree, young people’s decisions are shaped by their environment. In an online context, simple changes, such as modifying notification settings, deleting addictive applications and installing browser filters, can help.</w:t>
      </w:r>
    </w:p>
    <w:p w14:paraId="1F6D4C4C" w14:textId="77777777" w:rsidR="00F20346" w:rsidRDefault="00F20346"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b/>
          <w:color w:val="3F3F3F"/>
        </w:rPr>
        <w:t>Social support.</w:t>
      </w:r>
      <w:r>
        <w:rPr>
          <w:rFonts w:ascii="Helvetica" w:eastAsia="Helvetica" w:hAnsi="Helvetica" w:cs="Helvetica"/>
          <w:color w:val="3F3F3F"/>
        </w:rPr>
        <w:t xml:space="preserve"> Family, peers, teachers and role models shape the values a young person develops and can offer the practical support needed to make lasting changes.</w:t>
      </w:r>
    </w:p>
    <w:p w14:paraId="6F750D95" w14:textId="77777777" w:rsidR="00A55B0E" w:rsidRDefault="00A55B0E">
      <w:pPr>
        <w:keepLines w:val="0"/>
        <w:spacing w:before="0" w:after="0" w:line="240" w:lineRule="auto"/>
        <w:rPr>
          <w:rFonts w:ascii="Helvetica" w:eastAsia="Helvetica" w:hAnsi="Helvetica" w:cs="Helvetica"/>
          <w:b/>
          <w:color w:val="117479"/>
          <w:sz w:val="36"/>
        </w:rPr>
      </w:pPr>
      <w:r>
        <w:rPr>
          <w:rFonts w:ascii="Helvetica" w:eastAsia="Helvetica" w:hAnsi="Helvetica" w:cs="Helvetica"/>
          <w:b/>
          <w:color w:val="117479"/>
          <w:sz w:val="36"/>
        </w:rPr>
        <w:br w:type="page"/>
      </w:r>
    </w:p>
    <w:p w14:paraId="2CC92286" w14:textId="7E932EBD" w:rsidR="00251049" w:rsidRPr="0004155D" w:rsidRDefault="00251049" w:rsidP="00D33213">
      <w:pPr>
        <w:pStyle w:val="h4"/>
      </w:pPr>
      <w:r w:rsidRPr="0004155D">
        <w:lastRenderedPageBreak/>
        <w:t xml:space="preserve">Future opportunities </w:t>
      </w:r>
    </w:p>
    <w:p w14:paraId="79414EA9" w14:textId="77777777" w:rsidR="00F51E6A" w:rsidRDefault="00F51E6A" w:rsidP="007A3700">
      <w:pPr>
        <w:rPr>
          <w:rFonts w:eastAsia="Helvetica"/>
        </w:rPr>
      </w:pPr>
      <w:r>
        <w:rPr>
          <w:rFonts w:eastAsia="Helvetica"/>
        </w:rPr>
        <w:t>Our work made two notable contributions. First, a practical understanding of how people’s moral capacity is shaped over time could be useful across multiple policy areas. Second, a dual focus on technology and young people is timely. There is a significant policy need for further research on how online environments affect people’s behaviours and wellbeing both negatively and positively.</w:t>
      </w:r>
    </w:p>
    <w:p w14:paraId="59739F8E" w14:textId="77777777" w:rsidR="00F51E6A" w:rsidRDefault="00F51E6A" w:rsidP="007A3700">
      <w:pPr>
        <w:rPr>
          <w:rFonts w:eastAsia="Helvetica"/>
        </w:rPr>
      </w:pPr>
      <w:r>
        <w:rPr>
          <w:rFonts w:eastAsia="Helvetica"/>
        </w:rPr>
        <w:t>With our program partners, we have put these insights into practice and developed three promising options into full interventions. Specifically, we will:</w:t>
      </w:r>
    </w:p>
    <w:p w14:paraId="43BCF5A9" w14:textId="49BDECD9" w:rsidR="00F51E6A" w:rsidRDefault="00F51E6A"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release a playbook that seeks to overcome the barriers associated with ‘upstanding’ (as opposed to bystanding) online. The playbook will help young people ‘upstand’ while avoiding stressful escalation</w:t>
      </w:r>
    </w:p>
    <w:p w14:paraId="43291D86" w14:textId="1FA29C77" w:rsidR="00F51E6A" w:rsidRDefault="00F51E6A"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share the best tools and strategies for shaping young people’s own online environment. This will give young people choice over their relationship with technology and ensure that they do not revert to default behaviours, such as checking their social media profiles every hour</w:t>
      </w:r>
    </w:p>
    <w:p w14:paraId="1B5E8250" w14:textId="4E914665" w:rsidR="00F51E6A" w:rsidRDefault="00F51E6A" w:rsidP="003A373A">
      <w:pPr>
        <w:numPr>
          <w:ilvl w:val="0"/>
          <w:numId w:val="19"/>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 xml:space="preserve">use online tools, such as simple messages and prompts, to help young people obtain more support and guidance from their social networks, especially from relationships with family and friends. </w:t>
      </w:r>
    </w:p>
    <w:p w14:paraId="6C3FF35A" w14:textId="77777777" w:rsidR="00164677" w:rsidRDefault="00164677" w:rsidP="004E3FC0">
      <w:pPr>
        <w:jc w:val="both"/>
        <w:rPr>
          <w:rFonts w:eastAsia="Helvetica"/>
        </w:rPr>
      </w:pPr>
    </w:p>
    <w:p w14:paraId="41C9046E" w14:textId="5BEE9273" w:rsidR="00164677" w:rsidRPr="00164677" w:rsidRDefault="00164677" w:rsidP="004E3FC0">
      <w:pPr>
        <w:spacing w:before="0" w:after="0" w:line="240" w:lineRule="auto"/>
        <w:jc w:val="both"/>
        <w:rPr>
          <w:rFonts w:ascii="Helvetica" w:eastAsia="Helvetica" w:hAnsi="Helvetica" w:cs="Helvetica"/>
          <w:color w:val="A6A6A6" w:themeColor="background1" w:themeShade="A6"/>
          <w:sz w:val="4"/>
          <w:szCs w:val="4"/>
        </w:rPr>
        <w:sectPr w:rsidR="00164677" w:rsidRPr="00164677" w:rsidSect="00272E56">
          <w:headerReference w:type="even" r:id="rId121"/>
          <w:headerReference w:type="default" r:id="rId122"/>
          <w:headerReference w:type="first" r:id="rId123"/>
          <w:pgSz w:w="11906" w:h="16838" w:code="9"/>
          <w:pgMar w:top="1474" w:right="1985" w:bottom="1247" w:left="1418" w:header="680" w:footer="680" w:gutter="0"/>
          <w:cols w:space="708"/>
          <w:titlePg/>
          <w:docGrid w:linePitch="360"/>
        </w:sectPr>
      </w:pPr>
    </w:p>
    <w:p w14:paraId="0A8E24A3" w14:textId="646C1259" w:rsidR="00AA6F02" w:rsidRPr="00691B1F" w:rsidRDefault="00F51E6A" w:rsidP="000C7425">
      <w:pPr>
        <w:pStyle w:val="Heading2"/>
      </w:pPr>
      <w:bookmarkStart w:id="114" w:name="_Toc515874453"/>
      <w:bookmarkStart w:id="115" w:name="_Toc515874694"/>
      <w:bookmarkStart w:id="116" w:name="_Toc516827465"/>
      <w:r w:rsidRPr="000C7425">
        <w:rPr>
          <w:color w:val="117479"/>
          <w:spacing w:val="0"/>
          <w:sz w:val="72"/>
          <w:szCs w:val="44"/>
        </w:rPr>
        <w:lastRenderedPageBreak/>
        <w:t xml:space="preserve">What’s </w:t>
      </w:r>
      <w:r w:rsidR="00251049" w:rsidRPr="000C7425">
        <w:rPr>
          <w:color w:val="117479"/>
          <w:spacing w:val="0"/>
          <w:sz w:val="72"/>
          <w:szCs w:val="44"/>
        </w:rPr>
        <w:t>coming</w:t>
      </w:r>
      <w:r w:rsidRPr="000C7425">
        <w:rPr>
          <w:color w:val="117479"/>
          <w:spacing w:val="0"/>
          <w:sz w:val="72"/>
          <w:szCs w:val="44"/>
        </w:rPr>
        <w:t xml:space="preserve"> </w:t>
      </w:r>
      <w:r w:rsidR="00691B1F" w:rsidRPr="000C7425">
        <w:rPr>
          <w:color w:val="117479"/>
          <w:spacing w:val="0"/>
          <w:sz w:val="72"/>
          <w:szCs w:val="44"/>
        </w:rPr>
        <w:br/>
        <w:t xml:space="preserve">up </w:t>
      </w:r>
      <w:r w:rsidR="00251049" w:rsidRPr="000C7425">
        <w:rPr>
          <w:color w:val="117479"/>
          <w:spacing w:val="0"/>
          <w:sz w:val="72"/>
          <w:szCs w:val="44"/>
        </w:rPr>
        <w:t>– stay tuned</w:t>
      </w:r>
      <w:r w:rsidR="00251049" w:rsidRPr="000C7425">
        <w:t>!</w:t>
      </w:r>
      <w:bookmarkEnd w:id="114"/>
      <w:bookmarkEnd w:id="115"/>
      <w:bookmarkEnd w:id="116"/>
      <w:r w:rsidR="00AA6F02" w:rsidRPr="00691B1F">
        <w:br w:type="page"/>
      </w:r>
    </w:p>
    <w:p w14:paraId="2DDBBB6A" w14:textId="7787E338" w:rsidR="00251049" w:rsidRDefault="00251049" w:rsidP="000C7425">
      <w:pPr>
        <w:pStyle w:val="Heading3"/>
        <w:framePr w:wrap="around"/>
      </w:pPr>
      <w:bookmarkStart w:id="117" w:name="_Toc515874454"/>
      <w:bookmarkStart w:id="118" w:name="_Toc515874524"/>
      <w:bookmarkStart w:id="119" w:name="_Toc515874695"/>
      <w:bookmarkStart w:id="120" w:name="_Toc516827466"/>
      <w:r>
        <w:lastRenderedPageBreak/>
        <w:t>Strengthening student</w:t>
      </w:r>
      <w:r w:rsidR="00F51E6A">
        <w:t>s’</w:t>
      </w:r>
      <w:r>
        <w:t xml:space="preserve"> resilience</w:t>
      </w:r>
      <w:bookmarkEnd w:id="117"/>
      <w:bookmarkEnd w:id="118"/>
      <w:bookmarkEnd w:id="119"/>
      <w:bookmarkEnd w:id="120"/>
    </w:p>
    <w:p w14:paraId="0D6E82B5" w14:textId="41A16D9D" w:rsidR="00F51E6A" w:rsidRDefault="00F51E6A" w:rsidP="007A3700">
      <w:pPr>
        <w:rPr>
          <w:rFonts w:eastAsia="Helvetica"/>
        </w:rPr>
      </w:pPr>
      <w:r>
        <w:rPr>
          <w:rFonts w:eastAsia="Helvetica"/>
        </w:rPr>
        <w:t>According to modelling undertaken by the Department of Social Services in 2016, one in five 17- to 19-year-olds receiving student income support payments today will still be receiving income support payments in 10 years.</w:t>
      </w:r>
      <w:r>
        <w:rPr>
          <w:rStyle w:val="FootnoteReference"/>
        </w:rPr>
        <w:footnoteReference w:id="72"/>
      </w:r>
      <w:r>
        <w:rPr>
          <w:rFonts w:eastAsia="Helvetica"/>
        </w:rPr>
        <w:t xml:space="preserve"> If nothing changes, the 17- to 19-year-olds who transition directly from study to unemployment are expected to receive income support for 33 years of their future lifetimes. Many students who transition from study to unemployment have not completed their studies.</w:t>
      </w:r>
    </w:p>
    <w:p w14:paraId="63991E63" w14:textId="3D26934B" w:rsidR="00F51E6A" w:rsidRDefault="00F51E6A" w:rsidP="007A3700">
      <w:pPr>
        <w:rPr>
          <w:rFonts w:eastAsia="Helvetica"/>
        </w:rPr>
      </w:pPr>
      <w:r>
        <w:rPr>
          <w:rFonts w:eastAsia="Helvetica"/>
        </w:rPr>
        <w:t xml:space="preserve">The </w:t>
      </w:r>
      <w:r>
        <w:rPr>
          <w:rFonts w:eastAsia="Helvetica"/>
          <w:i/>
        </w:rPr>
        <w:t xml:space="preserve">Strengthening Students’ Resilience </w:t>
      </w:r>
      <w:r>
        <w:rPr>
          <w:rFonts w:eastAsia="Helvetica"/>
        </w:rPr>
        <w:t xml:space="preserve">project will use behavioural insights to support university and vocational students to complete their education. It aims to address student completion rates by developing and testing multiple text message and app-based interventions to assist students to leverage supportive peer and mentor groups and to set short- and long-term goals. The approach adopted builds on emerging global evidence about the effectiveness of goal setting and relies on timely reminders and the power of social networks to help boost young people’s educational outcomes. For example, in a series of recent trials with students in the UK, The Behavioural Insights Team found: </w:t>
      </w:r>
    </w:p>
    <w:p w14:paraId="042FA47E" w14:textId="7E9E4A81" w:rsidR="00F51E6A" w:rsidRDefault="00F51E6A" w:rsidP="003A373A">
      <w:pPr>
        <w:numPr>
          <w:ilvl w:val="0"/>
          <w:numId w:val="20"/>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timely prompts can motivate learners and help them to engage in their learning and develop study habits. In one trial, sending text message encouragements and reminders to learners studying maths and English at Further Education colleges increased attendance rates by 22</w:t>
      </w:r>
      <w:r w:rsidR="00F819B3">
        <w:rPr>
          <w:rFonts w:ascii="Helvetica" w:eastAsia="Helvetica" w:hAnsi="Helvetica" w:cs="Helvetica"/>
          <w:color w:val="3F3F3F"/>
        </w:rPr>
        <w:t> </w:t>
      </w:r>
      <w:r>
        <w:rPr>
          <w:rFonts w:ascii="Helvetica" w:eastAsia="Helvetica" w:hAnsi="Helvetica" w:cs="Helvetica"/>
          <w:color w:val="3F3F3F"/>
        </w:rPr>
        <w:t>per</w:t>
      </w:r>
      <w:r w:rsidR="00E730BF">
        <w:rPr>
          <w:rFonts w:ascii="Helvetica" w:eastAsia="Helvetica" w:hAnsi="Helvetica" w:cs="Helvetica"/>
          <w:color w:val="3F3F3F"/>
        </w:rPr>
        <w:t> </w:t>
      </w:r>
      <w:r>
        <w:rPr>
          <w:rFonts w:ascii="Helvetica" w:eastAsia="Helvetica" w:hAnsi="Helvetica" w:cs="Helvetica"/>
          <w:color w:val="3F3F3F"/>
        </w:rPr>
        <w:t>cent and improved the proportion of students who passed all their examinations by 16</w:t>
      </w:r>
      <w:r w:rsidR="00F819B3">
        <w:rPr>
          <w:rFonts w:ascii="Helvetica" w:eastAsia="Helvetica" w:hAnsi="Helvetica" w:cs="Helvetica"/>
          <w:color w:val="3F3F3F"/>
        </w:rPr>
        <w:t> </w:t>
      </w:r>
      <w:r>
        <w:rPr>
          <w:rFonts w:ascii="Helvetica" w:eastAsia="Helvetica" w:hAnsi="Helvetica" w:cs="Helvetica"/>
          <w:color w:val="3F3F3F"/>
        </w:rPr>
        <w:t>per</w:t>
      </w:r>
      <w:r w:rsidR="00E730BF">
        <w:rPr>
          <w:rFonts w:ascii="Helvetica" w:eastAsia="Helvetica" w:hAnsi="Helvetica" w:cs="Helvetica"/>
          <w:color w:val="3F3F3F"/>
        </w:rPr>
        <w:t> </w:t>
      </w:r>
      <w:r>
        <w:rPr>
          <w:rFonts w:ascii="Helvetica" w:eastAsia="Helvetica" w:hAnsi="Helvetica" w:cs="Helvetica"/>
          <w:color w:val="3F3F3F"/>
        </w:rPr>
        <w:t>cent</w:t>
      </w:r>
    </w:p>
    <w:p w14:paraId="32C63829" w14:textId="74267873" w:rsidR="00F51E6A" w:rsidRDefault="00F51E6A" w:rsidP="003A373A">
      <w:pPr>
        <w:numPr>
          <w:ilvl w:val="0"/>
          <w:numId w:val="20"/>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many learners lack the continuous encouragement needed to persevere with their studies, despite having friends, family and acquaintances who would be willing to help. Sending text message prompts to students’ friends and family members increased attendance rates by 5</w:t>
      </w:r>
      <w:r w:rsidR="00F819B3">
        <w:rPr>
          <w:rFonts w:ascii="Helvetica" w:eastAsia="Helvetica" w:hAnsi="Helvetica" w:cs="Helvetica"/>
          <w:color w:val="3F3F3F"/>
        </w:rPr>
        <w:t> </w:t>
      </w:r>
      <w:r>
        <w:rPr>
          <w:rFonts w:ascii="Helvetica" w:eastAsia="Helvetica" w:hAnsi="Helvetica" w:cs="Helvetica"/>
          <w:color w:val="3F3F3F"/>
        </w:rPr>
        <w:t>per</w:t>
      </w:r>
      <w:r w:rsidR="00E730BF">
        <w:rPr>
          <w:rFonts w:ascii="Helvetica" w:eastAsia="Helvetica" w:hAnsi="Helvetica" w:cs="Helvetica"/>
          <w:color w:val="3F3F3F"/>
        </w:rPr>
        <w:t> </w:t>
      </w:r>
      <w:r>
        <w:rPr>
          <w:rFonts w:ascii="Helvetica" w:eastAsia="Helvetica" w:hAnsi="Helvetica" w:cs="Helvetica"/>
          <w:color w:val="3F3F3F"/>
        </w:rPr>
        <w:t>cent and improved achievement rates by 27</w:t>
      </w:r>
      <w:r w:rsidR="00F819B3">
        <w:rPr>
          <w:rFonts w:ascii="Helvetica" w:eastAsia="Helvetica" w:hAnsi="Helvetica" w:cs="Helvetica"/>
          <w:color w:val="3F3F3F"/>
        </w:rPr>
        <w:t> </w:t>
      </w:r>
      <w:r>
        <w:rPr>
          <w:rFonts w:ascii="Helvetica" w:eastAsia="Helvetica" w:hAnsi="Helvetica" w:cs="Helvetica"/>
          <w:color w:val="3F3F3F"/>
        </w:rPr>
        <w:t>per</w:t>
      </w:r>
      <w:r w:rsidR="00E730BF">
        <w:rPr>
          <w:rFonts w:eastAsia="Helvetica"/>
        </w:rPr>
        <w:t> </w:t>
      </w:r>
      <w:r>
        <w:rPr>
          <w:rFonts w:ascii="Helvetica" w:eastAsia="Helvetica" w:hAnsi="Helvetica" w:cs="Helvetica"/>
          <w:color w:val="3F3F3F"/>
        </w:rPr>
        <w:t>cent.</w:t>
      </w:r>
      <w:r>
        <w:rPr>
          <w:vertAlign w:val="superscript"/>
        </w:rPr>
        <w:footnoteReference w:id="73"/>
      </w:r>
    </w:p>
    <w:p w14:paraId="7965542F" w14:textId="5319B044" w:rsidR="00F51E6A" w:rsidRDefault="00F51E6A" w:rsidP="007A3700">
      <w:pPr>
        <w:rPr>
          <w:rFonts w:eastAsia="Helvetica"/>
        </w:rPr>
      </w:pPr>
      <w:r>
        <w:rPr>
          <w:rFonts w:eastAsia="Helvetica"/>
        </w:rPr>
        <w:t xml:space="preserve">The </w:t>
      </w:r>
      <w:r>
        <w:rPr>
          <w:rFonts w:eastAsia="Helvetica"/>
          <w:i/>
        </w:rPr>
        <w:t>Strengthening Students’ Resilience</w:t>
      </w:r>
      <w:r>
        <w:rPr>
          <w:rFonts w:eastAsia="Helvetica"/>
        </w:rPr>
        <w:t xml:space="preserve"> project is funded by the Department of Social Services’ Try, Test and Learn Fund. This fund seeks to support innovative projects and reduce long-term welfare dependence.</w:t>
      </w:r>
    </w:p>
    <w:p w14:paraId="3F5B805E" w14:textId="4264CCA3" w:rsidR="00F51E6A" w:rsidRDefault="00F51E6A" w:rsidP="007A3700">
      <w:pPr>
        <w:rPr>
          <w:rFonts w:eastAsia="Helvetica"/>
        </w:rPr>
      </w:pPr>
      <w:r>
        <w:rPr>
          <w:rFonts w:eastAsia="Helvetica"/>
        </w:rPr>
        <w:t>The trial will be implemented in metropolitan and regional locations in NSW. It is anticipated approximately 10,000 students will participate in the trial.</w:t>
      </w:r>
    </w:p>
    <w:p w14:paraId="34586234" w14:textId="77777777" w:rsidR="00F51E6A" w:rsidRDefault="00F51E6A" w:rsidP="007A3700">
      <w:pPr>
        <w:rPr>
          <w:rFonts w:eastAsia="Helvetica"/>
        </w:rPr>
      </w:pPr>
      <w:r>
        <w:rPr>
          <w:rFonts w:eastAsia="Helvetica"/>
        </w:rPr>
        <w:t>The trial will commence in early 2019 and run for approximately 24 months.</w:t>
      </w:r>
    </w:p>
    <w:p w14:paraId="3EC5938A" w14:textId="77777777" w:rsidR="00C47F20" w:rsidRDefault="00C47F20" w:rsidP="007A3700">
      <w:pPr>
        <w:rPr>
          <w:rFonts w:eastAsia="Helvetica"/>
        </w:rPr>
      </w:pPr>
    </w:p>
    <w:p w14:paraId="64F5363D" w14:textId="77777777" w:rsidR="00C47F20" w:rsidRDefault="00C47F20" w:rsidP="007A3700">
      <w:pPr>
        <w:rPr>
          <w:rFonts w:eastAsia="Helvetica"/>
        </w:rPr>
      </w:pPr>
    </w:p>
    <w:tbl>
      <w:tblPr>
        <w:tblStyle w:val="TableGrid"/>
        <w:tblpPr w:leftFromText="180" w:rightFromText="180" w:vertAnchor="page" w:horzAnchor="margin" w:tblpY="13094"/>
        <w:tblW w:w="916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Caption w:val="BETA"/>
        <w:tblDescription w:val="table containing BETA and BIT logos."/>
      </w:tblPr>
      <w:tblGrid>
        <w:gridCol w:w="1830"/>
        <w:gridCol w:w="4326"/>
        <w:gridCol w:w="3006"/>
      </w:tblGrid>
      <w:tr w:rsidR="00C47F20" w14:paraId="44EB9365" w14:textId="77777777" w:rsidTr="00AA221E">
        <w:trPr>
          <w:trHeight w:val="227"/>
          <w:tblHeader/>
        </w:trPr>
        <w:tc>
          <w:tcPr>
            <w:tcW w:w="1830" w:type="dxa"/>
            <w:tcBorders>
              <w:top w:val="nil"/>
              <w:left w:val="nil"/>
              <w:bottom w:val="nil"/>
              <w:right w:val="nil"/>
            </w:tcBorders>
          </w:tcPr>
          <w:p w14:paraId="36C57B79" w14:textId="77777777" w:rsidR="00C47F20" w:rsidRPr="002C7E50" w:rsidRDefault="00C47F20" w:rsidP="00C47F20"/>
        </w:tc>
        <w:tc>
          <w:tcPr>
            <w:tcW w:w="4326" w:type="dxa"/>
            <w:tcBorders>
              <w:top w:val="nil"/>
              <w:left w:val="nil"/>
              <w:bottom w:val="nil"/>
              <w:right w:val="nil"/>
            </w:tcBorders>
            <w:vAlign w:val="center"/>
          </w:tcPr>
          <w:p w14:paraId="511E98BD" w14:textId="77777777" w:rsidR="00C47F20" w:rsidRDefault="00C47F20" w:rsidP="00C47F20">
            <w:pPr>
              <w:jc w:val="center"/>
            </w:pPr>
            <w:r w:rsidRPr="000B0B98">
              <w:rPr>
                <w:noProof/>
              </w:rPr>
              <w:drawing>
                <wp:anchor distT="0" distB="0" distL="114300" distR="114300" simplePos="0" relativeHeight="251697664" behindDoc="0" locked="0" layoutInCell="1" allowOverlap="1" wp14:anchorId="1C8270B8" wp14:editId="67A14154">
                  <wp:simplePos x="0" y="0"/>
                  <wp:positionH relativeFrom="column">
                    <wp:posOffset>-436245</wp:posOffset>
                  </wp:positionH>
                  <wp:positionV relativeFrom="paragraph">
                    <wp:posOffset>-192405</wp:posOffset>
                  </wp:positionV>
                  <wp:extent cx="1910715" cy="499110"/>
                  <wp:effectExtent l="0" t="0" r="0" b="0"/>
                  <wp:wrapNone/>
                  <wp:docPr id="93" name="Picture 93"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0715" cy="499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640" behindDoc="0" locked="0" layoutInCell="1" allowOverlap="1" wp14:anchorId="3690E76A" wp14:editId="51CAD0FA">
                  <wp:simplePos x="0" y="0"/>
                  <wp:positionH relativeFrom="column">
                    <wp:posOffset>1699260</wp:posOffset>
                  </wp:positionH>
                  <wp:positionV relativeFrom="paragraph">
                    <wp:posOffset>-255270</wp:posOffset>
                  </wp:positionV>
                  <wp:extent cx="1704340" cy="713105"/>
                  <wp:effectExtent l="0" t="0" r="0" b="0"/>
                  <wp:wrapNone/>
                  <wp:docPr id="89" name="Picture 89" descr="The Behavioural Insights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T-01.png"/>
                          <pic:cNvPicPr/>
                        </pic:nvPicPr>
                        <pic:blipFill rotWithShape="1">
                          <a:blip r:embed="rId120" cstate="print">
                            <a:extLst>
                              <a:ext uri="{28A0092B-C50C-407E-A947-70E740481C1C}">
                                <a14:useLocalDpi xmlns:a14="http://schemas.microsoft.com/office/drawing/2010/main" val="0"/>
                              </a:ext>
                            </a:extLst>
                          </a:blip>
                          <a:srcRect b="-18080"/>
                          <a:stretch/>
                        </pic:blipFill>
                        <pic:spPr bwMode="auto">
                          <a:xfrm>
                            <a:off x="0" y="0"/>
                            <a:ext cx="1704340" cy="71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6" w:type="dxa"/>
            <w:tcBorders>
              <w:top w:val="nil"/>
              <w:left w:val="nil"/>
              <w:bottom w:val="nil"/>
              <w:right w:val="nil"/>
            </w:tcBorders>
            <w:vAlign w:val="center"/>
          </w:tcPr>
          <w:p w14:paraId="1DD664F3" w14:textId="77777777" w:rsidR="00C47F20" w:rsidRDefault="00C47F20" w:rsidP="00C47F20">
            <w:pPr>
              <w:jc w:val="center"/>
            </w:pPr>
          </w:p>
        </w:tc>
      </w:tr>
    </w:tbl>
    <w:p w14:paraId="7B85B901" w14:textId="77777777" w:rsidR="009525D0" w:rsidRPr="009525D0" w:rsidRDefault="009525D0" w:rsidP="004E3FC0">
      <w:pPr>
        <w:spacing w:before="0" w:after="0" w:line="240" w:lineRule="auto"/>
        <w:jc w:val="both"/>
        <w:rPr>
          <w:rFonts w:asciiTheme="majorHAnsi" w:eastAsia="Helvetica" w:hAnsiTheme="majorHAnsi"/>
          <w:b/>
          <w:sz w:val="4"/>
          <w:szCs w:val="4"/>
        </w:rPr>
      </w:pPr>
      <w:r w:rsidRPr="009525D0">
        <w:rPr>
          <w:rFonts w:eastAsia="Helvetica"/>
          <w:sz w:val="4"/>
          <w:szCs w:val="4"/>
        </w:rPr>
        <w:br w:type="page"/>
      </w:r>
    </w:p>
    <w:p w14:paraId="61F88EF2" w14:textId="77777777" w:rsidR="00251049" w:rsidRDefault="00251049" w:rsidP="000C7425">
      <w:pPr>
        <w:pStyle w:val="Heading3"/>
        <w:framePr w:wrap="around"/>
      </w:pPr>
      <w:bookmarkStart w:id="121" w:name="_Toc515874455"/>
      <w:bookmarkStart w:id="122" w:name="_Toc515874525"/>
      <w:bookmarkStart w:id="123" w:name="_Toc515874696"/>
      <w:bookmarkStart w:id="124" w:name="_Toc516827467"/>
      <w:r>
        <w:lastRenderedPageBreak/>
        <w:t>Beyond disclosure: performance based approaches to financial regulation</w:t>
      </w:r>
      <w:bookmarkEnd w:id="121"/>
      <w:bookmarkEnd w:id="122"/>
      <w:bookmarkEnd w:id="123"/>
      <w:bookmarkEnd w:id="124"/>
    </w:p>
    <w:p w14:paraId="5BAA157E" w14:textId="1A4A7BC3" w:rsidR="00F51E6A" w:rsidRDefault="00F51E6A" w:rsidP="007A3700">
      <w:pPr>
        <w:rPr>
          <w:rFonts w:eastAsia="Helvetica"/>
        </w:rPr>
      </w:pPr>
      <w:r>
        <w:rPr>
          <w:rFonts w:eastAsia="Helvetica"/>
        </w:rPr>
        <w:t>Previous research has shown people do not make decisions on the basis of information alone.</w:t>
      </w:r>
      <w:r>
        <w:rPr>
          <w:rStyle w:val="FootnoteReference"/>
        </w:rPr>
        <w:footnoteReference w:id="74"/>
      </w:r>
      <w:r>
        <w:rPr>
          <w:rFonts w:eastAsia="Helvetica"/>
        </w:rPr>
        <w:t xml:space="preserve"> However, in Australia, as in many other countries around the world, formal disclosure is relied on as the backbone of financial regulation to protect consumers.</w:t>
      </w:r>
      <w:r>
        <w:rPr>
          <w:rStyle w:val="FootnoteReference"/>
        </w:rPr>
        <w:footnoteReference w:id="75"/>
      </w:r>
      <w:r>
        <w:rPr>
          <w:rFonts w:eastAsia="Helvetica"/>
        </w:rPr>
        <w:t xml:space="preserve"> Whenever the incentives for firms do not align with those of their customers, there is a significant risk firms will 'work around' </w:t>
      </w:r>
      <w:r w:rsidR="007A098B">
        <w:rPr>
          <w:rFonts w:eastAsia="Helvetica"/>
        </w:rPr>
        <w:t xml:space="preserve">even improved </w:t>
      </w:r>
      <w:r>
        <w:rPr>
          <w:rFonts w:eastAsia="Helvetica"/>
        </w:rPr>
        <w:t>disclosure regulations.</w:t>
      </w:r>
    </w:p>
    <w:p w14:paraId="270766F4" w14:textId="22CE91FF" w:rsidR="00F51E6A" w:rsidRDefault="00F51E6A" w:rsidP="007A3700">
      <w:pPr>
        <w:rPr>
          <w:rFonts w:ascii="Times New Roman" w:hAnsi="Times New Roman"/>
          <w:sz w:val="24"/>
        </w:rPr>
      </w:pPr>
      <w:r>
        <w:rPr>
          <w:rFonts w:eastAsia="Helvetica"/>
        </w:rPr>
        <w:t>The Australian Securities and Investments Commission is exploring approach</w:t>
      </w:r>
      <w:r w:rsidR="007A098B">
        <w:rPr>
          <w:rFonts w:eastAsia="Helvetica"/>
        </w:rPr>
        <w:t>es</w:t>
      </w:r>
      <w:r>
        <w:rPr>
          <w:rFonts w:eastAsia="Helvetica"/>
        </w:rPr>
        <w:t xml:space="preserve"> to address this issue and considering the potential use of a concept pioneered by Professor Lauren Willis. </w:t>
      </w:r>
      <w:r w:rsidR="006E151A">
        <w:rPr>
          <w:rFonts w:eastAsia="Helvetica"/>
        </w:rPr>
        <w:br/>
      </w:r>
      <w:r>
        <w:rPr>
          <w:rFonts w:eastAsia="Helvetica"/>
        </w:rPr>
        <w:t xml:space="preserve">This concept </w:t>
      </w:r>
      <w:r w:rsidR="007A098B">
        <w:rPr>
          <w:rFonts w:eastAsia="Helvetica"/>
        </w:rPr>
        <w:t>would</w:t>
      </w:r>
      <w:r>
        <w:rPr>
          <w:rFonts w:eastAsia="Helvetica"/>
        </w:rPr>
        <w:t xml:space="preserve"> regulate the performance of firms according to the outcomes they produce for consumers.</w:t>
      </w:r>
      <w:r>
        <w:rPr>
          <w:rStyle w:val="FootnoteReference"/>
        </w:rPr>
        <w:footnoteReference w:id="76"/>
      </w:r>
    </w:p>
    <w:p w14:paraId="620572DC" w14:textId="77777777" w:rsidR="00F51E6A" w:rsidRDefault="00F51E6A" w:rsidP="007A3700">
      <w:pPr>
        <w:rPr>
          <w:rFonts w:eastAsia="Helvetica"/>
        </w:rPr>
      </w:pPr>
      <w:r>
        <w:rPr>
          <w:rFonts w:eastAsia="Helvetica"/>
        </w:rPr>
        <w:t>Presently, this project is in the exploratory stages; however, we hope to create opportunities for important interdisciplinary conversations and collaborations, including conversations about:</w:t>
      </w:r>
    </w:p>
    <w:p w14:paraId="0614420F" w14:textId="487FDDB0" w:rsidR="00F51E6A" w:rsidRDefault="00EA3856" w:rsidP="003A373A">
      <w:pPr>
        <w:numPr>
          <w:ilvl w:val="0"/>
          <w:numId w:val="2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w</w:t>
      </w:r>
      <w:r w:rsidR="00F51E6A">
        <w:rPr>
          <w:rFonts w:ascii="Helvetica" w:eastAsia="Helvetica" w:hAnsi="Helvetica" w:cs="Helvetica"/>
          <w:color w:val="3F3F3F"/>
        </w:rPr>
        <w:t>hat in fact constitutes 'good' a</w:t>
      </w:r>
      <w:r>
        <w:rPr>
          <w:rFonts w:ascii="Helvetica" w:eastAsia="Helvetica" w:hAnsi="Helvetica" w:cs="Helvetica"/>
          <w:color w:val="3F3F3F"/>
        </w:rPr>
        <w:t>nd 'bad' outcomes for consumers</w:t>
      </w:r>
    </w:p>
    <w:p w14:paraId="3205B90B" w14:textId="63FBD297" w:rsidR="00F51E6A" w:rsidRDefault="007A098B" w:rsidP="003A373A">
      <w:pPr>
        <w:numPr>
          <w:ilvl w:val="0"/>
          <w:numId w:val="2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if robust and efficient</w:t>
      </w:r>
      <w:r w:rsidR="00F51E6A">
        <w:rPr>
          <w:rFonts w:ascii="Helvetica" w:eastAsia="Helvetica" w:hAnsi="Helvetica" w:cs="Helvetica"/>
          <w:color w:val="3F3F3F"/>
        </w:rPr>
        <w:t xml:space="preserve"> performance measures can be designed </w:t>
      </w:r>
    </w:p>
    <w:p w14:paraId="3E060F71" w14:textId="28A79D69" w:rsidR="00F51E6A" w:rsidRPr="00F51E6A" w:rsidRDefault="00EA3856" w:rsidP="003A373A">
      <w:pPr>
        <w:numPr>
          <w:ilvl w:val="0"/>
          <w:numId w:val="21"/>
        </w:numPr>
        <w:tabs>
          <w:tab w:val="left" w:pos="360"/>
        </w:tabs>
        <w:spacing w:line="260" w:lineRule="auto"/>
        <w:ind w:left="360" w:hanging="360"/>
        <w:rPr>
          <w:rFonts w:ascii="Helvetica" w:eastAsia="Helvetica" w:hAnsi="Helvetica" w:cs="Helvetica"/>
          <w:color w:val="3F3F3F"/>
        </w:rPr>
      </w:pPr>
      <w:r>
        <w:rPr>
          <w:rFonts w:ascii="Helvetica" w:eastAsia="Helvetica" w:hAnsi="Helvetica" w:cs="Helvetica"/>
          <w:color w:val="3F3F3F"/>
        </w:rPr>
        <w:t>h</w:t>
      </w:r>
      <w:r w:rsidR="00F51E6A" w:rsidRPr="00F51E6A">
        <w:rPr>
          <w:rFonts w:ascii="Helvetica" w:eastAsia="Helvetica" w:hAnsi="Helvetica" w:cs="Helvetica"/>
          <w:color w:val="3F3F3F"/>
        </w:rPr>
        <w:t xml:space="preserve">ow the incentives received by firms might be realigned to benefit their customers (e.g., via the implementation </w:t>
      </w:r>
      <w:r w:rsidR="007A098B">
        <w:rPr>
          <w:rFonts w:ascii="Helvetica" w:eastAsia="Helvetica" w:hAnsi="Helvetica" w:cs="Helvetica"/>
          <w:color w:val="3F3F3F"/>
        </w:rPr>
        <w:t xml:space="preserve">of </w:t>
      </w:r>
      <w:r w:rsidR="00F51E6A" w:rsidRPr="00F51E6A">
        <w:rPr>
          <w:rFonts w:ascii="Helvetica" w:eastAsia="Helvetica" w:hAnsi="Helvetica" w:cs="Helvetica"/>
          <w:color w:val="3F3F3F"/>
        </w:rPr>
        <w:t>performance-based regulations or other approaches).</w:t>
      </w:r>
    </w:p>
    <w:p w14:paraId="26BC729B" w14:textId="59EC36B7" w:rsidR="00164677" w:rsidRDefault="00164677" w:rsidP="007A3700">
      <w:pPr>
        <w:rPr>
          <w:rFonts w:eastAsia="Helvetica"/>
        </w:rPr>
      </w:pPr>
    </w:p>
    <w:p w14:paraId="245F0B43" w14:textId="1C4ACFB8" w:rsidR="00926A9B" w:rsidRPr="00164677" w:rsidRDefault="00917AC1" w:rsidP="00917AC1">
      <w:pPr>
        <w:jc w:val="center"/>
        <w:rPr>
          <w:rFonts w:ascii="Helvetica" w:eastAsia="Helvetica" w:hAnsi="Helvetica" w:cs="Helvetica"/>
          <w:color w:val="A6A6A6" w:themeColor="background1" w:themeShade="A6"/>
          <w:sz w:val="4"/>
          <w:szCs w:val="4"/>
          <w:u w:val="single"/>
        </w:rPr>
      </w:pPr>
      <w:r>
        <w:rPr>
          <w:rFonts w:ascii="Helvetica" w:eastAsia="Helvetica" w:hAnsi="Helvetica" w:cs="Helvetica"/>
          <w:noProof/>
          <w:color w:val="A6A6A6" w:themeColor="background1" w:themeShade="A6"/>
          <w:sz w:val="4"/>
          <w:szCs w:val="4"/>
          <w:u w:val="single"/>
        </w:rPr>
        <w:drawing>
          <wp:inline distT="0" distB="0" distL="0" distR="0" wp14:anchorId="7D0F90EB" wp14:editId="35192145">
            <wp:extent cx="2322449" cy="1276350"/>
            <wp:effectExtent l="0" t="0" r="1905" b="0"/>
            <wp:docPr id="296" name="Picture 296" descr="Australian Securities &amp; Investments Commission"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SIC.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26910" cy="1278802"/>
                    </a:xfrm>
                    <a:prstGeom prst="rect">
                      <a:avLst/>
                    </a:prstGeom>
                  </pic:spPr>
                </pic:pic>
              </a:graphicData>
            </a:graphic>
          </wp:inline>
        </w:drawing>
      </w:r>
    </w:p>
    <w:p w14:paraId="4D908A4E" w14:textId="173E6171" w:rsidR="00F75842" w:rsidRDefault="00F75842" w:rsidP="004E3FC0">
      <w:pPr>
        <w:jc w:val="both"/>
        <w:rPr>
          <w:rFonts w:eastAsia="Helvetica"/>
        </w:rPr>
        <w:sectPr w:rsidR="00F75842" w:rsidSect="00A55B0E">
          <w:headerReference w:type="even" r:id="rId125"/>
          <w:headerReference w:type="default" r:id="rId126"/>
          <w:headerReference w:type="first" r:id="rId127"/>
          <w:pgSz w:w="11906" w:h="16838" w:code="9"/>
          <w:pgMar w:top="1474" w:right="1985" w:bottom="1247" w:left="1418" w:header="680" w:footer="680" w:gutter="0"/>
          <w:cols w:space="708"/>
          <w:docGrid w:linePitch="360"/>
        </w:sectPr>
      </w:pPr>
    </w:p>
    <w:p w14:paraId="47E10315" w14:textId="22B49509" w:rsidR="00ED4441" w:rsidRPr="00ED4441" w:rsidRDefault="00ED4441" w:rsidP="00ED4441">
      <w:pPr>
        <w:pStyle w:val="Heading2"/>
        <w:ind w:left="0"/>
        <w:rPr>
          <w:color w:val="117479"/>
          <w:spacing w:val="0"/>
          <w:sz w:val="72"/>
          <w:szCs w:val="44"/>
        </w:rPr>
      </w:pPr>
      <w:r w:rsidRPr="00ED4441">
        <w:rPr>
          <w:color w:val="117479"/>
          <w:spacing w:val="0"/>
          <w:sz w:val="72"/>
          <w:szCs w:val="44"/>
        </w:rPr>
        <w:lastRenderedPageBreak/>
        <w:t>Directory of contacts</w:t>
      </w:r>
    </w:p>
    <w:p w14:paraId="1F60CD3D" w14:textId="7577C247" w:rsidR="007A76BD" w:rsidRDefault="00AE2383" w:rsidP="004E3FC0">
      <w:pPr>
        <w:spacing w:line="260" w:lineRule="auto"/>
        <w:jc w:val="both"/>
        <w:rPr>
          <w:rFonts w:ascii="Helvetica" w:eastAsia="Helvetica" w:hAnsi="Helvetica" w:cs="Helvetica"/>
          <w:color w:val="3F3F3F"/>
        </w:rPr>
      </w:pPr>
      <w:r>
        <w:rPr>
          <w:rFonts w:ascii="Helvetica" w:eastAsia="Helvetica" w:hAnsi="Helvetica" w:cs="Helvetica"/>
          <w:color w:val="3F3F3F"/>
        </w:rPr>
        <w:t>The c</w:t>
      </w:r>
      <w:r w:rsidR="007A76BD">
        <w:rPr>
          <w:rFonts w:ascii="Helvetica" w:eastAsia="Helvetica" w:hAnsi="Helvetica" w:cs="Helvetica"/>
          <w:color w:val="3F3F3F"/>
        </w:rPr>
        <w:t xml:space="preserve">ontact details of Australian behavioural insights teams </w:t>
      </w:r>
      <w:r>
        <w:rPr>
          <w:rFonts w:ascii="Helvetica" w:eastAsia="Helvetica" w:hAnsi="Helvetica" w:cs="Helvetica"/>
          <w:color w:val="3F3F3F"/>
        </w:rPr>
        <w:t xml:space="preserve">contributing to this report </w:t>
      </w:r>
      <w:r w:rsidR="007A76BD">
        <w:rPr>
          <w:rFonts w:ascii="Helvetica" w:eastAsia="Helvetica" w:hAnsi="Helvetica" w:cs="Helvetica"/>
          <w:color w:val="3F3F3F"/>
        </w:rPr>
        <w:t>are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ogos"/>
        <w:tblDescription w:val="table containing logos and contact details of key contributors to the document. "/>
      </w:tblPr>
      <w:tblGrid>
        <w:gridCol w:w="4106"/>
        <w:gridCol w:w="4387"/>
      </w:tblGrid>
      <w:tr w:rsidR="00F64057" w14:paraId="1EF88DA8" w14:textId="77777777" w:rsidTr="00A92042">
        <w:tc>
          <w:tcPr>
            <w:tcW w:w="4106" w:type="dxa"/>
          </w:tcPr>
          <w:p w14:paraId="71CD5D6D" w14:textId="4BA3F3C3" w:rsidR="00A92042" w:rsidRDefault="00A92042" w:rsidP="00A92042">
            <w:pPr>
              <w:spacing w:line="260" w:lineRule="auto"/>
              <w:jc w:val="right"/>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55680" behindDoc="1" locked="0" layoutInCell="1" allowOverlap="1" wp14:anchorId="2B08192E" wp14:editId="0121CFAB">
                  <wp:simplePos x="0" y="0"/>
                  <wp:positionH relativeFrom="column">
                    <wp:posOffset>773563</wp:posOffset>
                  </wp:positionH>
                  <wp:positionV relativeFrom="paragraph">
                    <wp:posOffset>15240</wp:posOffset>
                  </wp:positionV>
                  <wp:extent cx="1648489" cy="576000"/>
                  <wp:effectExtent l="0" t="0" r="8890" b="0"/>
                  <wp:wrapTight wrapText="bothSides">
                    <wp:wrapPolygon edited="0">
                      <wp:start x="0" y="0"/>
                      <wp:lineTo x="0" y="17147"/>
                      <wp:lineTo x="21467" y="17147"/>
                      <wp:lineTo x="21467" y="0"/>
                      <wp:lineTo x="0" y="0"/>
                    </wp:wrapPolygon>
                  </wp:wrapTight>
                  <wp:docPr id="15" name="Picture 15" descr="Behavioural Economics Team of the Australian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internal.pmc.gov.au@ssl\teams\ed_beta\PlanningStrategy\Templates\2018_BETA_Templates\BETA_brand\BETA_Logo_CMYK_GREEN.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 b="-33793"/>
                          <a:stretch/>
                        </pic:blipFill>
                        <pic:spPr bwMode="auto">
                          <a:xfrm>
                            <a:off x="0" y="0"/>
                            <a:ext cx="1648489" cy="57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29459A" w14:textId="1FFD515B" w:rsidR="00A92042" w:rsidRDefault="00A92042" w:rsidP="00A92042">
            <w:pPr>
              <w:spacing w:line="260" w:lineRule="auto"/>
              <w:jc w:val="right"/>
              <w:rPr>
                <w:rFonts w:ascii="Helvetica" w:eastAsia="Helvetica" w:hAnsi="Helvetica" w:cs="Helvetica"/>
                <w:color w:val="3F3F3F"/>
              </w:rPr>
            </w:pPr>
          </w:p>
        </w:tc>
        <w:tc>
          <w:tcPr>
            <w:tcW w:w="4387" w:type="dxa"/>
          </w:tcPr>
          <w:p w14:paraId="5282B1CA" w14:textId="77777777" w:rsidR="00F64057" w:rsidRDefault="00F64057" w:rsidP="00F64057">
            <w:pPr>
              <w:rPr>
                <w:rFonts w:eastAsia="Helvetica"/>
              </w:rPr>
            </w:pPr>
            <w:r>
              <w:rPr>
                <w:rFonts w:eastAsia="Helvetica"/>
                <w:color w:val="3F3F3F"/>
              </w:rPr>
              <w:t xml:space="preserve">Tara Oliver, Managing Director </w:t>
            </w:r>
            <w:r>
              <w:rPr>
                <w:rFonts w:eastAsia="Helvetica"/>
                <w:color w:val="3F3F3F"/>
              </w:rPr>
              <w:br/>
            </w:r>
            <w:hyperlink r:id="rId129" w:history="1">
              <w:r w:rsidRPr="00B10AF5">
                <w:rPr>
                  <w:rStyle w:val="Hyperlink"/>
                  <w:rFonts w:ascii="Helvetica" w:eastAsia="Helvetica" w:hAnsi="Helvetica" w:cs="Helvetica"/>
                </w:rPr>
                <w:t>beta@pmc.gov.au</w:t>
              </w:r>
            </w:hyperlink>
          </w:p>
          <w:p w14:paraId="5E5FDEF0" w14:textId="297A43AB" w:rsidR="00A92042" w:rsidRPr="00F64057" w:rsidRDefault="00A92042" w:rsidP="00F64057">
            <w:pPr>
              <w:rPr>
                <w:rFonts w:eastAsia="Helvetica"/>
                <w:color w:val="3F3F3F"/>
              </w:rPr>
            </w:pPr>
          </w:p>
        </w:tc>
      </w:tr>
      <w:tr w:rsidR="00F64057" w14:paraId="60D0A3F8" w14:textId="77777777" w:rsidTr="00A92042">
        <w:tc>
          <w:tcPr>
            <w:tcW w:w="4106" w:type="dxa"/>
          </w:tcPr>
          <w:p w14:paraId="405F3229" w14:textId="1FDC888B" w:rsidR="00F64057" w:rsidRDefault="00A92042" w:rsidP="00A92042">
            <w:pPr>
              <w:jc w:val="right"/>
              <w:rPr>
                <w:rFonts w:ascii="Helvetica" w:eastAsia="Helvetica" w:hAnsi="Helvetica" w:cs="Helvetica"/>
                <w:color w:val="3F3F3F"/>
              </w:rPr>
            </w:pPr>
            <w:r>
              <w:rPr>
                <w:noProof/>
              </w:rPr>
              <w:drawing>
                <wp:anchor distT="0" distB="0" distL="114300" distR="114300" simplePos="0" relativeHeight="251665920" behindDoc="0" locked="0" layoutInCell="1" allowOverlap="1" wp14:anchorId="52549CC4" wp14:editId="36A0CE07">
                  <wp:simplePos x="0" y="0"/>
                  <wp:positionH relativeFrom="column">
                    <wp:posOffset>561975</wp:posOffset>
                  </wp:positionH>
                  <wp:positionV relativeFrom="paragraph">
                    <wp:posOffset>-95811</wp:posOffset>
                  </wp:positionV>
                  <wp:extent cx="1979930" cy="575945"/>
                  <wp:effectExtent l="0" t="0" r="1270" b="0"/>
                  <wp:wrapNone/>
                  <wp:docPr id="730" name="Picture 730" descr="Australian Government Australian Taxation Off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979930" cy="575945"/>
                          </a:xfrm>
                          <a:prstGeom prst="rect">
                            <a:avLst/>
                          </a:prstGeom>
                        </pic:spPr>
                      </pic:pic>
                    </a:graphicData>
                  </a:graphic>
                  <wp14:sizeRelH relativeFrom="page">
                    <wp14:pctWidth>0</wp14:pctWidth>
                  </wp14:sizeRelH>
                  <wp14:sizeRelV relativeFrom="page">
                    <wp14:pctHeight>0</wp14:pctHeight>
                  </wp14:sizeRelV>
                </wp:anchor>
              </w:drawing>
            </w:r>
          </w:p>
        </w:tc>
        <w:tc>
          <w:tcPr>
            <w:tcW w:w="4387" w:type="dxa"/>
          </w:tcPr>
          <w:p w14:paraId="2C8C8804" w14:textId="77777777" w:rsidR="00F64057" w:rsidRDefault="00F64057" w:rsidP="00A92042">
            <w:pPr>
              <w:rPr>
                <w:rStyle w:val="Hyperlink"/>
                <w:rFonts w:eastAsia="Helvetica"/>
              </w:rPr>
            </w:pPr>
            <w:r w:rsidRPr="00A92042">
              <w:t xml:space="preserve">Behavioural Insights Unit </w:t>
            </w:r>
            <w:hyperlink r:id="rId131" w:history="1">
              <w:r w:rsidRPr="00F64057">
                <w:rPr>
                  <w:rStyle w:val="Hyperlink"/>
                  <w:rFonts w:eastAsia="Helvetica"/>
                </w:rPr>
                <w:t>BehaviouralInsightsUnit@ato.gov.au</w:t>
              </w:r>
            </w:hyperlink>
            <w:r w:rsidRPr="00F64057">
              <w:rPr>
                <w:rStyle w:val="Hyperlink"/>
                <w:rFonts w:eastAsia="Helvetica"/>
              </w:rPr>
              <w:t xml:space="preserve"> </w:t>
            </w:r>
          </w:p>
          <w:p w14:paraId="1F14175A" w14:textId="007F3E7A" w:rsidR="00A92042" w:rsidRDefault="00A92042" w:rsidP="00A92042">
            <w:pPr>
              <w:rPr>
                <w:rFonts w:ascii="Helvetica" w:eastAsia="Helvetica" w:hAnsi="Helvetica" w:cs="Helvetica"/>
                <w:color w:val="3F3F3F"/>
              </w:rPr>
            </w:pPr>
          </w:p>
        </w:tc>
      </w:tr>
      <w:tr w:rsidR="00F64057" w14:paraId="2FEA0694" w14:textId="77777777" w:rsidTr="00A92042">
        <w:tc>
          <w:tcPr>
            <w:tcW w:w="4106" w:type="dxa"/>
          </w:tcPr>
          <w:p w14:paraId="3F2F5DDA" w14:textId="5426C183" w:rsidR="00F64057" w:rsidRDefault="00A92042" w:rsidP="00A92042">
            <w:pPr>
              <w:spacing w:line="260" w:lineRule="auto"/>
              <w:jc w:val="right"/>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56704" behindDoc="0" locked="0" layoutInCell="1" allowOverlap="1" wp14:anchorId="590C3B62" wp14:editId="79B1D762">
                  <wp:simplePos x="0" y="0"/>
                  <wp:positionH relativeFrom="column">
                    <wp:posOffset>1535799</wp:posOffset>
                  </wp:positionH>
                  <wp:positionV relativeFrom="paragraph">
                    <wp:posOffset>29</wp:posOffset>
                  </wp:positionV>
                  <wp:extent cx="967105" cy="885190"/>
                  <wp:effectExtent l="0" t="0" r="4445" b="0"/>
                  <wp:wrapSquare wrapText="bothSides"/>
                  <wp:docPr id="315" name="Picture 315" descr="Behavioural Economics Research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rt Logo"/>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67105" cy="885190"/>
                          </a:xfrm>
                          <a:prstGeom prst="rect">
                            <a:avLst/>
                          </a:prstGeom>
                          <a:noFill/>
                        </pic:spPr>
                      </pic:pic>
                    </a:graphicData>
                  </a:graphic>
                  <wp14:sizeRelH relativeFrom="page">
                    <wp14:pctWidth>0</wp14:pctWidth>
                  </wp14:sizeRelH>
                  <wp14:sizeRelV relativeFrom="page">
                    <wp14:pctHeight>0</wp14:pctHeight>
                  </wp14:sizeRelV>
                </wp:anchor>
              </w:drawing>
            </w:r>
          </w:p>
        </w:tc>
        <w:tc>
          <w:tcPr>
            <w:tcW w:w="4387" w:type="dxa"/>
          </w:tcPr>
          <w:p w14:paraId="1730383C" w14:textId="5855EEBB" w:rsidR="00F64057" w:rsidRPr="006E151A" w:rsidRDefault="00F64057" w:rsidP="00723C2A">
            <w:pPr>
              <w:spacing w:line="260" w:lineRule="auto"/>
              <w:rPr>
                <w:rFonts w:ascii="Helvetica" w:eastAsia="Helvetica" w:hAnsi="Helvetica" w:cs="Helvetica"/>
              </w:rPr>
            </w:pPr>
            <w:r>
              <w:rPr>
                <w:rFonts w:ascii="Helvetica" w:eastAsia="Helvetica" w:hAnsi="Helvetica" w:cs="Helvetica"/>
                <w:color w:val="3F3F3F"/>
              </w:rPr>
              <w:t xml:space="preserve">Robert Kinnell, A/g Director </w:t>
            </w:r>
            <w:r w:rsidR="00723C2A">
              <w:rPr>
                <w:rFonts w:ascii="Helvetica" w:eastAsia="Helvetica" w:hAnsi="Helvetica" w:cs="Helvetica"/>
                <w:color w:val="3F3F3F"/>
              </w:rPr>
              <w:br/>
            </w:r>
            <w:hyperlink r:id="rId133" w:history="1">
              <w:r w:rsidRPr="00B10AF5">
                <w:rPr>
                  <w:rStyle w:val="Hyperlink"/>
                  <w:rFonts w:ascii="Helvetica" w:eastAsia="Helvetica" w:hAnsi="Helvetica" w:cs="Helvetica"/>
                </w:rPr>
                <w:t>Behavioural@health.gov.au</w:t>
              </w:r>
            </w:hyperlink>
          </w:p>
        </w:tc>
      </w:tr>
      <w:tr w:rsidR="00F64057" w14:paraId="12F4D2AC" w14:textId="77777777" w:rsidTr="00A92042">
        <w:tc>
          <w:tcPr>
            <w:tcW w:w="4106" w:type="dxa"/>
          </w:tcPr>
          <w:p w14:paraId="400B18C2" w14:textId="6F04FBFC" w:rsidR="00F64057" w:rsidRDefault="00A92042" w:rsidP="00A92042">
            <w:pPr>
              <w:spacing w:line="260" w:lineRule="auto"/>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61824" behindDoc="0" locked="0" layoutInCell="1" allowOverlap="1" wp14:anchorId="02908954" wp14:editId="3071C30B">
                  <wp:simplePos x="0" y="0"/>
                  <wp:positionH relativeFrom="column">
                    <wp:posOffset>455295</wp:posOffset>
                  </wp:positionH>
                  <wp:positionV relativeFrom="paragraph">
                    <wp:posOffset>339</wp:posOffset>
                  </wp:positionV>
                  <wp:extent cx="2051641" cy="468000"/>
                  <wp:effectExtent l="0" t="0" r="6350" b="8255"/>
                  <wp:wrapSquare wrapText="bothSides"/>
                  <wp:docPr id="725" name="Picture 0" descr="Australian Government Department of Human Service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his image represents the Australian Government Department of Human Services Crest"/>
                          <pic:cNvPicPr>
                            <a:picLocks noChangeAspect="1" noChangeArrowheads="1"/>
                          </pic:cNvPicPr>
                        </pic:nvPicPr>
                        <pic:blipFill>
                          <a:blip r:embed="rId134" cstate="print">
                            <a:extLst>
                              <a:ext uri="{28A0092B-C50C-407E-A947-70E740481C1C}">
                                <a14:useLocalDpi xmlns:a14="http://schemas.microsoft.com/office/drawing/2010/main" val="0"/>
                              </a:ext>
                            </a:extLst>
                          </a:blip>
                          <a:srcRect r="63794" b="94312"/>
                          <a:stretch>
                            <a:fillRect/>
                          </a:stretch>
                        </pic:blipFill>
                        <pic:spPr bwMode="auto">
                          <a:xfrm>
                            <a:off x="0" y="0"/>
                            <a:ext cx="2051641"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87" w:type="dxa"/>
          </w:tcPr>
          <w:p w14:paraId="605BFCBC" w14:textId="77777777" w:rsidR="00F64057" w:rsidRDefault="00F64057" w:rsidP="00A92042">
            <w:pPr>
              <w:rPr>
                <w:rFonts w:ascii="Helvetica" w:eastAsia="Helvetica" w:hAnsi="Helvetica" w:cs="Helvetica"/>
                <w:u w:val="single"/>
              </w:rPr>
            </w:pPr>
            <w:r>
              <w:rPr>
                <w:rFonts w:ascii="Helvetica" w:eastAsia="Helvetica" w:hAnsi="Helvetica" w:cs="Helvetica"/>
                <w:color w:val="3F3F3F"/>
              </w:rPr>
              <w:t xml:space="preserve">Denise Blayden, Director </w:t>
            </w:r>
            <w:hyperlink r:id="rId135" w:history="1">
              <w:r w:rsidRPr="00B10AF5">
                <w:rPr>
                  <w:rStyle w:val="Hyperlink"/>
                  <w:rFonts w:ascii="Helvetica" w:eastAsia="Helvetica" w:hAnsi="Helvetica" w:cs="Helvetica"/>
                </w:rPr>
                <w:t>Insights@humanservices.gov.au</w:t>
              </w:r>
            </w:hyperlink>
            <w:r w:rsidRPr="00FE7313">
              <w:rPr>
                <w:rFonts w:ascii="Helvetica" w:eastAsia="Helvetica" w:hAnsi="Helvetica" w:cs="Helvetica"/>
                <w:u w:val="single"/>
              </w:rPr>
              <w:t xml:space="preserve"> </w:t>
            </w:r>
          </w:p>
          <w:p w14:paraId="04C19EC6" w14:textId="521DE80C" w:rsidR="00A92042" w:rsidRDefault="00A92042" w:rsidP="00A92042">
            <w:pPr>
              <w:rPr>
                <w:rFonts w:ascii="Helvetica" w:eastAsia="Helvetica" w:hAnsi="Helvetica" w:cs="Helvetica"/>
                <w:color w:val="3F3F3F"/>
              </w:rPr>
            </w:pPr>
          </w:p>
        </w:tc>
      </w:tr>
      <w:tr w:rsidR="00F64057" w14:paraId="4BA9CA85" w14:textId="77777777" w:rsidTr="00A92042">
        <w:tc>
          <w:tcPr>
            <w:tcW w:w="4106" w:type="dxa"/>
          </w:tcPr>
          <w:p w14:paraId="5542C190" w14:textId="6A47CD38" w:rsidR="00F64057" w:rsidRDefault="00A92042" w:rsidP="00A92042">
            <w:pPr>
              <w:spacing w:line="260" w:lineRule="auto"/>
              <w:jc w:val="right"/>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62848" behindDoc="0" locked="0" layoutInCell="1" allowOverlap="1" wp14:anchorId="71DC00B6" wp14:editId="1FBB90E1">
                  <wp:simplePos x="0" y="0"/>
                  <wp:positionH relativeFrom="column">
                    <wp:posOffset>462930</wp:posOffset>
                  </wp:positionH>
                  <wp:positionV relativeFrom="paragraph">
                    <wp:posOffset>0</wp:posOffset>
                  </wp:positionV>
                  <wp:extent cx="1943030" cy="432000"/>
                  <wp:effectExtent l="0" t="0" r="635" b="6350"/>
                  <wp:wrapSquare wrapText="bothSides"/>
                  <wp:docPr id="718" name="Picture 718" descr="Australian Government Department of Social Service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8" name="DSS.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43030" cy="432000"/>
                          </a:xfrm>
                          <a:prstGeom prst="rect">
                            <a:avLst/>
                          </a:prstGeom>
                        </pic:spPr>
                      </pic:pic>
                    </a:graphicData>
                  </a:graphic>
                  <wp14:sizeRelH relativeFrom="page">
                    <wp14:pctWidth>0</wp14:pctWidth>
                  </wp14:sizeRelH>
                  <wp14:sizeRelV relativeFrom="page">
                    <wp14:pctHeight>0</wp14:pctHeight>
                  </wp14:sizeRelV>
                </wp:anchor>
              </w:drawing>
            </w:r>
          </w:p>
        </w:tc>
        <w:tc>
          <w:tcPr>
            <w:tcW w:w="4387" w:type="dxa"/>
          </w:tcPr>
          <w:p w14:paraId="50EAE63F" w14:textId="77777777" w:rsidR="00DE703C" w:rsidRDefault="00F64057" w:rsidP="00A92042">
            <w:pPr>
              <w:rPr>
                <w:rFonts w:eastAsia="Helvetica"/>
              </w:rPr>
            </w:pPr>
            <w:r>
              <w:rPr>
                <w:rFonts w:eastAsia="Helvetica"/>
              </w:rPr>
              <w:t>Roxarne Armstrong, Director</w:t>
            </w:r>
            <w:r>
              <w:rPr>
                <w:rFonts w:eastAsia="Helvetica"/>
              </w:rPr>
              <w:br/>
            </w:r>
            <w:hyperlink r:id="rId137" w:history="1">
              <w:r w:rsidRPr="00B10AF5">
                <w:rPr>
                  <w:rStyle w:val="Hyperlink"/>
                  <w:rFonts w:eastAsia="Helvetica"/>
                </w:rPr>
                <w:t>BI@dss.gov.au</w:t>
              </w:r>
            </w:hyperlink>
            <w:r w:rsidRPr="00FE7313">
              <w:rPr>
                <w:rFonts w:eastAsia="Helvetica"/>
              </w:rPr>
              <w:t xml:space="preserve"> </w:t>
            </w:r>
          </w:p>
          <w:p w14:paraId="7D088A2D" w14:textId="7832D38E" w:rsidR="00A92042" w:rsidRPr="00A92042" w:rsidRDefault="00A92042" w:rsidP="00DE703C">
            <w:pPr>
              <w:spacing w:before="0" w:after="0" w:line="240" w:lineRule="auto"/>
              <w:rPr>
                <w:rFonts w:eastAsia="Helvetica"/>
              </w:rPr>
            </w:pPr>
          </w:p>
        </w:tc>
      </w:tr>
      <w:tr w:rsidR="00F64057" w14:paraId="5CC614A1" w14:textId="77777777" w:rsidTr="00A92042">
        <w:tc>
          <w:tcPr>
            <w:tcW w:w="4106" w:type="dxa"/>
          </w:tcPr>
          <w:p w14:paraId="4BCB38FE" w14:textId="68EF0B19" w:rsidR="00F64057" w:rsidRDefault="00917AC1" w:rsidP="00A92042">
            <w:pPr>
              <w:spacing w:line="260" w:lineRule="auto"/>
              <w:jc w:val="right"/>
              <w:rPr>
                <w:rFonts w:ascii="Helvetica" w:eastAsia="Helvetica" w:hAnsi="Helvetica" w:cs="Helvetica"/>
                <w:color w:val="3F3F3F"/>
              </w:rPr>
            </w:pPr>
            <w:r>
              <w:rPr>
                <w:rFonts w:ascii="Helvetica" w:eastAsia="Helvetica" w:hAnsi="Helvetica" w:cs="Helvetica"/>
                <w:noProof/>
                <w:color w:val="3F3F3F"/>
              </w:rPr>
              <w:drawing>
                <wp:inline distT="0" distB="0" distL="0" distR="0" wp14:anchorId="3589BD76" wp14:editId="3796655E">
                  <wp:extent cx="1343025" cy="738087"/>
                  <wp:effectExtent l="0" t="0" r="0" b="5080"/>
                  <wp:docPr id="298" name="Picture 298" descr="Australian Securities &amp; Investments Commission"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SIC.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48383" cy="741032"/>
                          </a:xfrm>
                          <a:prstGeom prst="rect">
                            <a:avLst/>
                          </a:prstGeom>
                        </pic:spPr>
                      </pic:pic>
                    </a:graphicData>
                  </a:graphic>
                </wp:inline>
              </w:drawing>
            </w:r>
          </w:p>
        </w:tc>
        <w:tc>
          <w:tcPr>
            <w:tcW w:w="4387" w:type="dxa"/>
          </w:tcPr>
          <w:p w14:paraId="182D28C9" w14:textId="4B4B1395" w:rsidR="00F64057" w:rsidRPr="006801BD" w:rsidRDefault="00F64057" w:rsidP="00F64057">
            <w:pPr>
              <w:rPr>
                <w:rFonts w:eastAsia="Helvetica"/>
              </w:rPr>
            </w:pPr>
            <w:r>
              <w:t xml:space="preserve">Sarah Edmondson, Director </w:t>
            </w:r>
            <w:r>
              <w:br/>
            </w:r>
            <w:hyperlink r:id="rId139" w:history="1">
              <w:r w:rsidRPr="00F64057">
                <w:rPr>
                  <w:rStyle w:val="Hyperlink"/>
                  <w:rFonts w:ascii="Helvetica" w:eastAsia="Helvetica" w:hAnsi="Helvetica" w:cs="Helvetica"/>
                </w:rPr>
                <w:t>Sarah.Edmondson@asic.gov.au</w:t>
              </w:r>
            </w:hyperlink>
            <w:r w:rsidRPr="00FE7313">
              <w:rPr>
                <w:u w:val="single"/>
              </w:rPr>
              <w:t xml:space="preserve"> </w:t>
            </w:r>
          </w:p>
          <w:p w14:paraId="4E563899" w14:textId="77777777" w:rsidR="00F64057" w:rsidRDefault="00F64057" w:rsidP="007A76BD">
            <w:pPr>
              <w:spacing w:line="260" w:lineRule="auto"/>
              <w:rPr>
                <w:rFonts w:ascii="Helvetica" w:eastAsia="Helvetica" w:hAnsi="Helvetica" w:cs="Helvetica"/>
                <w:color w:val="3F3F3F"/>
              </w:rPr>
            </w:pPr>
          </w:p>
        </w:tc>
      </w:tr>
      <w:tr w:rsidR="00F64057" w14:paraId="09AF1B84" w14:textId="77777777" w:rsidTr="00A92042">
        <w:tc>
          <w:tcPr>
            <w:tcW w:w="4106" w:type="dxa"/>
          </w:tcPr>
          <w:p w14:paraId="36125688" w14:textId="53D44A6B" w:rsidR="00F64057" w:rsidRDefault="00A92042" w:rsidP="00A92042">
            <w:pPr>
              <w:spacing w:line="260" w:lineRule="auto"/>
              <w:jc w:val="right"/>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59776" behindDoc="0" locked="0" layoutInCell="1" allowOverlap="1" wp14:anchorId="31F416F1" wp14:editId="645F503F">
                  <wp:simplePos x="0" y="0"/>
                  <wp:positionH relativeFrom="column">
                    <wp:posOffset>402590</wp:posOffset>
                  </wp:positionH>
                  <wp:positionV relativeFrom="paragraph">
                    <wp:posOffset>502</wp:posOffset>
                  </wp:positionV>
                  <wp:extent cx="2104105" cy="573405"/>
                  <wp:effectExtent l="0" t="0" r="4445" b="0"/>
                  <wp:wrapSquare wrapText="bothSides"/>
                  <wp:docPr id="30" name="Picture 30" descr="NSW Government Department of Premier and Cabinet Behavioural Insights Uni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U.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04105" cy="573405"/>
                          </a:xfrm>
                          <a:prstGeom prst="rect">
                            <a:avLst/>
                          </a:prstGeom>
                        </pic:spPr>
                      </pic:pic>
                    </a:graphicData>
                  </a:graphic>
                  <wp14:sizeRelH relativeFrom="page">
                    <wp14:pctWidth>0</wp14:pctWidth>
                  </wp14:sizeRelH>
                  <wp14:sizeRelV relativeFrom="page">
                    <wp14:pctHeight>0</wp14:pctHeight>
                  </wp14:sizeRelV>
                </wp:anchor>
              </w:drawing>
            </w:r>
          </w:p>
        </w:tc>
        <w:tc>
          <w:tcPr>
            <w:tcW w:w="4387" w:type="dxa"/>
          </w:tcPr>
          <w:p w14:paraId="39C4D588" w14:textId="0CCE519B" w:rsidR="00F64057" w:rsidRDefault="00F64057" w:rsidP="00F64057">
            <w:pPr>
              <w:spacing w:line="260" w:lineRule="auto"/>
              <w:rPr>
                <w:rFonts w:ascii="Helvetica" w:eastAsia="Helvetica" w:hAnsi="Helvetica" w:cs="Helvetica"/>
                <w:color w:val="3F3F3F"/>
                <w:u w:val="single"/>
              </w:rPr>
            </w:pPr>
            <w:r>
              <w:rPr>
                <w:rFonts w:ascii="Helvetica" w:eastAsia="Helvetica" w:hAnsi="Helvetica" w:cs="Helvetica"/>
                <w:color w:val="3F3F3F"/>
              </w:rPr>
              <w:t>Dr Alex King, Director</w:t>
            </w:r>
            <w:r>
              <w:rPr>
                <w:rFonts w:ascii="Helvetica" w:eastAsia="Helvetica" w:hAnsi="Helvetica" w:cs="Helvetica"/>
                <w:color w:val="3F3F3F"/>
              </w:rPr>
              <w:br/>
            </w:r>
            <w:hyperlink r:id="rId140" w:history="1">
              <w:r w:rsidRPr="00F64057">
                <w:rPr>
                  <w:rStyle w:val="Hyperlink"/>
                  <w:rFonts w:ascii="Helvetica" w:eastAsia="Helvetica" w:hAnsi="Helvetica" w:cs="Helvetica"/>
                </w:rPr>
                <w:t>BehaviouralInsights@dpc.nsw.gov.au</w:t>
              </w:r>
            </w:hyperlink>
          </w:p>
          <w:p w14:paraId="788E6469" w14:textId="77777777" w:rsidR="00F64057" w:rsidRDefault="00F64057" w:rsidP="007A76BD">
            <w:pPr>
              <w:spacing w:line="260" w:lineRule="auto"/>
              <w:rPr>
                <w:rFonts w:ascii="Helvetica" w:eastAsia="Helvetica" w:hAnsi="Helvetica" w:cs="Helvetica"/>
                <w:color w:val="3F3F3F"/>
              </w:rPr>
            </w:pPr>
          </w:p>
        </w:tc>
      </w:tr>
      <w:tr w:rsidR="00F64057" w14:paraId="2E9C4F82" w14:textId="77777777" w:rsidTr="00A92042">
        <w:tc>
          <w:tcPr>
            <w:tcW w:w="4106" w:type="dxa"/>
          </w:tcPr>
          <w:p w14:paraId="75780886" w14:textId="19B6CBD9" w:rsidR="00F64057" w:rsidRDefault="00A92042" w:rsidP="00A92042">
            <w:pPr>
              <w:spacing w:line="260" w:lineRule="auto"/>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57728" behindDoc="0" locked="0" layoutInCell="1" allowOverlap="1" wp14:anchorId="4408C011" wp14:editId="5DC6196A">
                  <wp:simplePos x="0" y="0"/>
                  <wp:positionH relativeFrom="column">
                    <wp:posOffset>162564</wp:posOffset>
                  </wp:positionH>
                  <wp:positionV relativeFrom="paragraph">
                    <wp:posOffset>87630</wp:posOffset>
                  </wp:positionV>
                  <wp:extent cx="2328527" cy="324000"/>
                  <wp:effectExtent l="0" t="0" r="0" b="0"/>
                  <wp:wrapSquare wrapText="bothSides"/>
                  <wp:docPr id="316" name="Picture 316" descr="Behavioural Insights Unit Victoria State Gover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 Unit logo (purp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8527"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87" w:type="dxa"/>
          </w:tcPr>
          <w:p w14:paraId="18EBF17F" w14:textId="72AF10D8" w:rsidR="00F64057" w:rsidRPr="00A92042" w:rsidRDefault="00F64057" w:rsidP="00A92042">
            <w:pPr>
              <w:rPr>
                <w:rFonts w:eastAsia="Helvetica"/>
                <w:u w:val="single"/>
              </w:rPr>
            </w:pPr>
            <w:r>
              <w:rPr>
                <w:rFonts w:eastAsia="Helvetica"/>
              </w:rPr>
              <w:t xml:space="preserve">Fiona Grinwald, Manager </w:t>
            </w:r>
            <w:r>
              <w:rPr>
                <w:rFonts w:eastAsia="Helvetica"/>
              </w:rPr>
              <w:br/>
            </w:r>
            <w:hyperlink r:id="rId141">
              <w:r w:rsidRPr="00F64057">
                <w:rPr>
                  <w:rStyle w:val="Hyperlink"/>
                  <w:rFonts w:ascii="Helvetica" w:eastAsia="Helvetica" w:hAnsi="Helvetica" w:cs="Helvetica"/>
                </w:rPr>
                <w:t>Fiona.Grinwald@dpc.vic.gov.au</w:t>
              </w:r>
            </w:hyperlink>
            <w:r w:rsidR="00A92042">
              <w:rPr>
                <w:rFonts w:eastAsia="Helvetica"/>
                <w:u w:val="single"/>
              </w:rPr>
              <w:t xml:space="preserve"> </w:t>
            </w:r>
          </w:p>
        </w:tc>
      </w:tr>
      <w:tr w:rsidR="00F64057" w14:paraId="5E58B1A1" w14:textId="77777777" w:rsidTr="008472BA">
        <w:trPr>
          <w:trHeight w:val="1112"/>
        </w:trPr>
        <w:tc>
          <w:tcPr>
            <w:tcW w:w="4106" w:type="dxa"/>
          </w:tcPr>
          <w:p w14:paraId="5A7E8AB6" w14:textId="6F396627" w:rsidR="00F64057" w:rsidRDefault="00F64057" w:rsidP="00A92042">
            <w:pPr>
              <w:spacing w:line="260" w:lineRule="auto"/>
              <w:jc w:val="right"/>
              <w:rPr>
                <w:rFonts w:ascii="Helvetica" w:eastAsia="Helvetica" w:hAnsi="Helvetica" w:cs="Helvetica"/>
                <w:color w:val="3F3F3F"/>
              </w:rPr>
            </w:pPr>
            <w:r w:rsidRPr="00F64057">
              <w:rPr>
                <w:rFonts w:ascii="Helvetica" w:eastAsia="Helvetica" w:hAnsi="Helvetica" w:cs="Helvetica"/>
                <w:noProof/>
                <w:color w:val="3F3F3F"/>
              </w:rPr>
              <w:drawing>
                <wp:anchor distT="0" distB="0" distL="114300" distR="114300" simplePos="0" relativeHeight="251658752" behindDoc="0" locked="0" layoutInCell="1" allowOverlap="1" wp14:anchorId="18A287D6" wp14:editId="3B20360B">
                  <wp:simplePos x="0" y="0"/>
                  <wp:positionH relativeFrom="column">
                    <wp:posOffset>872963</wp:posOffset>
                  </wp:positionH>
                  <wp:positionV relativeFrom="paragraph">
                    <wp:posOffset>6350</wp:posOffset>
                  </wp:positionV>
                  <wp:extent cx="1445852" cy="720000"/>
                  <wp:effectExtent l="0" t="0" r="2540" b="0"/>
                  <wp:wrapSquare wrapText="bothSides"/>
                  <wp:docPr id="27" name="Picture 27" descr="The Behavioural Insights Tea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42" cstate="print">
                            <a:extLst>
                              <a:ext uri="{28A0092B-C50C-407E-A947-70E740481C1C}">
                                <a14:useLocalDpi xmlns:a14="http://schemas.microsoft.com/office/drawing/2010/main" val="0"/>
                              </a:ext>
                            </a:extLst>
                          </a:blip>
                          <a:srcRect t="-1" b="-40407"/>
                          <a:stretch/>
                        </pic:blipFill>
                        <pic:spPr bwMode="auto">
                          <a:xfrm>
                            <a:off x="0" y="0"/>
                            <a:ext cx="144585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87" w:type="dxa"/>
          </w:tcPr>
          <w:p w14:paraId="04743D43" w14:textId="3AC04EF2" w:rsidR="00F64057" w:rsidRDefault="00F64057" w:rsidP="00F64057">
            <w:pPr>
              <w:spacing w:line="260" w:lineRule="auto"/>
              <w:rPr>
                <w:rFonts w:ascii="Helvetica" w:eastAsia="Helvetica" w:hAnsi="Helvetica" w:cs="Helvetica"/>
                <w:color w:val="3F3F3F"/>
              </w:rPr>
            </w:pPr>
            <w:r>
              <w:rPr>
                <w:rFonts w:ascii="Helvetica" w:eastAsia="Helvetica" w:hAnsi="Helvetica" w:cs="Helvetica"/>
                <w:color w:val="3F3F3F"/>
              </w:rPr>
              <w:t xml:space="preserve">Dr Rory Gallagher, Managing Director </w:t>
            </w:r>
            <w:r>
              <w:rPr>
                <w:rFonts w:ascii="Helvetica" w:eastAsia="Helvetica" w:hAnsi="Helvetica" w:cs="Helvetica"/>
                <w:color w:val="3F3F3F"/>
              </w:rPr>
              <w:br/>
            </w:r>
            <w:hyperlink r:id="rId143" w:history="1">
              <w:r w:rsidRPr="00B10AF5">
                <w:rPr>
                  <w:rStyle w:val="Hyperlink"/>
                  <w:rFonts w:ascii="Helvetica" w:eastAsia="Helvetica" w:hAnsi="Helvetica" w:cs="Helvetica"/>
                </w:rPr>
                <w:t>info-aus@bi.team</w:t>
              </w:r>
            </w:hyperlink>
          </w:p>
          <w:p w14:paraId="439C4D92" w14:textId="77777777" w:rsidR="00F64057" w:rsidRDefault="00F64057" w:rsidP="00F64057">
            <w:pPr>
              <w:spacing w:line="260" w:lineRule="auto"/>
              <w:rPr>
                <w:rFonts w:ascii="Helvetica" w:eastAsia="Helvetica" w:hAnsi="Helvetica" w:cs="Helvetica"/>
                <w:color w:val="3F3F3F"/>
              </w:rPr>
            </w:pPr>
          </w:p>
        </w:tc>
      </w:tr>
    </w:tbl>
    <w:p w14:paraId="27AB4D3C" w14:textId="1C171078" w:rsidR="008472BA" w:rsidRDefault="008472BA">
      <w:pPr>
        <w:keepLines w:val="0"/>
        <w:spacing w:before="0" w:after="0" w:line="240" w:lineRule="auto"/>
        <w:rPr>
          <w:rFonts w:ascii="Helvetica" w:eastAsia="Helvetica" w:hAnsi="Helvetica" w:cs="Helvetica"/>
          <w:color w:val="3F3F3F"/>
        </w:rPr>
      </w:pPr>
      <w:r>
        <w:rPr>
          <w:rFonts w:ascii="Helvetica" w:eastAsia="Helvetica" w:hAnsi="Helvetica" w:cs="Helvetica"/>
          <w:color w:val="3F3F3F"/>
        </w:rPr>
        <w:br w:type="page"/>
      </w:r>
    </w:p>
    <w:p w14:paraId="3BDF9E64" w14:textId="77777777" w:rsidR="007A76BD" w:rsidRDefault="007A76BD" w:rsidP="004E3FC0">
      <w:pPr>
        <w:spacing w:line="260" w:lineRule="auto"/>
        <w:jc w:val="both"/>
        <w:rPr>
          <w:rFonts w:ascii="Helvetica" w:eastAsia="Helvetica" w:hAnsi="Helvetica" w:cs="Helvetica"/>
          <w:color w:val="3F3F3F"/>
        </w:rPr>
        <w:sectPr w:rsidR="007A76BD" w:rsidSect="00272E56">
          <w:headerReference w:type="default" r:id="rId144"/>
          <w:headerReference w:type="first" r:id="rId145"/>
          <w:pgSz w:w="11906" w:h="16838" w:code="9"/>
          <w:pgMar w:top="1474" w:right="1985" w:bottom="1247" w:left="1418" w:header="680" w:footer="680" w:gutter="0"/>
          <w:cols w:space="708"/>
          <w:titlePg/>
          <w:docGrid w:linePitch="360"/>
        </w:sectPr>
      </w:pPr>
    </w:p>
    <w:p w14:paraId="050B740C" w14:textId="52847DF6" w:rsidR="00251049" w:rsidRPr="000C7425" w:rsidRDefault="00251049" w:rsidP="000C7425">
      <w:pPr>
        <w:pStyle w:val="Heading2"/>
        <w:ind w:left="0"/>
        <w:rPr>
          <w:color w:val="117479"/>
          <w:spacing w:val="0"/>
          <w:sz w:val="72"/>
          <w:szCs w:val="44"/>
        </w:rPr>
      </w:pPr>
      <w:bookmarkStart w:id="125" w:name="_Toc515874457"/>
      <w:bookmarkStart w:id="126" w:name="_Toc515874698"/>
      <w:bookmarkStart w:id="127" w:name="_Toc516827469"/>
      <w:r w:rsidRPr="000C7425">
        <w:rPr>
          <w:color w:val="117479"/>
          <w:spacing w:val="0"/>
          <w:sz w:val="72"/>
          <w:szCs w:val="44"/>
        </w:rPr>
        <w:lastRenderedPageBreak/>
        <w:t>References</w:t>
      </w:r>
      <w:bookmarkEnd w:id="125"/>
      <w:bookmarkEnd w:id="126"/>
      <w:bookmarkEnd w:id="127"/>
    </w:p>
    <w:p w14:paraId="221FCEA0" w14:textId="7E16EDE6" w:rsidR="00EA3856" w:rsidRPr="00D04F2F" w:rsidRDefault="00EA3856"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Australian Bureau of Statistics 2013, </w:t>
      </w:r>
      <w:r w:rsidRPr="00D04F2F">
        <w:rPr>
          <w:rFonts w:ascii="Helvetica" w:eastAsia="Helvetica" w:hAnsi="Helvetica" w:cs="Helvetica"/>
          <w:i/>
        </w:rPr>
        <w:t>Population Projections, Australia</w:t>
      </w:r>
      <w:r w:rsidRPr="00D04F2F">
        <w:rPr>
          <w:rFonts w:ascii="Helvetica" w:eastAsia="Helvetica" w:hAnsi="Helvetica" w:cs="Helvetica"/>
        </w:rPr>
        <w:t xml:space="preserve"> </w:t>
      </w:r>
      <w:r w:rsidRPr="00D04F2F">
        <w:rPr>
          <w:rFonts w:ascii="Helvetica" w:eastAsia="Helvetica" w:hAnsi="Helvetica" w:cs="Helvetica"/>
          <w:i/>
        </w:rPr>
        <w:t>2012</w:t>
      </w:r>
      <w:r w:rsidRPr="00D04F2F">
        <w:rPr>
          <w:rFonts w:ascii="Helvetica" w:eastAsia="Helvetica" w:hAnsi="Helvetica" w:cs="Helvetica"/>
        </w:rPr>
        <w:t>, cat. no. 3222.0, ABS, Canberra.</w:t>
      </w:r>
    </w:p>
    <w:p w14:paraId="236F9DFE" w14:textId="5CEFDCC6"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Australian Communications and Media Authority 2014, </w:t>
      </w:r>
      <w:r w:rsidRPr="00D04F2F">
        <w:rPr>
          <w:rFonts w:ascii="Helvetica" w:eastAsia="Helvetica" w:hAnsi="Helvetica" w:cs="Helvetica"/>
          <w:i/>
        </w:rPr>
        <w:t>Aussie teens online</w:t>
      </w:r>
      <w:r w:rsidRPr="00D04F2F">
        <w:rPr>
          <w:rFonts w:ascii="Helvetica" w:eastAsia="Helvetica" w:hAnsi="Helvetica" w:cs="Helvetica"/>
        </w:rPr>
        <w:t xml:space="preserve">, research snapshot, ACMA, Melbourne, accessed 24 April 2018, </w:t>
      </w:r>
      <w:hyperlink r:id="rId146">
        <w:r w:rsidRPr="00D04F2F">
          <w:rPr>
            <w:rFonts w:ascii="Helvetica" w:eastAsia="Helvetica" w:hAnsi="Helvetica" w:cs="Helvetica"/>
            <w:u w:val="single"/>
          </w:rPr>
          <w:t>https://www.acma.gov.au/theACMA/engage-blogs/engage-blogs/Research-snapshots/Aussie-teens-online</w:t>
        </w:r>
      </w:hyperlink>
      <w:r w:rsidRPr="00D04F2F">
        <w:rPr>
          <w:rFonts w:ascii="Helvetica" w:eastAsia="Helvetica" w:hAnsi="Helvetica" w:cs="Helvetica"/>
        </w:rPr>
        <w:t>.</w:t>
      </w:r>
    </w:p>
    <w:p w14:paraId="46B1509A" w14:textId="77777777" w:rsidR="00EA3856" w:rsidRDefault="00EA3856" w:rsidP="007A3700">
      <w:pPr>
        <w:spacing w:line="260" w:lineRule="auto"/>
        <w:ind w:left="426" w:hanging="426"/>
      </w:pPr>
      <w:r>
        <w:t>Australian Competition and Consumer Commission</w:t>
      </w:r>
      <w:r w:rsidRPr="00D96541">
        <w:t xml:space="preserve"> 2017</w:t>
      </w:r>
      <w:r>
        <w:t xml:space="preserve">, </w:t>
      </w:r>
      <w:r w:rsidRPr="00D96541">
        <w:rPr>
          <w:i/>
        </w:rPr>
        <w:t>Retail Electricity Pricing Inquiry: Preliminary Report</w:t>
      </w:r>
      <w:r>
        <w:t>, ACCC, Canberra.</w:t>
      </w:r>
    </w:p>
    <w:p w14:paraId="65A6EA6C"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Australian Institute of Health and Welfare 2017, </w:t>
      </w:r>
      <w:r w:rsidRPr="00D04F2F">
        <w:rPr>
          <w:rFonts w:ascii="Helvetica" w:eastAsia="Helvetica" w:hAnsi="Helvetica" w:cs="Helvetica"/>
          <w:i/>
        </w:rPr>
        <w:t>Impact of physical inactivity as a risk factor for chronic conditions: Australian Burden of Disease Study</w:t>
      </w:r>
      <w:r w:rsidRPr="00D04F2F">
        <w:rPr>
          <w:rFonts w:ascii="Helvetica" w:eastAsia="Helvetica" w:hAnsi="Helvetica" w:cs="Helvetica"/>
        </w:rPr>
        <w:t xml:space="preserve">, Australian Burden of Disease Study series no. 15, AIHW, Canberra, viewed 22 February 2018, </w:t>
      </w:r>
      <w:hyperlink r:id="rId147">
        <w:r w:rsidRPr="00D04F2F">
          <w:rPr>
            <w:rFonts w:ascii="Helvetica" w:eastAsia="Helvetica" w:hAnsi="Helvetica" w:cs="Helvetica"/>
            <w:u w:val="single"/>
          </w:rPr>
          <w:t>https://www.aihw.gov.au/reports/burden-of-disease/impact-of-physical-inactivity-chronic-conditions/contents/table-of-contents</w:t>
        </w:r>
      </w:hyperlink>
      <w:r w:rsidRPr="00D04F2F">
        <w:rPr>
          <w:rFonts w:ascii="Helvetica" w:eastAsia="Helvetica" w:hAnsi="Helvetica" w:cs="Helvetica"/>
        </w:rPr>
        <w:t>.</w:t>
      </w:r>
    </w:p>
    <w:p w14:paraId="4F7C2EF7"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Ayres, I., Raseman, S. &amp; Shih, A. 2013, ‘Evidence from Two Large Field Experiments that Peer Comparison Feedback Can Reduce Residential Energy Usage’, </w:t>
      </w:r>
      <w:r w:rsidRPr="00D04F2F">
        <w:rPr>
          <w:rFonts w:ascii="Helvetica" w:eastAsia="Helvetica" w:hAnsi="Helvetica" w:cs="Helvetica"/>
          <w:i/>
        </w:rPr>
        <w:t>The Journal of Law, Economics, and Organization</w:t>
      </w:r>
      <w:r w:rsidRPr="00D04F2F">
        <w:rPr>
          <w:rFonts w:ascii="Helvetica" w:eastAsia="Helvetica" w:hAnsi="Helvetica" w:cs="Helvetica"/>
        </w:rPr>
        <w:t>, vol. 29, no. 5, pp. 992–1022.</w:t>
      </w:r>
    </w:p>
    <w:p w14:paraId="6A228BA0" w14:textId="4D245F29"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Ball, K., Carver, A., Downing, K., Jackson, M. &amp; O'Rourke, K. 2015, ‘Addressing the social determinants of inequities in physical activity and sedentary behaviours’, </w:t>
      </w:r>
      <w:r w:rsidRPr="00D04F2F">
        <w:rPr>
          <w:rFonts w:ascii="Helvetica" w:eastAsia="Helvetica" w:hAnsi="Helvetica" w:cs="Helvetica"/>
          <w:i/>
        </w:rPr>
        <w:t>Health Promotion International</w:t>
      </w:r>
      <w:r w:rsidR="00B77A11">
        <w:rPr>
          <w:rFonts w:ascii="Helvetica" w:eastAsia="Helvetica" w:hAnsi="Helvetica" w:cs="Helvetica"/>
        </w:rPr>
        <w:t>, vol. 30, no. 2, pp. ii8</w:t>
      </w:r>
      <w:r w:rsidR="00B77A11" w:rsidRPr="00110D9E">
        <w:rPr>
          <w:lang w:val="en-GB"/>
        </w:rPr>
        <w:t>–</w:t>
      </w:r>
      <w:r w:rsidRPr="00D04F2F">
        <w:rPr>
          <w:rFonts w:ascii="Helvetica" w:eastAsia="Helvetica" w:hAnsi="Helvetica" w:cs="Helvetica"/>
        </w:rPr>
        <w:t>ii19.</w:t>
      </w:r>
    </w:p>
    <w:p w14:paraId="4A53676B"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Bandura, A. 2016, </w:t>
      </w:r>
      <w:r w:rsidRPr="00D04F2F">
        <w:rPr>
          <w:rFonts w:ascii="Helvetica" w:eastAsia="Helvetica" w:hAnsi="Helvetica" w:cs="Helvetica"/>
          <w:i/>
        </w:rPr>
        <w:t>Moral disengagement: How people do harm and live with themselves</w:t>
      </w:r>
      <w:r w:rsidRPr="00D04F2F">
        <w:rPr>
          <w:rFonts w:ascii="Helvetica" w:eastAsia="Helvetica" w:hAnsi="Helvetica" w:cs="Helvetica"/>
        </w:rPr>
        <w:t>, 1st edn, Worth Publishers, New York.</w:t>
      </w:r>
    </w:p>
    <w:p w14:paraId="204590BD" w14:textId="37EAF06A" w:rsidR="00183027" w:rsidRDefault="00183027" w:rsidP="007A3700">
      <w:pPr>
        <w:spacing w:line="260" w:lineRule="auto"/>
        <w:ind w:left="426" w:hanging="426"/>
      </w:pPr>
      <w:r w:rsidRPr="00146F7B">
        <w:t xml:space="preserve">Barasz, K., John, L. K., Keenan, E. &amp; Norton, M. 2017, ‘Pseudo-set framing’, </w:t>
      </w:r>
      <w:r w:rsidRPr="00183027">
        <w:rPr>
          <w:i/>
        </w:rPr>
        <w:t>Journal of Experimental Psychology</w:t>
      </w:r>
      <w:r w:rsidR="00B77A11">
        <w:t>, vol. 146, no. 10, pp. 1460</w:t>
      </w:r>
      <w:r w:rsidR="00B77A11" w:rsidRPr="00110D9E">
        <w:rPr>
          <w:lang w:val="en-GB"/>
        </w:rPr>
        <w:t>–</w:t>
      </w:r>
      <w:r w:rsidRPr="00146F7B">
        <w:t>1477.</w:t>
      </w:r>
    </w:p>
    <w:p w14:paraId="7938306C" w14:textId="0D94A3A9" w:rsidR="0080686E" w:rsidRDefault="0080686E" w:rsidP="007A3700">
      <w:pPr>
        <w:spacing w:line="260" w:lineRule="auto"/>
        <w:ind w:left="426" w:hanging="426"/>
        <w:rPr>
          <w:rFonts w:ascii="Helvetica" w:eastAsia="Helvetica" w:hAnsi="Helvetica" w:cs="Helvetica"/>
        </w:rPr>
      </w:pPr>
      <w:r>
        <w:t xml:space="preserve">Behavioural Insights Team 2012, </w:t>
      </w:r>
      <w:r>
        <w:rPr>
          <w:i/>
        </w:rPr>
        <w:t>Applying behavioural insights to reduce fraud, error and debt</w:t>
      </w:r>
      <w:r>
        <w:t>, BIT, UK.</w:t>
      </w:r>
    </w:p>
    <w:p w14:paraId="07E0F7F6" w14:textId="6F004A88"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Behavioural Insights Team 2014, </w:t>
      </w:r>
      <w:r w:rsidRPr="00D04F2F">
        <w:rPr>
          <w:rFonts w:ascii="Helvetica" w:eastAsia="Helvetica" w:hAnsi="Helvetica" w:cs="Helvetica"/>
          <w:i/>
        </w:rPr>
        <w:t>EAST: Four simple ways of applying behavioural insights</w:t>
      </w:r>
      <w:r w:rsidRPr="00D04F2F">
        <w:rPr>
          <w:rFonts w:ascii="Helvetica" w:eastAsia="Helvetica" w:hAnsi="Helvetica" w:cs="Helvetica"/>
        </w:rPr>
        <w:t>, BIT, UK.</w:t>
      </w:r>
    </w:p>
    <w:p w14:paraId="5C9559EE" w14:textId="24720AC3"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Bertrand, M., Chugh, D. &amp; Mullainathan, S. 2005, ‘Implicit discrimination’, American Economic Review, vol. 95, no. 2, pp. 94</w:t>
      </w:r>
      <w:r w:rsidR="00B77A11" w:rsidRPr="00110D9E">
        <w:rPr>
          <w:lang w:val="en-GB"/>
        </w:rPr>
        <w:t>–</w:t>
      </w:r>
      <w:r w:rsidRPr="00D04F2F">
        <w:rPr>
          <w:rFonts w:ascii="Helvetica" w:eastAsia="Helvetica" w:hAnsi="Helvetica" w:cs="Helvetica"/>
        </w:rPr>
        <w:t>98.</w:t>
      </w:r>
    </w:p>
    <w:p w14:paraId="68A7D6D3"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Bharamgoudar, R., Elmqvist, K., Qiu, S., Rigaudy, M., Vink, J., Yu, C., Zhang, Y. &amp; Eisingerich, A. 2016, </w:t>
      </w:r>
      <w:r w:rsidRPr="00D04F2F">
        <w:rPr>
          <w:rFonts w:ascii="Helvetica" w:eastAsia="Helvetica" w:hAnsi="Helvetica" w:cs="Helvetica"/>
          <w:i/>
        </w:rPr>
        <w:t>Tailoring and utilising gamification to facilitate behaviour change</w:t>
      </w:r>
      <w:r w:rsidRPr="00D04F2F">
        <w:rPr>
          <w:rFonts w:ascii="Helvetica" w:eastAsia="Helvetica" w:hAnsi="Helvetica" w:cs="Helvetica"/>
        </w:rPr>
        <w:t>, Imperial College of Science, Technology and Medicine, London.</w:t>
      </w:r>
    </w:p>
    <w:p w14:paraId="09E954EA" w14:textId="5E8DF092"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Boyd, D. 2014, </w:t>
      </w:r>
      <w:r w:rsidRPr="00FC1C8B">
        <w:rPr>
          <w:rFonts w:ascii="Helvetica" w:eastAsia="Helvetica" w:hAnsi="Helvetica" w:cs="Helvetica"/>
          <w:i/>
        </w:rPr>
        <w:t>It's complicated: The social lives of networked teens</w:t>
      </w:r>
      <w:r w:rsidR="00FC1C8B">
        <w:rPr>
          <w:rFonts w:ascii="Helvetica" w:eastAsia="Helvetica" w:hAnsi="Helvetica" w:cs="Helvetica"/>
        </w:rPr>
        <w:t>,</w:t>
      </w:r>
      <w:r w:rsidRPr="00D04F2F">
        <w:rPr>
          <w:rFonts w:ascii="Helvetica" w:eastAsia="Helvetica" w:hAnsi="Helvetica" w:cs="Helvetica"/>
        </w:rPr>
        <w:t xml:space="preserve"> Yale University Press, New Haven, Connecticut.</w:t>
      </w:r>
    </w:p>
    <w:p w14:paraId="576B5CF0" w14:textId="09BCB5FA"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Brisson, M., Bénard, É., Drolet, M., Bogaards, J., Baussano, I. &amp; Vänskä, S., Jit, M., Boily, MC., Smith, M., Berkhof, J., Canfell, K., Chesson, H., Burger, E., Choi, Y., De Blasio, B., , De Vlas, S., Guzzetta, G., Hontelez, J., Horn, J., Jepsen, M., Kim, J., Lazzarato, F., Matthijsse, S., Mikolajczyk, R., Pavelyev, A., Pillsbury, M., Shafer, L., Tully, S., Turner, H., Usher, C., Walsh, C. 2016, ‘Population-level impact, herd immunity, and elimination after human papillomavirus vaccination: a systematic review and meta-analysis of predictions from transmission-dynamic models’, </w:t>
      </w:r>
      <w:r w:rsidRPr="00D04F2F">
        <w:rPr>
          <w:rFonts w:ascii="Helvetica" w:eastAsia="Helvetica" w:hAnsi="Helvetica" w:cs="Helvetica"/>
          <w:i/>
        </w:rPr>
        <w:t>Lancet Public Health</w:t>
      </w:r>
      <w:r w:rsidRPr="00D04F2F">
        <w:rPr>
          <w:rFonts w:ascii="Helvetica" w:eastAsia="Helvetica" w:hAnsi="Helvetica" w:cs="Helvetica"/>
        </w:rPr>
        <w:t>, vol. 1, no. 1, pp. e8</w:t>
      </w:r>
      <w:r w:rsidR="00B77A11" w:rsidRPr="00110D9E">
        <w:rPr>
          <w:lang w:val="en-GB"/>
        </w:rPr>
        <w:t>–</w:t>
      </w:r>
      <w:r w:rsidRPr="00D04F2F">
        <w:rPr>
          <w:rFonts w:ascii="Helvetica" w:eastAsia="Helvetica" w:hAnsi="Helvetica" w:cs="Helvetica"/>
        </w:rPr>
        <w:t>17.</w:t>
      </w:r>
    </w:p>
    <w:p w14:paraId="6E7C0D60" w14:textId="34A4845F"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Caplan, R., Vinokur, A., Price, R. &amp; Van Ryn, M. 1989, ‘Job seeking, re</w:t>
      </w:r>
      <w:r w:rsidR="00B77A11">
        <w:rPr>
          <w:rFonts w:ascii="Helvetica" w:eastAsia="Helvetica" w:hAnsi="Helvetica" w:cs="Helvetica"/>
        </w:rPr>
        <w:t>employment, and mental health: A</w:t>
      </w:r>
      <w:r w:rsidRPr="00D04F2F">
        <w:rPr>
          <w:rFonts w:ascii="Helvetica" w:eastAsia="Helvetica" w:hAnsi="Helvetica" w:cs="Helvetica"/>
        </w:rPr>
        <w:t xml:space="preserve"> randomized field experiment in coping with job loss’, </w:t>
      </w:r>
      <w:r w:rsidRPr="00D04F2F">
        <w:rPr>
          <w:rFonts w:ascii="Helvetica" w:eastAsia="Helvetica" w:hAnsi="Helvetica" w:cs="Helvetica"/>
          <w:i/>
        </w:rPr>
        <w:t>Journal of Applied Psychology</w:t>
      </w:r>
      <w:r w:rsidR="00B77A11">
        <w:rPr>
          <w:rFonts w:ascii="Helvetica" w:eastAsia="Helvetica" w:hAnsi="Helvetica" w:cs="Helvetica"/>
        </w:rPr>
        <w:t>, vol. 74, no. 5, pp. 759</w:t>
      </w:r>
      <w:r w:rsidR="00B77A11" w:rsidRPr="00110D9E">
        <w:rPr>
          <w:lang w:val="en-GB"/>
        </w:rPr>
        <w:t>–</w:t>
      </w:r>
      <w:r w:rsidRPr="00D04F2F">
        <w:rPr>
          <w:rFonts w:ascii="Helvetica" w:eastAsia="Helvetica" w:hAnsi="Helvetica" w:cs="Helvetica"/>
        </w:rPr>
        <w:t>769.</w:t>
      </w:r>
    </w:p>
    <w:p w14:paraId="281A0BAB"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lastRenderedPageBreak/>
        <w:t xml:space="preserve">Choi, J., Laibson, D., Madrian, B. &amp; Metrick, A. 2004, </w:t>
      </w:r>
      <w:r w:rsidRPr="00D04F2F">
        <w:rPr>
          <w:rFonts w:ascii="Helvetica" w:eastAsia="Helvetica" w:hAnsi="Helvetica" w:cs="Helvetica"/>
          <w:i/>
        </w:rPr>
        <w:t>For better or for worse: Default effects and 401(k) savings behavior</w:t>
      </w:r>
      <w:r w:rsidRPr="00D04F2F">
        <w:rPr>
          <w:rFonts w:ascii="Helvetica" w:eastAsia="Helvetica" w:hAnsi="Helvetica" w:cs="Helvetica"/>
        </w:rPr>
        <w:t>, National Bureau of Economic Research, Cambridge, Massachusetts.</w:t>
      </w:r>
    </w:p>
    <w:p w14:paraId="39B8C7BE" w14:textId="77777777" w:rsidR="00035E8E"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Cialdini, R. 2001, </w:t>
      </w:r>
      <w:r w:rsidRPr="00D04F2F">
        <w:rPr>
          <w:rFonts w:ascii="Helvetica" w:eastAsia="Helvetica" w:hAnsi="Helvetica" w:cs="Helvetica"/>
          <w:i/>
        </w:rPr>
        <w:t>Influence: Science and practice</w:t>
      </w:r>
      <w:r w:rsidRPr="00D04F2F">
        <w:rPr>
          <w:rFonts w:ascii="Helvetica" w:eastAsia="Helvetica" w:hAnsi="Helvetica" w:cs="Helvetica"/>
        </w:rPr>
        <w:t>, 4th edn, Allyn and Bacon, Boston</w:t>
      </w:r>
      <w:r w:rsidR="00035E8E">
        <w:rPr>
          <w:rFonts w:ascii="Helvetica" w:eastAsia="Helvetica" w:hAnsi="Helvetica" w:cs="Helvetica"/>
        </w:rPr>
        <w:t>.</w:t>
      </w:r>
    </w:p>
    <w:p w14:paraId="19BEC686" w14:textId="7AC64E25"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Conner, M. &amp; Norman, P. 2005, </w:t>
      </w:r>
      <w:r w:rsidRPr="00D04F2F">
        <w:rPr>
          <w:rFonts w:ascii="Helvetica" w:eastAsia="Helvetica" w:hAnsi="Helvetica" w:cs="Helvetica"/>
          <w:i/>
        </w:rPr>
        <w:t>Predicting Health Behaviour</w:t>
      </w:r>
      <w:r w:rsidRPr="00D04F2F">
        <w:rPr>
          <w:rFonts w:ascii="Helvetica" w:eastAsia="Helvetica" w:hAnsi="Helvetica" w:cs="Helvetica"/>
        </w:rPr>
        <w:t>, Maidenhead: McGraw-H</w:t>
      </w:r>
      <w:r w:rsidR="00B77A11">
        <w:rPr>
          <w:rFonts w:ascii="Helvetica" w:eastAsia="Helvetica" w:hAnsi="Helvetica" w:cs="Helvetica"/>
        </w:rPr>
        <w:t>ill Education, Berkshire, pp. 8</w:t>
      </w:r>
      <w:r w:rsidR="00B77A11" w:rsidRPr="00110D9E">
        <w:rPr>
          <w:lang w:val="en-GB"/>
        </w:rPr>
        <w:t>–</w:t>
      </w:r>
      <w:r w:rsidRPr="00D04F2F">
        <w:rPr>
          <w:rFonts w:ascii="Helvetica" w:eastAsia="Helvetica" w:hAnsi="Helvetica" w:cs="Helvetica"/>
        </w:rPr>
        <w:t>12.</w:t>
      </w:r>
    </w:p>
    <w:p w14:paraId="46D2CB96"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de Goeij, P., Hogendoorn, T. &amp; Van Campenhout, G. 2014, ‘Pictures are worth a thousand words: Graphical information and investment decision making’, </w:t>
      </w:r>
      <w:r w:rsidRPr="00D04F2F">
        <w:rPr>
          <w:rFonts w:ascii="Helvetica" w:eastAsia="Helvetica" w:hAnsi="Helvetica" w:cs="Helvetica"/>
          <w:i/>
        </w:rPr>
        <w:t>Working pape</w:t>
      </w:r>
      <w:r w:rsidRPr="00D04F2F">
        <w:rPr>
          <w:rFonts w:ascii="Helvetica" w:eastAsia="Helvetica" w:hAnsi="Helvetica" w:cs="Helvetica"/>
        </w:rPr>
        <w:t>r.</w:t>
      </w:r>
    </w:p>
    <w:p w14:paraId="3BC0D185" w14:textId="415AC99C" w:rsidR="00926A9B" w:rsidRDefault="00926A9B" w:rsidP="007A3700">
      <w:pPr>
        <w:spacing w:line="260" w:lineRule="auto"/>
        <w:ind w:left="426" w:hanging="426"/>
      </w:pPr>
      <w:r>
        <w:t xml:space="preserve">Department of Social Services 2017, </w:t>
      </w:r>
      <w:r>
        <w:rPr>
          <w:i/>
        </w:rPr>
        <w:t>Try, Test and Learn Fund: Strengthening students’ resilience</w:t>
      </w:r>
      <w:r>
        <w:t xml:space="preserve">, factsheet, DSS, Canberra, viewed 24 March 2018, </w:t>
      </w:r>
      <w:hyperlink r:id="rId148" w:history="1">
        <w:r w:rsidRPr="00926A9B">
          <w:rPr>
            <w:rStyle w:val="Hyperlink"/>
            <w:color w:val="3F3F3F" w:themeColor="text1"/>
            <w:u w:val="single"/>
          </w:rPr>
          <w:t>https://www.dss.gov.au/sites/default/files/documents/11_2017/strengthening_students_resilience_factsheet.pdf</w:t>
        </w:r>
      </w:hyperlink>
      <w:r w:rsidRPr="00926A9B">
        <w:rPr>
          <w:u w:val="single"/>
        </w:rPr>
        <w:t>.</w:t>
      </w:r>
    </w:p>
    <w:p w14:paraId="64436702" w14:textId="79F15E6F"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Dolan, P., Hallsworth, M., Halpern, D., King, D. &amp; Vlaev, I. 2010, </w:t>
      </w:r>
      <w:r w:rsidRPr="00D04F2F">
        <w:rPr>
          <w:rFonts w:ascii="Helvetica" w:eastAsia="Helvetica" w:hAnsi="Helvetica" w:cs="Helvetica"/>
          <w:i/>
        </w:rPr>
        <w:t>MINDSPACE: Influencing behaviour through public policy</w:t>
      </w:r>
      <w:r w:rsidRPr="00D04F2F">
        <w:rPr>
          <w:rFonts w:ascii="Helvetica" w:eastAsia="Helvetica" w:hAnsi="Helvetica" w:cs="Helvetica"/>
        </w:rPr>
        <w:t>, Institute for Government and Cabinet Office, London.</w:t>
      </w:r>
    </w:p>
    <w:p w14:paraId="08D3A460" w14:textId="44635E29"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Dweck, C. 1986, ‘Motivational processes affecting learning’, </w:t>
      </w:r>
      <w:r w:rsidRPr="00D04F2F">
        <w:rPr>
          <w:rFonts w:ascii="Helvetica" w:eastAsia="Helvetica" w:hAnsi="Helvetica" w:cs="Helvetica"/>
          <w:i/>
        </w:rPr>
        <w:t>American psychologist</w:t>
      </w:r>
      <w:r w:rsidR="00B77A11">
        <w:rPr>
          <w:rFonts w:ascii="Helvetica" w:eastAsia="Helvetica" w:hAnsi="Helvetica" w:cs="Helvetica"/>
        </w:rPr>
        <w:t>, vol. 41, no. 10, pp. 1040</w:t>
      </w:r>
      <w:r w:rsidR="00B77A11" w:rsidRPr="00110D9E">
        <w:rPr>
          <w:lang w:val="en-GB"/>
        </w:rPr>
        <w:t>–</w:t>
      </w:r>
      <w:r w:rsidRPr="00D04F2F">
        <w:rPr>
          <w:rFonts w:ascii="Helvetica" w:eastAsia="Helvetica" w:hAnsi="Helvetica" w:cs="Helvetica"/>
        </w:rPr>
        <w:t>1048.</w:t>
      </w:r>
    </w:p>
    <w:p w14:paraId="7EAC9AD5" w14:textId="104E0DFA" w:rsidR="00183027" w:rsidRDefault="00183027" w:rsidP="007A3700">
      <w:pPr>
        <w:spacing w:line="260" w:lineRule="auto"/>
        <w:ind w:left="426" w:hanging="426"/>
        <w:rPr>
          <w:rFonts w:ascii="Helvetica" w:eastAsia="Helvetica" w:hAnsi="Helvetica" w:cs="Helvetica"/>
          <w:shd w:val="clear" w:color="auto" w:fill="FFFFFF"/>
        </w:rPr>
      </w:pPr>
      <w:r w:rsidRPr="0030281E">
        <w:t>Edwards, P.</w:t>
      </w:r>
      <w:r>
        <w:t>, Roberts, I., Clarke, M., Di Giuseppi, C., Wentz, R., Kwan, I., Cooper, R., Felix, L. &amp; Pratap, S.</w:t>
      </w:r>
      <w:r w:rsidRPr="0030281E">
        <w:t xml:space="preserve"> 2009</w:t>
      </w:r>
      <w:r>
        <w:t>,</w:t>
      </w:r>
      <w:r w:rsidRPr="0030281E">
        <w:t xml:space="preserve"> </w:t>
      </w:r>
      <w:r>
        <w:t>‘</w:t>
      </w:r>
      <w:r w:rsidRPr="0030281E">
        <w:t>Methods to increase response to postal and electronic questionnaires</w:t>
      </w:r>
      <w:r>
        <w:t xml:space="preserve">’, </w:t>
      </w:r>
      <w:r w:rsidRPr="00D04F2F">
        <w:rPr>
          <w:rFonts w:ascii="Helvetica" w:eastAsia="Helvetica" w:hAnsi="Helvetica" w:cs="Helvetica"/>
          <w:i/>
        </w:rPr>
        <w:t>Cochrane Database of Systematic Reviews</w:t>
      </w:r>
      <w:r w:rsidRPr="00D04F2F">
        <w:rPr>
          <w:rFonts w:ascii="Helvetica" w:eastAsia="Helvetica" w:hAnsi="Helvetica" w:cs="Helvetica"/>
        </w:rPr>
        <w:t xml:space="preserve">, no. </w:t>
      </w:r>
      <w:r>
        <w:rPr>
          <w:rFonts w:ascii="Helvetica" w:eastAsia="Helvetica" w:hAnsi="Helvetica" w:cs="Helvetica"/>
        </w:rPr>
        <w:t>3</w:t>
      </w:r>
      <w:r w:rsidRPr="00D04F2F">
        <w:rPr>
          <w:rFonts w:ascii="Helvetica" w:eastAsia="Helvetica" w:hAnsi="Helvetica" w:cs="Helvetica"/>
        </w:rPr>
        <w:t xml:space="preserve">, art. no. </w:t>
      </w:r>
      <w:r w:rsidRPr="00183027">
        <w:rPr>
          <w:rFonts w:ascii="Helvetica" w:eastAsia="Helvetica" w:hAnsi="Helvetica" w:cs="Helvetica"/>
        </w:rPr>
        <w:t>MR000008</w:t>
      </w:r>
      <w:r w:rsidRPr="00D04F2F">
        <w:rPr>
          <w:rFonts w:ascii="Helvetica" w:eastAsia="Helvetica" w:hAnsi="Helvetica" w:cs="Helvetica"/>
        </w:rPr>
        <w:t>.</w:t>
      </w:r>
    </w:p>
    <w:p w14:paraId="05A2B748" w14:textId="5E1BCAF4"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Feldman, S. 1983, </w:t>
      </w:r>
      <w:r w:rsidR="004A42B2">
        <w:rPr>
          <w:rFonts w:ascii="Helvetica" w:eastAsia="Helvetica" w:hAnsi="Helvetica" w:cs="Helvetica"/>
          <w:i/>
        </w:rPr>
        <w:t>Battered women: P</w:t>
      </w:r>
      <w:r w:rsidRPr="00D04F2F">
        <w:rPr>
          <w:rFonts w:ascii="Helvetica" w:eastAsia="Helvetica" w:hAnsi="Helvetica" w:cs="Helvetica"/>
          <w:i/>
        </w:rPr>
        <w:t>sychological correlates of the victimisation process</w:t>
      </w:r>
      <w:r w:rsidRPr="00D04F2F">
        <w:rPr>
          <w:rFonts w:ascii="Helvetica" w:eastAsia="Helvetica" w:hAnsi="Helvetica" w:cs="Helvetica"/>
        </w:rPr>
        <w:t>, electronic thesis/dissertation, Ohio State University, p. 188, Table</w:t>
      </w:r>
      <w:r w:rsidR="004A42B2">
        <w:rPr>
          <w:rFonts w:ascii="Helvetica" w:eastAsia="Helvetica" w:hAnsi="Helvetica" w:cs="Helvetica"/>
        </w:rPr>
        <w:t>s</w:t>
      </w:r>
      <w:r w:rsidRPr="00D04F2F">
        <w:rPr>
          <w:rFonts w:ascii="Helvetica" w:eastAsia="Helvetica" w:hAnsi="Helvetica" w:cs="Helvetica"/>
        </w:rPr>
        <w:t xml:space="preserve"> 22 &amp; 26.</w:t>
      </w:r>
    </w:p>
    <w:p w14:paraId="4E5DFE53" w14:textId="04EEFE2A"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Gardner, J. &amp; Nilsson, D. 2017, </w:t>
      </w:r>
      <w:r w:rsidRPr="00D04F2F">
        <w:rPr>
          <w:rFonts w:ascii="Helvetica" w:eastAsia="Helvetica" w:hAnsi="Helvetica" w:cs="Helvetica"/>
          <w:i/>
        </w:rPr>
        <w:t xml:space="preserve">Exploring the drivers and barriers of consumer engagement in the Victorian retail energy market, </w:t>
      </w:r>
      <w:r w:rsidRPr="00D04F2F">
        <w:rPr>
          <w:rFonts w:ascii="Helvetica" w:eastAsia="Helvetica" w:hAnsi="Helvetica" w:cs="Helvetica"/>
        </w:rPr>
        <w:t xml:space="preserve">report for </w:t>
      </w:r>
      <w:r w:rsidR="004A42B2">
        <w:rPr>
          <w:rFonts w:ascii="Helvetica" w:eastAsia="Helvetica" w:hAnsi="Helvetica" w:cs="Helvetica"/>
        </w:rPr>
        <w:t xml:space="preserve">the </w:t>
      </w:r>
      <w:r w:rsidRPr="00D04F2F">
        <w:rPr>
          <w:rFonts w:ascii="Helvetica" w:eastAsia="Helvetica" w:hAnsi="Helvetica" w:cs="Helvetica"/>
        </w:rPr>
        <w:t>Department of Environment, Land, Water and Planning, CSIRO, Australia.</w:t>
      </w:r>
    </w:p>
    <w:p w14:paraId="06F2A6B3" w14:textId="4BCA214E"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Gerrans, P. 2012, ‘Retirement savings investment choices in response to the global financial crisis: Australian evidence’, </w:t>
      </w:r>
      <w:r w:rsidRPr="00D04F2F">
        <w:rPr>
          <w:rFonts w:ascii="Helvetica" w:eastAsia="Helvetica" w:hAnsi="Helvetica" w:cs="Helvetica"/>
          <w:i/>
        </w:rPr>
        <w:t>Australian Journal of Management</w:t>
      </w:r>
      <w:r w:rsidRPr="00D04F2F">
        <w:rPr>
          <w:rFonts w:ascii="Helvetica" w:eastAsia="Helvetica" w:hAnsi="Helvetica" w:cs="Helvetica"/>
        </w:rPr>
        <w:t>, vol. 37, no. 3, pp. 415</w:t>
      </w:r>
      <w:r w:rsidR="00B77A11" w:rsidRPr="00110D9E">
        <w:rPr>
          <w:lang w:val="en-GB"/>
        </w:rPr>
        <w:t>–</w:t>
      </w:r>
      <w:r w:rsidR="00B77A11">
        <w:rPr>
          <w:lang w:val="en-GB"/>
        </w:rPr>
        <w:t>4</w:t>
      </w:r>
      <w:r w:rsidRPr="00D04F2F">
        <w:rPr>
          <w:rFonts w:ascii="Helvetica" w:eastAsia="Helvetica" w:hAnsi="Helvetica" w:cs="Helvetica"/>
        </w:rPr>
        <w:t>39.</w:t>
      </w:r>
    </w:p>
    <w:p w14:paraId="25F1CDC3" w14:textId="5CC30518"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Gigerenzer, G., Todd,</w:t>
      </w:r>
      <w:r w:rsidR="00FC1C8B">
        <w:rPr>
          <w:rFonts w:ascii="Helvetica" w:eastAsia="Helvetica" w:hAnsi="Helvetica" w:cs="Helvetica"/>
        </w:rPr>
        <w:t xml:space="preserve"> P. &amp; ABC Research Group 1999, </w:t>
      </w:r>
      <w:r w:rsidRPr="00FC1C8B">
        <w:rPr>
          <w:rFonts w:ascii="Helvetica" w:eastAsia="Helvetica" w:hAnsi="Helvetica" w:cs="Helvetica"/>
          <w:i/>
        </w:rPr>
        <w:t>Simple heuristics that make us smart</w:t>
      </w:r>
      <w:r w:rsidRPr="00D04F2F">
        <w:rPr>
          <w:rFonts w:ascii="Helvetica" w:eastAsia="Helvetica" w:hAnsi="Helvetica" w:cs="Helvetica"/>
        </w:rPr>
        <w:t>, Oxford University Press, New York.</w:t>
      </w:r>
    </w:p>
    <w:p w14:paraId="78739C84" w14:textId="0364B3E0" w:rsidR="00035E8E" w:rsidRDefault="00035E8E" w:rsidP="007A3700">
      <w:pPr>
        <w:spacing w:line="260" w:lineRule="auto"/>
        <w:ind w:left="426" w:hanging="426"/>
      </w:pPr>
      <w:r>
        <w:t xml:space="preserve">Gollwitzer, P. 1999, ‘Implementation intentions: Strong effects of simple plans’, </w:t>
      </w:r>
      <w:r w:rsidRPr="00035E8E">
        <w:rPr>
          <w:i/>
        </w:rPr>
        <w:t>American Psychologist</w:t>
      </w:r>
      <w:r>
        <w:t>, vol. 54, pp. 493</w:t>
      </w:r>
      <w:r w:rsidR="00B77A11" w:rsidRPr="00110D9E">
        <w:rPr>
          <w:lang w:val="en-GB"/>
        </w:rPr>
        <w:t>–</w:t>
      </w:r>
      <w:r>
        <w:t>503.</w:t>
      </w:r>
    </w:p>
    <w:p w14:paraId="159CEF4C" w14:textId="75FD20ED" w:rsidR="00035E8E" w:rsidRPr="00D04F2F" w:rsidRDefault="00035E8E"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Gollwitzer, P., Sheeran, P., Michalski, V. &amp; Seifert, A. 2009, ‘When Intentions Go Public’, </w:t>
      </w:r>
      <w:r w:rsidRPr="00D04F2F">
        <w:rPr>
          <w:rFonts w:ascii="Helvetica" w:eastAsia="Helvetica" w:hAnsi="Helvetica" w:cs="Helvetica"/>
          <w:i/>
        </w:rPr>
        <w:t>Psychological Science</w:t>
      </w:r>
      <w:r w:rsidR="00B77A11">
        <w:rPr>
          <w:rFonts w:ascii="Helvetica" w:eastAsia="Helvetica" w:hAnsi="Helvetica" w:cs="Helvetica"/>
        </w:rPr>
        <w:t>, vol. 20, no. 5, pp. 612</w:t>
      </w:r>
      <w:r w:rsidR="00B77A11" w:rsidRPr="00110D9E">
        <w:rPr>
          <w:lang w:val="en-GB"/>
        </w:rPr>
        <w:t>–</w:t>
      </w:r>
      <w:r w:rsidRPr="00D04F2F">
        <w:rPr>
          <w:rFonts w:ascii="Helvetica" w:eastAsia="Helvetica" w:hAnsi="Helvetica" w:cs="Helvetica"/>
        </w:rPr>
        <w:t>618.</w:t>
      </w:r>
    </w:p>
    <w:p w14:paraId="771568FF" w14:textId="2414B542" w:rsidR="00251049" w:rsidRDefault="00D048B7" w:rsidP="007A3700">
      <w:pPr>
        <w:spacing w:line="260" w:lineRule="auto"/>
        <w:ind w:left="426" w:hanging="426"/>
        <w:rPr>
          <w:rFonts w:ascii="Helvetica" w:eastAsia="Helvetica" w:hAnsi="Helvetica" w:cs="Helvetica"/>
        </w:rPr>
      </w:pPr>
      <w:r>
        <w:rPr>
          <w:rFonts w:ascii="Helvetica" w:eastAsia="Helvetica" w:hAnsi="Helvetica" w:cs="Helvetica"/>
        </w:rPr>
        <w:t>H</w:t>
      </w:r>
      <w:r w:rsidR="00251049" w:rsidRPr="00D04F2F">
        <w:rPr>
          <w:rFonts w:ascii="Helvetica" w:eastAsia="Helvetica" w:hAnsi="Helvetica" w:cs="Helvetica"/>
        </w:rPr>
        <w:t>allsworth, M., Chadborn, T., Sallis, A., Sanders, M., Berry, D., Greaves, F., Clements, L. &amp; Davies, S. 2016, ‘Provision of social norm feedback to high prescribers of antibiotics in general practices:</w:t>
      </w:r>
      <w:r w:rsidR="00B77A11">
        <w:rPr>
          <w:rFonts w:ascii="Helvetica" w:eastAsia="Helvetica" w:hAnsi="Helvetica" w:cs="Helvetica"/>
        </w:rPr>
        <w:t xml:space="preserve"> A</w:t>
      </w:r>
      <w:r w:rsidR="00251049" w:rsidRPr="00D04F2F">
        <w:rPr>
          <w:rFonts w:ascii="Helvetica" w:eastAsia="Helvetica" w:hAnsi="Helvetica" w:cs="Helvetica"/>
        </w:rPr>
        <w:t xml:space="preserve"> pragmatic national randomised trial’, </w:t>
      </w:r>
      <w:r w:rsidR="00251049" w:rsidRPr="00D04F2F">
        <w:rPr>
          <w:rFonts w:ascii="Helvetica" w:eastAsia="Helvetica" w:hAnsi="Helvetica" w:cs="Helvetica"/>
          <w:i/>
        </w:rPr>
        <w:t>The Lancet</w:t>
      </w:r>
      <w:r w:rsidR="00B77A11">
        <w:rPr>
          <w:rFonts w:ascii="Helvetica" w:eastAsia="Helvetica" w:hAnsi="Helvetica" w:cs="Helvetica"/>
        </w:rPr>
        <w:t>, vol. 387, no. 10029, pp. 1743</w:t>
      </w:r>
      <w:r w:rsidR="00B77A11" w:rsidRPr="00110D9E">
        <w:rPr>
          <w:lang w:val="en-GB"/>
        </w:rPr>
        <w:t>–</w:t>
      </w:r>
      <w:r w:rsidR="00251049" w:rsidRPr="00D04F2F">
        <w:rPr>
          <w:rFonts w:ascii="Helvetica" w:eastAsia="Helvetica" w:hAnsi="Helvetica" w:cs="Helvetica"/>
        </w:rPr>
        <w:t>1752.</w:t>
      </w:r>
    </w:p>
    <w:p w14:paraId="734707EE" w14:textId="75771465" w:rsidR="006E31E7" w:rsidRPr="00D04F2F" w:rsidRDefault="006E31E7" w:rsidP="007A3700">
      <w:pPr>
        <w:spacing w:line="260" w:lineRule="auto"/>
        <w:ind w:left="426" w:hanging="426"/>
        <w:rPr>
          <w:rFonts w:ascii="Helvetica" w:eastAsia="Helvetica" w:hAnsi="Helvetica" w:cs="Helvetica"/>
        </w:rPr>
      </w:pPr>
      <w:r w:rsidRPr="006E31E7">
        <w:rPr>
          <w:rFonts w:ascii="Helvetica" w:eastAsia="Helvetica" w:hAnsi="Helvetica" w:cs="Helvetica"/>
        </w:rPr>
        <w:t xml:space="preserve">Horvath, J. 2011, </w:t>
      </w:r>
      <w:r w:rsidRPr="006E31E7">
        <w:rPr>
          <w:rFonts w:ascii="Helvetica" w:eastAsia="Helvetica" w:hAnsi="Helvetica" w:cs="Helvetica"/>
          <w:i/>
        </w:rPr>
        <w:t>Review of the management of adverse events associated with Panvax and Fluvax</w:t>
      </w:r>
      <w:r w:rsidRPr="006E31E7">
        <w:rPr>
          <w:rFonts w:ascii="Helvetica" w:eastAsia="Helvetica" w:hAnsi="Helvetica" w:cs="Helvetica"/>
        </w:rPr>
        <w:t>, report for the Department of Health and Ageing, Australia, p. 33.</w:t>
      </w:r>
    </w:p>
    <w:p w14:paraId="0B69F7E0" w14:textId="3CBA4200"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Hume, S., O’Reilly, F., Groot, B., Chande, R., Sanders, M., Hollingsworth, A., Ter Meer, J., Barnes, J., Booth, S., Kozman, E. &amp; Soon, X. 2018, </w:t>
      </w:r>
      <w:r w:rsidRPr="00D04F2F">
        <w:rPr>
          <w:rFonts w:ascii="Helvetica" w:eastAsia="Helvetica" w:hAnsi="Helvetica" w:cs="Helvetica"/>
          <w:i/>
        </w:rPr>
        <w:t xml:space="preserve">Improving engagement and attainment in maths and English courses: </w:t>
      </w:r>
      <w:r w:rsidR="00AF688D">
        <w:rPr>
          <w:rFonts w:ascii="Helvetica" w:eastAsia="Helvetica" w:hAnsi="Helvetica" w:cs="Helvetica"/>
          <w:i/>
        </w:rPr>
        <w:t>I</w:t>
      </w:r>
      <w:r w:rsidRPr="00D04F2F">
        <w:rPr>
          <w:rFonts w:ascii="Helvetica" w:eastAsia="Helvetica" w:hAnsi="Helvetica" w:cs="Helvetica"/>
          <w:i/>
        </w:rPr>
        <w:t>nsights from behavioural research</w:t>
      </w:r>
      <w:r w:rsidRPr="00D04F2F">
        <w:rPr>
          <w:rFonts w:ascii="Helvetica" w:eastAsia="Helvetica" w:hAnsi="Helvetica" w:cs="Helvetica"/>
        </w:rPr>
        <w:t xml:space="preserve">, Research and project report to </w:t>
      </w:r>
      <w:r w:rsidR="00AF688D">
        <w:rPr>
          <w:rFonts w:ascii="Helvetica" w:eastAsia="Helvetica" w:hAnsi="Helvetica" w:cs="Helvetica"/>
        </w:rPr>
        <w:t xml:space="preserve">the </w:t>
      </w:r>
      <w:r w:rsidRPr="00D04F2F">
        <w:rPr>
          <w:rFonts w:ascii="Helvetica" w:eastAsia="Helvetica" w:hAnsi="Helvetica" w:cs="Helvetica"/>
        </w:rPr>
        <w:t>Department for Education, London.</w:t>
      </w:r>
    </w:p>
    <w:p w14:paraId="7B56FBF4" w14:textId="2FDF62BE"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Jacoby, J., Speller, D. &amp; Kohn, C. 1974, ‘Brand choice behavior as a function of information load’, </w:t>
      </w:r>
      <w:r w:rsidRPr="00D04F2F">
        <w:rPr>
          <w:rFonts w:ascii="Helvetica" w:eastAsia="Helvetica" w:hAnsi="Helvetica" w:cs="Helvetica"/>
          <w:i/>
        </w:rPr>
        <w:t>Journal of Marketing Research,</w:t>
      </w:r>
      <w:r w:rsidR="00B77A11">
        <w:rPr>
          <w:rFonts w:ascii="Helvetica" w:eastAsia="Helvetica" w:hAnsi="Helvetica" w:cs="Helvetica"/>
        </w:rPr>
        <w:t xml:space="preserve"> vol. 11, pp. 6</w:t>
      </w:r>
      <w:r w:rsidR="00B77A11" w:rsidRPr="00110D9E">
        <w:rPr>
          <w:lang w:val="en-GB"/>
        </w:rPr>
        <w:t>–</w:t>
      </w:r>
      <w:r w:rsidRPr="00D04F2F">
        <w:rPr>
          <w:rFonts w:ascii="Helvetica" w:eastAsia="Helvetica" w:hAnsi="Helvetica" w:cs="Helvetica"/>
        </w:rPr>
        <w:t>-69.</w:t>
      </w:r>
    </w:p>
    <w:p w14:paraId="530CA697" w14:textId="39326F6F"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Janz, N. &amp; Becker, M. 1984, ‘The Health Belief Model: a decade later’, </w:t>
      </w:r>
      <w:r w:rsidRPr="00D04F2F">
        <w:rPr>
          <w:rFonts w:ascii="Helvetica" w:eastAsia="Helvetica" w:hAnsi="Helvetica" w:cs="Helvetica"/>
          <w:i/>
        </w:rPr>
        <w:t>Health Education &amp; Behaviour,</w:t>
      </w:r>
      <w:r w:rsidR="00B77A11">
        <w:rPr>
          <w:rFonts w:ascii="Helvetica" w:eastAsia="Helvetica" w:hAnsi="Helvetica" w:cs="Helvetica"/>
        </w:rPr>
        <w:t xml:space="preserve"> vol. 11, no. 1, pp. 1</w:t>
      </w:r>
      <w:r w:rsidR="00B77A11" w:rsidRPr="00110D9E">
        <w:rPr>
          <w:lang w:val="en-GB"/>
        </w:rPr>
        <w:t>–</w:t>
      </w:r>
      <w:r w:rsidRPr="00D04F2F">
        <w:rPr>
          <w:rFonts w:ascii="Helvetica" w:eastAsia="Helvetica" w:hAnsi="Helvetica" w:cs="Helvetica"/>
        </w:rPr>
        <w:t>47.</w:t>
      </w:r>
    </w:p>
    <w:p w14:paraId="5913E7D4" w14:textId="67CFFED4" w:rsidR="00F9517C" w:rsidRDefault="00F9517C" w:rsidP="007A3700">
      <w:pPr>
        <w:spacing w:line="260" w:lineRule="auto"/>
        <w:ind w:left="426" w:hanging="426"/>
        <w:rPr>
          <w:rFonts w:ascii="Helvetica" w:eastAsia="Helvetica" w:hAnsi="Helvetica" w:cs="Helvetica"/>
        </w:rPr>
      </w:pPr>
      <w:r w:rsidRPr="00F9517C">
        <w:rPr>
          <w:rFonts w:ascii="Helvetica" w:eastAsia="Helvetica" w:hAnsi="Helvetica" w:cs="Helvetica"/>
        </w:rPr>
        <w:t>John, P., Sanders, M. &amp; Wang, J. 2014, ‘The use of descriptive n</w:t>
      </w:r>
      <w:r w:rsidR="00B77A11">
        <w:rPr>
          <w:rFonts w:ascii="Helvetica" w:eastAsia="Helvetica" w:hAnsi="Helvetica" w:cs="Helvetica"/>
        </w:rPr>
        <w:t>orms in public administration: A</w:t>
      </w:r>
      <w:r w:rsidRPr="00F9517C">
        <w:rPr>
          <w:rFonts w:ascii="Helvetica" w:eastAsia="Helvetica" w:hAnsi="Helvetica" w:cs="Helvetica"/>
        </w:rPr>
        <w:t xml:space="preserve"> panacea for improving citizen behaviours?’, </w:t>
      </w:r>
      <w:r w:rsidRPr="00F9517C">
        <w:rPr>
          <w:rFonts w:ascii="Helvetica" w:eastAsia="Helvetica" w:hAnsi="Helvetica" w:cs="Helvetica"/>
          <w:i/>
        </w:rPr>
        <w:t>Social Science Research Network</w:t>
      </w:r>
      <w:r w:rsidRPr="00F9517C">
        <w:rPr>
          <w:rFonts w:ascii="Helvetica" w:eastAsia="Helvetica" w:hAnsi="Helvetica" w:cs="Helvetica"/>
        </w:rPr>
        <w:t xml:space="preserve">, viewed 18 April 2018, </w:t>
      </w:r>
      <w:hyperlink r:id="rId149" w:history="1">
        <w:r w:rsidRPr="00F9517C">
          <w:rPr>
            <w:rStyle w:val="Hyperlink"/>
            <w:rFonts w:ascii="Helvetica" w:eastAsia="Helvetica" w:hAnsi="Helvetica" w:cs="Helvetica"/>
            <w:color w:val="3F3F3F" w:themeColor="text1"/>
            <w:u w:val="single"/>
          </w:rPr>
          <w:t>http://ssrn.com/abstract=2514536</w:t>
        </w:r>
      </w:hyperlink>
    </w:p>
    <w:p w14:paraId="275FDEE0" w14:textId="204D0238"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lastRenderedPageBreak/>
        <w:t xml:space="preserve">Kahneman, D. 2003, ‘A psychological perspective on economics’, </w:t>
      </w:r>
      <w:r w:rsidRPr="00D04F2F">
        <w:rPr>
          <w:rFonts w:ascii="Helvetica" w:eastAsia="Helvetica" w:hAnsi="Helvetica" w:cs="Helvetica"/>
          <w:i/>
        </w:rPr>
        <w:t>American Economic Review</w:t>
      </w:r>
      <w:r w:rsidR="00B77A11">
        <w:rPr>
          <w:rFonts w:ascii="Helvetica" w:eastAsia="Helvetica" w:hAnsi="Helvetica" w:cs="Helvetica"/>
        </w:rPr>
        <w:t>, vol. 93, no. 2, pp. 162</w:t>
      </w:r>
      <w:r w:rsidR="00B77A11" w:rsidRPr="00110D9E">
        <w:rPr>
          <w:lang w:val="en-GB"/>
        </w:rPr>
        <w:t>–</w:t>
      </w:r>
      <w:r w:rsidRPr="00D04F2F">
        <w:rPr>
          <w:rFonts w:ascii="Helvetica" w:eastAsia="Helvetica" w:hAnsi="Helvetica" w:cs="Helvetica"/>
        </w:rPr>
        <w:t>168.</w:t>
      </w:r>
    </w:p>
    <w:p w14:paraId="0F625C39" w14:textId="77777777" w:rsidR="007206BA" w:rsidRPr="007206BA" w:rsidRDefault="007206BA" w:rsidP="007206BA">
      <w:pPr>
        <w:spacing w:line="260" w:lineRule="auto"/>
        <w:ind w:left="426" w:hanging="426"/>
        <w:rPr>
          <w:rFonts w:ascii="Helvetica" w:eastAsia="Helvetica" w:hAnsi="Helvetica" w:cs="Helvetica"/>
        </w:rPr>
      </w:pPr>
      <w:r w:rsidRPr="007206BA">
        <w:rPr>
          <w:rFonts w:ascii="Helvetica" w:eastAsia="Helvetica" w:hAnsi="Helvetica" w:cs="Helvetica"/>
        </w:rPr>
        <w:t xml:space="preserve">Kahneman, D. 2011, </w:t>
      </w:r>
      <w:r w:rsidRPr="007206BA">
        <w:rPr>
          <w:rFonts w:ascii="Helvetica" w:eastAsia="Helvetica" w:hAnsi="Helvetica" w:cs="Helvetica"/>
          <w:i/>
        </w:rPr>
        <w:t>Thinking, Fast and Slow</w:t>
      </w:r>
      <w:r w:rsidRPr="007206BA">
        <w:rPr>
          <w:rFonts w:ascii="Helvetica" w:eastAsia="Helvetica" w:hAnsi="Helvetica" w:cs="Helvetica"/>
        </w:rPr>
        <w:t>, Farrar, Straus and Giroux, New York .pp. 283–286.</w:t>
      </w:r>
    </w:p>
    <w:p w14:paraId="715F21D5" w14:textId="4B78A0E4" w:rsidR="00F5472B" w:rsidRDefault="007206BA" w:rsidP="007206BA">
      <w:pPr>
        <w:ind w:left="426" w:hanging="426"/>
      </w:pPr>
      <w:r>
        <w:t xml:space="preserve"> </w:t>
      </w:r>
      <w:r w:rsidR="00F5472B">
        <w:t xml:space="preserve">Kahneman, D., Knetsch, J. &amp; Thaler, R. 1991, ‘Anomalies: The endowment effect, loss aversion, and status quo bias’, </w:t>
      </w:r>
      <w:r w:rsidR="00F5472B">
        <w:rPr>
          <w:i/>
          <w:iCs/>
        </w:rPr>
        <w:t>Journal of Economic Perspectives</w:t>
      </w:r>
      <w:r w:rsidR="00F5472B">
        <w:t xml:space="preserve">, vol. </w:t>
      </w:r>
      <w:r w:rsidR="00F5472B" w:rsidRPr="00F5472B">
        <w:rPr>
          <w:iCs/>
        </w:rPr>
        <w:t>5</w:t>
      </w:r>
      <w:r w:rsidR="00F5472B">
        <w:rPr>
          <w:iCs/>
        </w:rPr>
        <w:t xml:space="preserve">, no. </w:t>
      </w:r>
      <w:r w:rsidR="00F5472B">
        <w:t>1, pp. 193</w:t>
      </w:r>
      <w:r w:rsidR="00B77A11" w:rsidRPr="00110D9E">
        <w:rPr>
          <w:lang w:val="en-GB"/>
        </w:rPr>
        <w:t>–</w:t>
      </w:r>
      <w:r w:rsidR="00F5472B">
        <w:t>206.</w:t>
      </w:r>
    </w:p>
    <w:p w14:paraId="23F6000F" w14:textId="5F1E8E1A" w:rsidR="00251049" w:rsidRPr="00D04F2F" w:rsidRDefault="00251049" w:rsidP="007A3700">
      <w:pPr>
        <w:spacing w:line="260" w:lineRule="auto"/>
        <w:ind w:left="426" w:hanging="426"/>
        <w:rPr>
          <w:rFonts w:ascii="Helvetica" w:eastAsia="Helvetica" w:hAnsi="Helvetica" w:cs="Helvetica"/>
          <w:shd w:val="clear" w:color="auto" w:fill="FFFFFF"/>
        </w:rPr>
      </w:pPr>
      <w:r w:rsidRPr="00D04F2F">
        <w:rPr>
          <w:rFonts w:ascii="Helvetica" w:eastAsia="Helvetica" w:hAnsi="Helvetica" w:cs="Helvetica"/>
          <w:shd w:val="clear" w:color="auto" w:fill="FFFFFF"/>
        </w:rPr>
        <w:t xml:space="preserve">Kahneman, D. &amp; Tversky, A. 1984, ‘Choices, values, and frames’, </w:t>
      </w:r>
      <w:r w:rsidRPr="00D04F2F">
        <w:rPr>
          <w:rFonts w:ascii="Helvetica" w:eastAsia="Helvetica" w:hAnsi="Helvetica" w:cs="Helvetica"/>
          <w:i/>
          <w:shd w:val="clear" w:color="auto" w:fill="FFFFFF"/>
        </w:rPr>
        <w:t>American Psychologist</w:t>
      </w:r>
      <w:r w:rsidR="00B77A11">
        <w:rPr>
          <w:rFonts w:ascii="Helvetica" w:eastAsia="Helvetica" w:hAnsi="Helvetica" w:cs="Helvetica"/>
          <w:shd w:val="clear" w:color="auto" w:fill="FFFFFF"/>
        </w:rPr>
        <w:t>, vol. 39, no. 4, pp. 341</w:t>
      </w:r>
      <w:r w:rsidR="00B77A11" w:rsidRPr="00110D9E">
        <w:rPr>
          <w:lang w:val="en-GB"/>
        </w:rPr>
        <w:t>–</w:t>
      </w:r>
      <w:r w:rsidRPr="00D04F2F">
        <w:rPr>
          <w:rFonts w:ascii="Helvetica" w:eastAsia="Helvetica" w:hAnsi="Helvetica" w:cs="Helvetica"/>
          <w:shd w:val="clear" w:color="auto" w:fill="FFFFFF"/>
        </w:rPr>
        <w:t>350.</w:t>
      </w:r>
    </w:p>
    <w:p w14:paraId="2F6CFA45" w14:textId="4C46A999"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Kaufmann, C., Weber, M. &amp; Haisley, E. 2013, ‘The role of experience sampling and graphical displays on one’s investment risk appetite’, </w:t>
      </w:r>
      <w:r w:rsidRPr="00D04F2F">
        <w:rPr>
          <w:rFonts w:ascii="Helvetica" w:eastAsia="Helvetica" w:hAnsi="Helvetica" w:cs="Helvetica"/>
          <w:i/>
        </w:rPr>
        <w:t>Management Science</w:t>
      </w:r>
      <w:r w:rsidRPr="00D04F2F">
        <w:rPr>
          <w:rFonts w:ascii="Helvetica" w:eastAsia="Helvetica" w:hAnsi="Helvetica" w:cs="Helvetica"/>
        </w:rPr>
        <w:t>, vol. 59, no. 2, pp. 323</w:t>
      </w:r>
      <w:r w:rsidR="00B77A11" w:rsidRPr="00110D9E">
        <w:rPr>
          <w:lang w:val="en-GB"/>
        </w:rPr>
        <w:t>–</w:t>
      </w:r>
      <w:r w:rsidRPr="00D04F2F">
        <w:rPr>
          <w:rFonts w:ascii="Helvetica" w:eastAsia="Helvetica" w:hAnsi="Helvetica" w:cs="Helvetica"/>
        </w:rPr>
        <w:t>40.</w:t>
      </w:r>
    </w:p>
    <w:p w14:paraId="55064EDB" w14:textId="77777777" w:rsidR="00495C85" w:rsidRPr="00D04F2F" w:rsidRDefault="00495C85" w:rsidP="007A3700">
      <w:pPr>
        <w:spacing w:line="260" w:lineRule="auto"/>
        <w:ind w:left="426" w:hanging="426"/>
        <w:rPr>
          <w:rFonts w:ascii="Helvetica" w:eastAsia="Helvetica" w:hAnsi="Helvetica" w:cs="Helvetica"/>
        </w:rPr>
      </w:pPr>
      <w:r w:rsidRPr="00495C85">
        <w:rPr>
          <w:rFonts w:ascii="Helvetica" w:eastAsia="Helvetica" w:hAnsi="Helvetica" w:cs="Helvetica"/>
        </w:rPr>
        <w:t xml:space="preserve">Kim, J. &amp; Gray, K. A. 2008, Leave or Stay? Battered Women’s Decision After Intimate Partner Violence, </w:t>
      </w:r>
      <w:r w:rsidRPr="00495C85">
        <w:rPr>
          <w:rFonts w:ascii="Helvetica" w:eastAsia="Helvetica" w:hAnsi="Helvetica" w:cs="Helvetica"/>
          <w:i/>
        </w:rPr>
        <w:t>Journal of Interpersonal Violence</w:t>
      </w:r>
      <w:r w:rsidRPr="00495C85">
        <w:rPr>
          <w:rFonts w:ascii="Helvetica" w:eastAsia="Helvetica" w:hAnsi="Helvetica" w:cs="Helvetica"/>
        </w:rPr>
        <w:t>, vol. 23, no. 10, pp. 1465–1482</w:t>
      </w:r>
      <w:r>
        <w:rPr>
          <w:rFonts w:ascii="Helvetica" w:eastAsia="Helvetica" w:hAnsi="Helvetica" w:cs="Helvetica"/>
        </w:rPr>
        <w:t>.</w:t>
      </w:r>
    </w:p>
    <w:p w14:paraId="79A4D619" w14:textId="6E0C1328" w:rsidR="00251049" w:rsidRPr="00D04F2F" w:rsidRDefault="00495C85"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 </w:t>
      </w:r>
      <w:r w:rsidR="00251049" w:rsidRPr="00D04F2F">
        <w:rPr>
          <w:rFonts w:ascii="Helvetica" w:eastAsia="Helvetica" w:hAnsi="Helvetica" w:cs="Helvetica"/>
        </w:rPr>
        <w:t xml:space="preserve">McCullough, A., Pollack, A., Hansen, M., Glasziou, P., Looke, D., Britt, H. &amp; Del Mar, C. 2017, ‘Antibiotics for acute respiratory infections in general practice: </w:t>
      </w:r>
      <w:r w:rsidR="00B77A11">
        <w:rPr>
          <w:rFonts w:ascii="Helvetica" w:eastAsia="Helvetica" w:hAnsi="Helvetica" w:cs="Helvetica"/>
        </w:rPr>
        <w:t>C</w:t>
      </w:r>
      <w:r w:rsidR="00251049" w:rsidRPr="00D04F2F">
        <w:rPr>
          <w:rFonts w:ascii="Helvetica" w:eastAsia="Helvetica" w:hAnsi="Helvetica" w:cs="Helvetica"/>
        </w:rPr>
        <w:t xml:space="preserve">omparison of prescribing rates with guideline recommendations’, </w:t>
      </w:r>
      <w:r w:rsidR="00251049" w:rsidRPr="00D04F2F">
        <w:rPr>
          <w:rFonts w:ascii="Helvetica" w:eastAsia="Helvetica" w:hAnsi="Helvetica" w:cs="Helvetica"/>
          <w:i/>
        </w:rPr>
        <w:t>The Medical Journal of Australia,</w:t>
      </w:r>
      <w:r w:rsidR="00B77A11">
        <w:rPr>
          <w:rFonts w:ascii="Helvetica" w:eastAsia="Helvetica" w:hAnsi="Helvetica" w:cs="Helvetica"/>
        </w:rPr>
        <w:t xml:space="preserve"> vol. 207, no. 2, pp. 65</w:t>
      </w:r>
      <w:r w:rsidR="00B77A11" w:rsidRPr="00110D9E">
        <w:rPr>
          <w:lang w:val="en-GB"/>
        </w:rPr>
        <w:t>–</w:t>
      </w:r>
      <w:r w:rsidR="00251049" w:rsidRPr="00D04F2F">
        <w:rPr>
          <w:rFonts w:ascii="Helvetica" w:eastAsia="Helvetica" w:hAnsi="Helvetica" w:cs="Helvetica"/>
        </w:rPr>
        <w:t xml:space="preserve">69. </w:t>
      </w:r>
    </w:p>
    <w:p w14:paraId="470B052E" w14:textId="7EEA28CD" w:rsidR="00CC4C2F" w:rsidRDefault="00CC4C2F" w:rsidP="007A3700">
      <w:pPr>
        <w:spacing w:line="260" w:lineRule="auto"/>
        <w:ind w:left="426" w:hanging="426"/>
        <w:rPr>
          <w:rFonts w:ascii="Helvetica" w:eastAsia="Helvetica" w:hAnsi="Helvetica" w:cs="Helvetica"/>
        </w:rPr>
      </w:pPr>
      <w:r w:rsidRPr="00CC4C2F">
        <w:rPr>
          <w:rFonts w:ascii="Helvetica" w:eastAsia="Helvetica" w:hAnsi="Helvetica" w:cs="Helvetica"/>
        </w:rPr>
        <w:t xml:space="preserve">Michie, S. &amp; Lester, K. 2005, ‘Words matter: increasing the implementation of clinical guidelines’, </w:t>
      </w:r>
      <w:r w:rsidRPr="00CC4C2F">
        <w:rPr>
          <w:rFonts w:ascii="Helvetica" w:eastAsia="Helvetica" w:hAnsi="Helvetica" w:cs="Helvetica"/>
          <w:i/>
        </w:rPr>
        <w:t>Quality and Safety in Health Care</w:t>
      </w:r>
      <w:r w:rsidR="00B77A11">
        <w:rPr>
          <w:rFonts w:ascii="Helvetica" w:eastAsia="Helvetica" w:hAnsi="Helvetica" w:cs="Helvetica"/>
        </w:rPr>
        <w:t>, vol. 14, no. 5, pp. 367</w:t>
      </w:r>
      <w:r w:rsidR="00B77A11" w:rsidRPr="00110D9E">
        <w:rPr>
          <w:lang w:val="en-GB"/>
        </w:rPr>
        <w:t>–</w:t>
      </w:r>
      <w:r w:rsidRPr="00CC4C2F">
        <w:rPr>
          <w:rFonts w:ascii="Helvetica" w:eastAsia="Helvetica" w:hAnsi="Helvetica" w:cs="Helvetica"/>
        </w:rPr>
        <w:t>370</w:t>
      </w:r>
      <w:r>
        <w:rPr>
          <w:rFonts w:ascii="Helvetica" w:eastAsia="Helvetica" w:hAnsi="Helvetica" w:cs="Helvetica"/>
        </w:rPr>
        <w:t>.</w:t>
      </w:r>
    </w:p>
    <w:p w14:paraId="43B6865A" w14:textId="3772A6D3"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Milkman, K., Beshears, J., Choi, J., Laibson, D. &amp; Madrian, B. 2011, ‘Using implementation intentions prompts to enhance influenza vaccination rates’, </w:t>
      </w:r>
      <w:r w:rsidRPr="00D04F2F">
        <w:rPr>
          <w:rFonts w:ascii="Helvetica" w:eastAsia="Helvetica" w:hAnsi="Helvetica" w:cs="Helvetica"/>
          <w:i/>
        </w:rPr>
        <w:t>Proceedings of the National Academy of Sciences</w:t>
      </w:r>
      <w:r w:rsidR="00B77A11">
        <w:rPr>
          <w:rFonts w:ascii="Helvetica" w:eastAsia="Helvetica" w:hAnsi="Helvetica" w:cs="Helvetica"/>
        </w:rPr>
        <w:t>, vol. 108, no. 26, pp. 10415</w:t>
      </w:r>
      <w:r w:rsidR="00B77A11" w:rsidRPr="00110D9E">
        <w:rPr>
          <w:lang w:val="en-GB"/>
        </w:rPr>
        <w:t>–</w:t>
      </w:r>
      <w:r w:rsidRPr="00D04F2F">
        <w:rPr>
          <w:rFonts w:ascii="Helvetica" w:eastAsia="Helvetica" w:hAnsi="Helvetica" w:cs="Helvetica"/>
        </w:rPr>
        <w:t>10420.</w:t>
      </w:r>
    </w:p>
    <w:p w14:paraId="4C4CFB8B"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Mullainathan, S. &amp; Shafir, E. 2013, </w:t>
      </w:r>
      <w:r w:rsidRPr="00D04F2F">
        <w:rPr>
          <w:rFonts w:ascii="Helvetica" w:eastAsia="Helvetica" w:hAnsi="Helvetica" w:cs="Helvetica"/>
          <w:i/>
        </w:rPr>
        <w:t>Scarcity: Why Having Too Little Means So Much</w:t>
      </w:r>
      <w:r w:rsidRPr="00D04F2F">
        <w:rPr>
          <w:rFonts w:ascii="Helvetica" w:eastAsia="Helvetica" w:hAnsi="Helvetica" w:cs="Helvetica"/>
        </w:rPr>
        <w:t>, Time Books, New York.</w:t>
      </w:r>
    </w:p>
    <w:p w14:paraId="405ADCF6" w14:textId="10414134"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Nickerson</w:t>
      </w:r>
      <w:r w:rsidR="004A42B2">
        <w:rPr>
          <w:rFonts w:ascii="Helvetica" w:eastAsia="Helvetica" w:hAnsi="Helvetica" w:cs="Helvetica"/>
        </w:rPr>
        <w:t>, R. 1998, ‘Confirmation bias: A</w:t>
      </w:r>
      <w:r w:rsidRPr="00D04F2F">
        <w:rPr>
          <w:rFonts w:ascii="Helvetica" w:eastAsia="Helvetica" w:hAnsi="Helvetica" w:cs="Helvetica"/>
        </w:rPr>
        <w:t xml:space="preserve"> ubiquitous phenomenon in many guises’, </w:t>
      </w:r>
      <w:r w:rsidRPr="00D04F2F">
        <w:rPr>
          <w:rFonts w:ascii="Helvetica" w:eastAsia="Helvetica" w:hAnsi="Helvetica" w:cs="Helvetica"/>
          <w:i/>
        </w:rPr>
        <w:t>Review of General Psychology</w:t>
      </w:r>
      <w:r w:rsidRPr="00D04F2F">
        <w:rPr>
          <w:rFonts w:ascii="Helvetica" w:eastAsia="Helvetica" w:hAnsi="Helvetica" w:cs="Helvetica"/>
        </w:rPr>
        <w:t>, vol. 2, no. 2, pp. 175</w:t>
      </w:r>
      <w:r w:rsidR="00B77A11" w:rsidRPr="00110D9E">
        <w:rPr>
          <w:lang w:val="en-GB"/>
        </w:rPr>
        <w:t>–</w:t>
      </w:r>
      <w:r w:rsidRPr="00D04F2F">
        <w:rPr>
          <w:rFonts w:ascii="Helvetica" w:eastAsia="Helvetica" w:hAnsi="Helvetica" w:cs="Helvetica"/>
        </w:rPr>
        <w:t>220.</w:t>
      </w:r>
    </w:p>
    <w:p w14:paraId="78DB9E8F" w14:textId="36729BC5"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Nisbett, R. &amp; Wilson, T. 1977, ‘The halo effect: </w:t>
      </w:r>
      <w:r w:rsidR="004A42B2">
        <w:rPr>
          <w:rFonts w:ascii="Helvetica" w:eastAsia="Helvetica" w:hAnsi="Helvetica" w:cs="Helvetica"/>
        </w:rPr>
        <w:t>E</w:t>
      </w:r>
      <w:r w:rsidRPr="00D04F2F">
        <w:rPr>
          <w:rFonts w:ascii="Helvetica" w:eastAsia="Helvetica" w:hAnsi="Helvetica" w:cs="Helvetica"/>
        </w:rPr>
        <w:t xml:space="preserve">vidence for unconscious alteration of judgments’, </w:t>
      </w:r>
      <w:r w:rsidRPr="00D04F2F">
        <w:rPr>
          <w:rFonts w:ascii="Helvetica" w:eastAsia="Helvetica" w:hAnsi="Helvetica" w:cs="Helvetica"/>
          <w:i/>
        </w:rPr>
        <w:t>Journal of Personality and Social Psychology</w:t>
      </w:r>
      <w:r w:rsidRPr="00D04F2F">
        <w:rPr>
          <w:rFonts w:ascii="Helvetica" w:eastAsia="Helvetica" w:hAnsi="Helvetica" w:cs="Helvetica"/>
        </w:rPr>
        <w:t>, vol. 35, no. 4, pp. 25</w:t>
      </w:r>
      <w:r w:rsidR="00B77A11">
        <w:rPr>
          <w:rFonts w:ascii="Helvetica" w:eastAsia="Helvetica" w:hAnsi="Helvetica" w:cs="Helvetica"/>
        </w:rPr>
        <w:t>0</w:t>
      </w:r>
      <w:r w:rsidR="00B77A11" w:rsidRPr="00110D9E">
        <w:rPr>
          <w:lang w:val="en-GB"/>
        </w:rPr>
        <w:t>–</w:t>
      </w:r>
      <w:r w:rsidRPr="00D04F2F">
        <w:rPr>
          <w:rFonts w:ascii="Helvetica" w:eastAsia="Helvetica" w:hAnsi="Helvetica" w:cs="Helvetica"/>
        </w:rPr>
        <w:t>256.</w:t>
      </w:r>
    </w:p>
    <w:p w14:paraId="1C5EC1F2" w14:textId="006DE64E"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NSW Bureau of Crime Statistics and Research 2018, NSW Crime Mapping Tool, BoCSA, Sydney, </w:t>
      </w:r>
      <w:r w:rsidR="004A42B2">
        <w:rPr>
          <w:rFonts w:ascii="Helvetica" w:eastAsia="Helvetica" w:hAnsi="Helvetica" w:cs="Helvetica"/>
        </w:rPr>
        <w:t>accessed</w:t>
      </w:r>
      <w:r w:rsidRPr="00D04F2F">
        <w:rPr>
          <w:rFonts w:ascii="Helvetica" w:eastAsia="Helvetica" w:hAnsi="Helvetica" w:cs="Helvetica"/>
        </w:rPr>
        <w:t xml:space="preserve"> 22 March 2018, </w:t>
      </w:r>
      <w:hyperlink r:id="rId150">
        <w:r w:rsidRPr="00D04F2F">
          <w:rPr>
            <w:rFonts w:ascii="Helvetica" w:eastAsia="Helvetica" w:hAnsi="Helvetica" w:cs="Helvetica"/>
            <w:u w:val="single"/>
          </w:rPr>
          <w:t>http://crimetool.bocsar.nsw.gov.au/bocsar</w:t>
        </w:r>
      </w:hyperlink>
      <w:r w:rsidRPr="00D04F2F">
        <w:rPr>
          <w:rFonts w:ascii="Helvetica" w:eastAsia="Helvetica" w:hAnsi="Helvetica" w:cs="Helvetica"/>
        </w:rPr>
        <w:t>.</w:t>
      </w:r>
    </w:p>
    <w:p w14:paraId="7A432D43" w14:textId="7CA5A5F5"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Osbaldiston, R. &amp; Sheldon, K. 2003, ‘Promoting internalized motivation for environmentally responsible behavior: A prospective study of environmental goals’, </w:t>
      </w:r>
      <w:r w:rsidRPr="00D04F2F">
        <w:rPr>
          <w:rFonts w:ascii="Helvetica" w:eastAsia="Helvetica" w:hAnsi="Helvetica" w:cs="Helvetica"/>
          <w:i/>
        </w:rPr>
        <w:t>Journal of Environmental Psychology</w:t>
      </w:r>
      <w:r w:rsidR="00B77A11">
        <w:rPr>
          <w:rFonts w:ascii="Helvetica" w:eastAsia="Helvetica" w:hAnsi="Helvetica" w:cs="Helvetica"/>
        </w:rPr>
        <w:t>, vol. 23, no. 4, pp. 349</w:t>
      </w:r>
      <w:r w:rsidR="00B77A11" w:rsidRPr="00110D9E">
        <w:rPr>
          <w:lang w:val="en-GB"/>
        </w:rPr>
        <w:t>–</w:t>
      </w:r>
      <w:r w:rsidRPr="00D04F2F">
        <w:rPr>
          <w:rFonts w:ascii="Helvetica" w:eastAsia="Helvetica" w:hAnsi="Helvetica" w:cs="Helvetica"/>
        </w:rPr>
        <w:t>357.</w:t>
      </w:r>
    </w:p>
    <w:p w14:paraId="7E2C670F" w14:textId="30F74FBB"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Productivity Commission 2017, </w:t>
      </w:r>
      <w:r w:rsidRPr="00D04F2F">
        <w:rPr>
          <w:rFonts w:ascii="Helvetica" w:eastAsia="Helvetica" w:hAnsi="Helvetica" w:cs="Helvetica"/>
          <w:i/>
        </w:rPr>
        <w:t>Data Availability and Use</w:t>
      </w:r>
      <w:r w:rsidRPr="00D04F2F">
        <w:rPr>
          <w:rFonts w:ascii="Helvetica" w:eastAsia="Helvetica" w:hAnsi="Helvetica" w:cs="Helvetica"/>
        </w:rPr>
        <w:t>, report no. 82, pp. 159</w:t>
      </w:r>
      <w:r w:rsidR="00B77A11" w:rsidRPr="00110D9E">
        <w:rPr>
          <w:lang w:val="en-GB"/>
        </w:rPr>
        <w:t>–</w:t>
      </w:r>
      <w:r w:rsidRPr="00D04F2F">
        <w:rPr>
          <w:rFonts w:ascii="Helvetica" w:eastAsia="Helvetica" w:hAnsi="Helvetica" w:cs="Helvetica"/>
        </w:rPr>
        <w:t>164, Productivity Commission, Canberra.</w:t>
      </w:r>
    </w:p>
    <w:p w14:paraId="22F7551D" w14:textId="77777777" w:rsidR="00495C85" w:rsidRPr="00495C85" w:rsidRDefault="00495C85" w:rsidP="007A3700">
      <w:pPr>
        <w:spacing w:line="260" w:lineRule="auto"/>
        <w:ind w:left="426" w:hanging="426"/>
        <w:rPr>
          <w:rFonts w:ascii="Helvetica" w:eastAsia="Helvetica" w:hAnsi="Helvetica" w:cs="Helvetica"/>
        </w:rPr>
      </w:pPr>
      <w:r w:rsidRPr="00495C85">
        <w:rPr>
          <w:rFonts w:ascii="Helvetica" w:eastAsia="Helvetica" w:hAnsi="Helvetica" w:cs="Helvetica"/>
        </w:rPr>
        <w:t xml:space="preserve">Rotter J. 1990, Internal Versus External Control of Reinforcement: A Case History of a Variable, </w:t>
      </w:r>
      <w:r w:rsidRPr="00495C85">
        <w:rPr>
          <w:rFonts w:ascii="Helvetica" w:eastAsia="Helvetica" w:hAnsi="Helvetica" w:cs="Helvetica"/>
          <w:i/>
        </w:rPr>
        <w:t>American Psychologist</w:t>
      </w:r>
      <w:r w:rsidRPr="00495C85">
        <w:rPr>
          <w:rFonts w:ascii="Helvetica" w:eastAsia="Helvetica" w:hAnsi="Helvetica" w:cs="Helvetica"/>
        </w:rPr>
        <w:t>, vol. 45, no. 4, pp. 489–493.</w:t>
      </w:r>
    </w:p>
    <w:p w14:paraId="736F7211" w14:textId="704F3E17" w:rsidR="00A53164"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Samuelson, W. &amp; Zeckhauser W. 1988, ‘Status quo bias in decision making’, </w:t>
      </w:r>
      <w:r w:rsidRPr="00D04F2F">
        <w:rPr>
          <w:rFonts w:ascii="Helvetica" w:eastAsia="Helvetica" w:hAnsi="Helvetica" w:cs="Helvetica"/>
          <w:i/>
        </w:rPr>
        <w:t>Journal of Risk and Uncertainty</w:t>
      </w:r>
      <w:r w:rsidRPr="00D04F2F">
        <w:rPr>
          <w:rFonts w:ascii="Helvetica" w:eastAsia="Helvetica" w:hAnsi="Helvetica" w:cs="Helvetica"/>
        </w:rPr>
        <w:t>, vol. 1, no. 1, pp. 7</w:t>
      </w:r>
      <w:r w:rsidR="00B77A11" w:rsidRPr="00110D9E">
        <w:rPr>
          <w:lang w:val="en-GB"/>
        </w:rPr>
        <w:t>–</w:t>
      </w:r>
      <w:r w:rsidRPr="00D04F2F">
        <w:rPr>
          <w:rFonts w:ascii="Helvetica" w:eastAsia="Helvetica" w:hAnsi="Helvetica" w:cs="Helvetica"/>
        </w:rPr>
        <w:t>59.</w:t>
      </w:r>
    </w:p>
    <w:p w14:paraId="7E35D18A" w14:textId="0E51417D" w:rsidR="00F5472B" w:rsidRDefault="00F5472B" w:rsidP="007A3700">
      <w:pPr>
        <w:spacing w:line="260" w:lineRule="auto"/>
        <w:ind w:left="426" w:hanging="426"/>
      </w:pPr>
      <w:r w:rsidRPr="00F5472B">
        <w:t>Schultz, P., Nolan, J., Cialdini, R.</w:t>
      </w:r>
      <w:r>
        <w:t>,</w:t>
      </w:r>
      <w:r w:rsidRPr="00F5472B">
        <w:t xml:space="preserve"> Goldstein, N. &amp; Griskevicius, V. 2007</w:t>
      </w:r>
      <w:r>
        <w:t>,</w:t>
      </w:r>
      <w:r w:rsidRPr="00F5472B">
        <w:t xml:space="preserve"> </w:t>
      </w:r>
      <w:r>
        <w:t>‘</w:t>
      </w:r>
      <w:r w:rsidRPr="00F5472B">
        <w:t>The constructive, destructive, and reconstructive power of social norms</w:t>
      </w:r>
      <w:r>
        <w:t>’,</w:t>
      </w:r>
      <w:r w:rsidRPr="00F5472B">
        <w:t xml:space="preserve"> </w:t>
      </w:r>
      <w:r w:rsidRPr="00F5472B">
        <w:rPr>
          <w:i/>
        </w:rPr>
        <w:t>Psy</w:t>
      </w:r>
      <w:r>
        <w:rPr>
          <w:i/>
        </w:rPr>
        <w:t>chological S</w:t>
      </w:r>
      <w:r w:rsidRPr="00F5472B">
        <w:rPr>
          <w:i/>
        </w:rPr>
        <w:t>cience</w:t>
      </w:r>
      <w:r w:rsidRPr="00F5472B">
        <w:t xml:space="preserve">, </w:t>
      </w:r>
      <w:r>
        <w:t xml:space="preserve">vol. </w:t>
      </w:r>
      <w:r w:rsidRPr="00F5472B">
        <w:t>18</w:t>
      </w:r>
      <w:r>
        <w:t xml:space="preserve">, no. </w:t>
      </w:r>
      <w:r w:rsidRPr="00F5472B">
        <w:t xml:space="preserve">5, </w:t>
      </w:r>
      <w:r>
        <w:t xml:space="preserve">pp. </w:t>
      </w:r>
      <w:r w:rsidRPr="00F5472B">
        <w:t>429</w:t>
      </w:r>
      <w:r w:rsidR="00B77A11" w:rsidRPr="00110D9E">
        <w:rPr>
          <w:lang w:val="en-GB"/>
        </w:rPr>
        <w:t>–</w:t>
      </w:r>
      <w:r w:rsidRPr="00F5472B">
        <w:t>434.</w:t>
      </w:r>
    </w:p>
    <w:p w14:paraId="427FA974" w14:textId="2975AC32" w:rsidR="006E31E7" w:rsidRPr="00D04F2F" w:rsidRDefault="006E31E7"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Simon, H. 1972, ‘Theories of bounded rationality’, </w:t>
      </w:r>
      <w:r w:rsidRPr="00D04F2F">
        <w:rPr>
          <w:rFonts w:ascii="Helvetica" w:eastAsia="Helvetica" w:hAnsi="Helvetica" w:cs="Helvetica"/>
          <w:i/>
        </w:rPr>
        <w:t>Decision and Organization</w:t>
      </w:r>
      <w:r w:rsidR="00B77A11">
        <w:rPr>
          <w:rFonts w:ascii="Helvetica" w:eastAsia="Helvetica" w:hAnsi="Helvetica" w:cs="Helvetica"/>
        </w:rPr>
        <w:t>, vol. 1, pp. 161</w:t>
      </w:r>
      <w:r w:rsidR="00B77A11" w:rsidRPr="00110D9E">
        <w:rPr>
          <w:lang w:val="en-GB"/>
        </w:rPr>
        <w:t>–</w:t>
      </w:r>
      <w:r w:rsidRPr="00D04F2F">
        <w:rPr>
          <w:rFonts w:ascii="Helvetica" w:eastAsia="Helvetica" w:hAnsi="Helvetica" w:cs="Helvetica"/>
        </w:rPr>
        <w:t>176.</w:t>
      </w:r>
    </w:p>
    <w:p w14:paraId="36948E66" w14:textId="167B4BD3" w:rsidR="006E31E7" w:rsidRPr="00D04F2F" w:rsidRDefault="006E31E7" w:rsidP="007A3700">
      <w:pPr>
        <w:spacing w:line="260" w:lineRule="auto"/>
        <w:ind w:left="426" w:hanging="426"/>
        <w:rPr>
          <w:rFonts w:ascii="Helvetica" w:eastAsia="Helvetica" w:hAnsi="Helvetica" w:cs="Helvetica"/>
        </w:rPr>
      </w:pPr>
      <w:r w:rsidRPr="00D04F2F">
        <w:rPr>
          <w:rFonts w:ascii="Helvetica" w:eastAsia="Helvetica" w:hAnsi="Helvetica" w:cs="Helvetica"/>
        </w:rPr>
        <w:t>Sitzia, S. Zheng, J. &amp; Zizzo, D. 2015, ‘Inattentive consumers in markets for services’, </w:t>
      </w:r>
      <w:r w:rsidRPr="00D04F2F">
        <w:rPr>
          <w:rFonts w:ascii="Helvetica" w:eastAsia="Helvetica" w:hAnsi="Helvetica" w:cs="Helvetica"/>
          <w:i/>
        </w:rPr>
        <w:t>Theory and Decision</w:t>
      </w:r>
      <w:r w:rsidRPr="00D04F2F">
        <w:rPr>
          <w:rFonts w:ascii="Helvetica" w:eastAsia="Helvetica" w:hAnsi="Helvetica" w:cs="Helvetica"/>
        </w:rPr>
        <w:t>, vol. 79, no. 2, pp. 307</w:t>
      </w:r>
      <w:r w:rsidR="00B77A11" w:rsidRPr="00110D9E">
        <w:rPr>
          <w:lang w:val="en-GB"/>
        </w:rPr>
        <w:t>–</w:t>
      </w:r>
      <w:r w:rsidRPr="00D04F2F">
        <w:rPr>
          <w:rFonts w:ascii="Helvetica" w:eastAsia="Helvetica" w:hAnsi="Helvetica" w:cs="Helvetica"/>
        </w:rPr>
        <w:t>332.</w:t>
      </w:r>
    </w:p>
    <w:p w14:paraId="7C27AEED" w14:textId="42FBC462" w:rsidR="006E31E7" w:rsidRDefault="006E31E7" w:rsidP="007A3700">
      <w:pPr>
        <w:spacing w:line="260" w:lineRule="auto"/>
        <w:ind w:left="426" w:hanging="426"/>
        <w:rPr>
          <w:rFonts w:ascii="Helvetica" w:eastAsia="Helvetica" w:hAnsi="Helvetica" w:cs="Helvetica"/>
        </w:rPr>
      </w:pPr>
      <w:r w:rsidRPr="00D04F2F">
        <w:rPr>
          <w:rFonts w:ascii="Helvetica" w:eastAsia="Helvetica" w:hAnsi="Helvetica" w:cs="Helvetica"/>
        </w:rPr>
        <w:lastRenderedPageBreak/>
        <w:t>Sugden, R. &amp; Zheng, J. 2017, ‘Do consumers take advantage of common pricing standards? An experimental investigation’, </w:t>
      </w:r>
      <w:r w:rsidRPr="00D04F2F">
        <w:rPr>
          <w:rFonts w:ascii="Helvetica" w:eastAsia="Helvetica" w:hAnsi="Helvetica" w:cs="Helvetica"/>
          <w:i/>
        </w:rPr>
        <w:t>Management Science</w:t>
      </w:r>
      <w:r w:rsidRPr="00D04F2F">
        <w:rPr>
          <w:rFonts w:ascii="Helvetica" w:eastAsia="Helvetica" w:hAnsi="Helvetica" w:cs="Helvetica"/>
        </w:rPr>
        <w:t>, Articles in Advance.</w:t>
      </w:r>
    </w:p>
    <w:p w14:paraId="66D484B0" w14:textId="3F5F416B"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Taylor, D. &amp; Doria, J. 1981, ‘Self-serving and group-serving bias in attribution’, </w:t>
      </w:r>
      <w:r w:rsidRPr="00D04F2F">
        <w:rPr>
          <w:rFonts w:ascii="Helvetica" w:eastAsia="Helvetica" w:hAnsi="Helvetica" w:cs="Helvetica"/>
          <w:i/>
        </w:rPr>
        <w:t>Journal of Social Psychology</w:t>
      </w:r>
      <w:r w:rsidR="00B77A11">
        <w:rPr>
          <w:rFonts w:ascii="Helvetica" w:eastAsia="Helvetica" w:hAnsi="Helvetica" w:cs="Helvetica"/>
        </w:rPr>
        <w:t>, vol. 113, no. 2, pp. 201</w:t>
      </w:r>
      <w:r w:rsidR="00B77A11" w:rsidRPr="00110D9E">
        <w:rPr>
          <w:lang w:val="en-GB"/>
        </w:rPr>
        <w:t>–</w:t>
      </w:r>
      <w:r w:rsidRPr="00D04F2F">
        <w:rPr>
          <w:rFonts w:ascii="Helvetica" w:eastAsia="Helvetica" w:hAnsi="Helvetica" w:cs="Helvetica"/>
        </w:rPr>
        <w:t>211.</w:t>
      </w:r>
    </w:p>
    <w:p w14:paraId="21A32961" w14:textId="77777777" w:rsidR="007206BA" w:rsidRPr="00D04F2F" w:rsidRDefault="007206BA" w:rsidP="007206BA">
      <w:pPr>
        <w:spacing w:line="260" w:lineRule="auto"/>
        <w:ind w:left="426" w:hanging="426"/>
        <w:rPr>
          <w:rFonts w:ascii="Helvetica" w:eastAsia="Helvetica" w:hAnsi="Helvetica" w:cs="Helvetica"/>
        </w:rPr>
      </w:pPr>
      <w:r w:rsidRPr="007206BA">
        <w:t xml:space="preserve">Thaler, R. &amp; Sunstein, C. 2009, </w:t>
      </w:r>
      <w:r w:rsidRPr="007206BA">
        <w:rPr>
          <w:i/>
        </w:rPr>
        <w:t>Nudge: Improving Decisions About Health, Wealth and Happiness,</w:t>
      </w:r>
      <w:r w:rsidRPr="007206BA">
        <w:t xml:space="preserve"> Yale University Press, New Haven, Connecticut, p. 243.</w:t>
      </w:r>
    </w:p>
    <w:p w14:paraId="01F33280" w14:textId="0B772F94" w:rsidR="00251049" w:rsidRPr="00D04F2F" w:rsidRDefault="007206BA" w:rsidP="007206BA">
      <w:pPr>
        <w:spacing w:line="260" w:lineRule="auto"/>
        <w:ind w:left="426" w:hanging="426"/>
        <w:rPr>
          <w:rFonts w:ascii="Helvetica" w:eastAsia="Helvetica" w:hAnsi="Helvetica" w:cs="Helvetica"/>
        </w:rPr>
      </w:pPr>
      <w:r w:rsidRPr="00D04F2F">
        <w:rPr>
          <w:rFonts w:ascii="Helvetica" w:eastAsia="Helvetica" w:hAnsi="Helvetica" w:cs="Helvetica"/>
        </w:rPr>
        <w:t xml:space="preserve"> </w:t>
      </w:r>
      <w:r w:rsidR="00251049" w:rsidRPr="00D04F2F">
        <w:rPr>
          <w:rFonts w:ascii="Helvetica" w:eastAsia="Helvetica" w:hAnsi="Helvetica" w:cs="Helvetica"/>
        </w:rPr>
        <w:t xml:space="preserve">Transport for NSW 2013, </w:t>
      </w:r>
      <w:r w:rsidR="00251049" w:rsidRPr="00D04F2F">
        <w:rPr>
          <w:rFonts w:ascii="Helvetica" w:eastAsia="Helvetica" w:hAnsi="Helvetica" w:cs="Helvetica"/>
          <w:i/>
        </w:rPr>
        <w:t>Sydney City Centre Access Strategy</w:t>
      </w:r>
      <w:r w:rsidR="00251049" w:rsidRPr="00D04F2F">
        <w:rPr>
          <w:rFonts w:ascii="Helvetica" w:eastAsia="Helvetica" w:hAnsi="Helvetica" w:cs="Helvetica"/>
        </w:rPr>
        <w:t>, Transport for NSW, Sydney.</w:t>
      </w:r>
    </w:p>
    <w:p w14:paraId="69E514D1"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Transport for NSW, Travel Choices Handbook, Transport for NSW, Sydney, accessed 4 April 2018, </w:t>
      </w:r>
      <w:hyperlink r:id="rId151">
        <w:r w:rsidRPr="00D04F2F">
          <w:rPr>
            <w:rFonts w:ascii="Helvetica" w:eastAsia="Helvetica" w:hAnsi="Helvetica" w:cs="Helvetica"/>
            <w:u w:val="single"/>
          </w:rPr>
          <w:t>http://data.mysydney.nsw.gov.au/files/s3fs-public/Travel%20Choices%20Handbook.pdf</w:t>
        </w:r>
      </w:hyperlink>
      <w:r w:rsidRPr="00D04F2F">
        <w:rPr>
          <w:rFonts w:ascii="Helvetica" w:eastAsia="Helvetica" w:hAnsi="Helvetica" w:cs="Helvetica"/>
        </w:rPr>
        <w:t>.</w:t>
      </w:r>
    </w:p>
    <w:p w14:paraId="74F8EDC6" w14:textId="77777777"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Treasury 2014, Financial System Inquiry, Final Report, Treasury, Canberra, accessed 22 January 2018, </w:t>
      </w:r>
      <w:hyperlink r:id="rId152">
        <w:r w:rsidRPr="00D04F2F">
          <w:rPr>
            <w:rFonts w:ascii="Helvetica" w:eastAsia="Helvetica" w:hAnsi="Helvetica" w:cs="Helvetica"/>
            <w:u w:val="single"/>
          </w:rPr>
          <w:t>http://fsi.gov.au/publications/final-report</w:t>
        </w:r>
      </w:hyperlink>
    </w:p>
    <w:p w14:paraId="0CC6A8AA" w14:textId="5E7AEAD1"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Tversky, A. 1972, ‘Elimination by aspects: A theory of choice’, </w:t>
      </w:r>
      <w:r w:rsidRPr="00D04F2F">
        <w:rPr>
          <w:rFonts w:ascii="Helvetica" w:eastAsia="Helvetica" w:hAnsi="Helvetica" w:cs="Helvetica"/>
          <w:i/>
        </w:rPr>
        <w:t>Psychological Review,</w:t>
      </w:r>
      <w:r w:rsidRPr="00D04F2F">
        <w:rPr>
          <w:rFonts w:ascii="Helvetica" w:eastAsia="Helvetica" w:hAnsi="Helvetica" w:cs="Helvetica"/>
        </w:rPr>
        <w:t xml:space="preserve"> vol. 79</w:t>
      </w:r>
      <w:r w:rsidRPr="00D04F2F">
        <w:rPr>
          <w:rFonts w:ascii="Helvetica" w:eastAsia="Helvetica" w:hAnsi="Helvetica" w:cs="Helvetica"/>
          <w:b/>
        </w:rPr>
        <w:t>,</w:t>
      </w:r>
      <w:r w:rsidRPr="00D04F2F">
        <w:rPr>
          <w:rFonts w:ascii="Helvetica" w:eastAsia="Helvetica" w:hAnsi="Helvetica" w:cs="Helvetica"/>
        </w:rPr>
        <w:t xml:space="preserve"> pp. 281</w:t>
      </w:r>
      <w:r w:rsidR="00B77A11" w:rsidRPr="00110D9E">
        <w:rPr>
          <w:lang w:val="en-GB"/>
        </w:rPr>
        <w:t>–</w:t>
      </w:r>
      <w:r w:rsidRPr="00D04F2F">
        <w:rPr>
          <w:rFonts w:ascii="Helvetica" w:eastAsia="Helvetica" w:hAnsi="Helvetica" w:cs="Helvetica"/>
        </w:rPr>
        <w:t>299.</w:t>
      </w:r>
    </w:p>
    <w:p w14:paraId="3C412C3E" w14:textId="77777777" w:rsidR="00251049" w:rsidRPr="00D04F2F" w:rsidRDefault="00251049" w:rsidP="007A3700">
      <w:pPr>
        <w:spacing w:after="0" w:line="240" w:lineRule="auto"/>
        <w:ind w:left="113" w:hanging="113"/>
        <w:rPr>
          <w:rFonts w:ascii="Helvetica" w:eastAsia="Helvetica" w:hAnsi="Helvetica" w:cs="Helvetica"/>
        </w:rPr>
      </w:pPr>
      <w:r w:rsidRPr="00D04F2F">
        <w:rPr>
          <w:rFonts w:ascii="Helvetica" w:eastAsia="Helvetica" w:hAnsi="Helvetica" w:cs="Helvetica"/>
        </w:rPr>
        <w:t xml:space="preserve">University of Melbourne and Caraniche 2018, </w:t>
      </w:r>
      <w:r w:rsidRPr="00D04F2F">
        <w:rPr>
          <w:rFonts w:ascii="Helvetica" w:eastAsia="Helvetica" w:hAnsi="Helvetica" w:cs="Helvetica"/>
          <w:i/>
        </w:rPr>
        <w:t>Family Violence Intervention Order Online Project</w:t>
      </w:r>
      <w:r w:rsidRPr="00D04F2F">
        <w:rPr>
          <w:rFonts w:ascii="Helvetica" w:eastAsia="Helvetica" w:hAnsi="Helvetica" w:cs="Helvetica"/>
        </w:rPr>
        <w:t>, evaluation report, Melbourne.</w:t>
      </w:r>
    </w:p>
    <w:p w14:paraId="2B4B1FFD" w14:textId="38B11815"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Willis, L. 2017, ‘The Consumer Financial Protection Bureau and the Quest for Consumer Comprehension’, </w:t>
      </w:r>
      <w:r w:rsidRPr="00D04F2F">
        <w:rPr>
          <w:rFonts w:ascii="Helvetica" w:eastAsia="Helvetica" w:hAnsi="Helvetica" w:cs="Helvetica"/>
          <w:i/>
        </w:rPr>
        <w:t>3 Russell Sage Foundation Journal of the Social Sciences</w:t>
      </w:r>
      <w:r w:rsidRPr="00D04F2F">
        <w:rPr>
          <w:rFonts w:ascii="Helvetica" w:eastAsia="Helvetica" w:hAnsi="Helvetica" w:cs="Helvetica"/>
        </w:rPr>
        <w:t xml:space="preserve">, vol. 3, no. 74; </w:t>
      </w:r>
      <w:r w:rsidRPr="00D04F2F">
        <w:rPr>
          <w:rFonts w:ascii="Helvetica" w:eastAsia="Helvetica" w:hAnsi="Helvetica" w:cs="Helvetica"/>
          <w:i/>
        </w:rPr>
        <w:t>Los Angeles Legal Studies Research Paper No. 2017</w:t>
      </w:r>
      <w:r w:rsidR="00B77A11" w:rsidRPr="00110D9E">
        <w:rPr>
          <w:lang w:val="en-GB"/>
        </w:rPr>
        <w:t>–</w:t>
      </w:r>
      <w:r w:rsidRPr="00D04F2F">
        <w:rPr>
          <w:rFonts w:ascii="Helvetica" w:eastAsia="Helvetica" w:hAnsi="Helvetica" w:cs="Helvetica"/>
          <w:i/>
        </w:rPr>
        <w:t>19.</w:t>
      </w:r>
      <w:r w:rsidRPr="00D04F2F">
        <w:rPr>
          <w:rFonts w:ascii="Helvetica" w:eastAsia="Helvetica" w:hAnsi="Helvetica" w:cs="Helvetica"/>
        </w:rPr>
        <w:t xml:space="preserve"> </w:t>
      </w:r>
    </w:p>
    <w:p w14:paraId="7C17021A" w14:textId="390A00EF" w:rsidR="00251049" w:rsidRPr="00D04F2F" w:rsidRDefault="00AF688D" w:rsidP="007A3700">
      <w:pPr>
        <w:spacing w:line="260" w:lineRule="auto"/>
        <w:ind w:left="426" w:hanging="426"/>
        <w:rPr>
          <w:rFonts w:ascii="Helvetica" w:eastAsia="Helvetica" w:hAnsi="Helvetica" w:cs="Helvetica"/>
          <w:i/>
        </w:rPr>
      </w:pPr>
      <w:r>
        <w:rPr>
          <w:rFonts w:ascii="Helvetica" w:eastAsia="Helvetica" w:hAnsi="Helvetica" w:cs="Helvetica"/>
        </w:rPr>
        <w:t>Willis, L. 2015, ‘Performance-b</w:t>
      </w:r>
      <w:r w:rsidR="00251049" w:rsidRPr="00D04F2F">
        <w:rPr>
          <w:rFonts w:ascii="Helvetica" w:eastAsia="Helvetica" w:hAnsi="Helvetica" w:cs="Helvetica"/>
        </w:rPr>
        <w:t xml:space="preserve">ased Consumer Law’, </w:t>
      </w:r>
      <w:r w:rsidR="00251049" w:rsidRPr="00D04F2F">
        <w:rPr>
          <w:rFonts w:ascii="Helvetica" w:eastAsia="Helvetica" w:hAnsi="Helvetica" w:cs="Helvetica"/>
          <w:i/>
        </w:rPr>
        <w:t>University of Chicago Law Review</w:t>
      </w:r>
      <w:r w:rsidR="00251049" w:rsidRPr="00D04F2F">
        <w:rPr>
          <w:rFonts w:ascii="Helvetica" w:eastAsia="Helvetica" w:hAnsi="Helvetica" w:cs="Helvetica"/>
        </w:rPr>
        <w:t xml:space="preserve">, vol. 82, no. 1309; </w:t>
      </w:r>
      <w:r w:rsidR="00251049" w:rsidRPr="00D04F2F">
        <w:rPr>
          <w:rFonts w:ascii="Helvetica" w:eastAsia="Helvetica" w:hAnsi="Helvetica" w:cs="Helvetica"/>
          <w:i/>
        </w:rPr>
        <w:t>Loyola-LA Legal Studies Paper No. 2014</w:t>
      </w:r>
      <w:r w:rsidR="00B77A11" w:rsidRPr="00110D9E">
        <w:rPr>
          <w:lang w:val="en-GB"/>
        </w:rPr>
        <w:t>–</w:t>
      </w:r>
      <w:r w:rsidR="00251049" w:rsidRPr="00D04F2F">
        <w:rPr>
          <w:rFonts w:ascii="Helvetica" w:eastAsia="Helvetica" w:hAnsi="Helvetica" w:cs="Helvetica"/>
          <w:i/>
        </w:rPr>
        <w:t>39.</w:t>
      </w:r>
    </w:p>
    <w:p w14:paraId="0FA9C9CC" w14:textId="1A458ED5" w:rsidR="009D1B4B" w:rsidRDefault="009D1B4B" w:rsidP="007A3700">
      <w:pPr>
        <w:spacing w:line="260" w:lineRule="auto"/>
        <w:ind w:left="426" w:hanging="426"/>
      </w:pPr>
      <w:r>
        <w:t xml:space="preserve">Wiryakusuma, C., Chai H., King, A. &amp; Pointer, G. 2017, ‘How we nudged employees to embrace flexible work’, </w:t>
      </w:r>
      <w:r w:rsidRPr="009D1B4B">
        <w:rPr>
          <w:i/>
        </w:rPr>
        <w:t>Harvard Business Review</w:t>
      </w:r>
      <w:r>
        <w:t xml:space="preserve">, </w:t>
      </w:r>
      <w:hyperlink r:id="rId153" w:history="1">
        <w:r w:rsidRPr="009D1B4B">
          <w:rPr>
            <w:rStyle w:val="Hyperlink"/>
            <w:color w:val="3F3F3F" w:themeColor="text1"/>
            <w:u w:val="single"/>
          </w:rPr>
          <w:t>https://hbr.org/2017/11/how-we-nudged-employees-to-embrace-flexible-work</w:t>
        </w:r>
      </w:hyperlink>
      <w:r>
        <w:rPr>
          <w:u w:val="single"/>
        </w:rPr>
        <w:t>.</w:t>
      </w:r>
    </w:p>
    <w:p w14:paraId="19B88D71" w14:textId="1B62095F" w:rsidR="00251049" w:rsidRPr="00D04F2F" w:rsidRDefault="00251049" w:rsidP="007A3700">
      <w:pPr>
        <w:spacing w:line="260" w:lineRule="auto"/>
        <w:ind w:left="426" w:hanging="426"/>
        <w:rPr>
          <w:rFonts w:ascii="Helvetica" w:eastAsia="Helvetica" w:hAnsi="Helvetica" w:cs="Helvetica"/>
        </w:rPr>
      </w:pPr>
      <w:r w:rsidRPr="00D04F2F">
        <w:rPr>
          <w:rFonts w:ascii="Helvetica" w:eastAsia="Helvetica" w:hAnsi="Helvetica" w:cs="Helvetica"/>
        </w:rPr>
        <w:t xml:space="preserve">Wise, R., Hart, T., Cars, O., Streulens, M., Helmuth, R., Huovinen, P. &amp; Sprenger, M. 1998, ‘Antimicrobial resistance is a major threat to public health’, </w:t>
      </w:r>
      <w:r w:rsidRPr="00D04F2F">
        <w:rPr>
          <w:rFonts w:ascii="Helvetica" w:eastAsia="Helvetica" w:hAnsi="Helvetica" w:cs="Helvetica"/>
          <w:i/>
        </w:rPr>
        <w:t>British Journal of Medicine</w:t>
      </w:r>
      <w:r w:rsidRPr="00D04F2F">
        <w:rPr>
          <w:rFonts w:ascii="Helvetica" w:eastAsia="Helvetica" w:hAnsi="Helvetica" w:cs="Helvetica"/>
        </w:rPr>
        <w:t>, vol.</w:t>
      </w:r>
      <w:r w:rsidRPr="00D04F2F">
        <w:rPr>
          <w:rFonts w:ascii="Helvetica" w:eastAsia="Helvetica" w:hAnsi="Helvetica" w:cs="Helvetica"/>
          <w:i/>
        </w:rPr>
        <w:t xml:space="preserve"> </w:t>
      </w:r>
      <w:r w:rsidRPr="00D04F2F">
        <w:rPr>
          <w:rFonts w:ascii="Helvetica" w:eastAsia="Helvetica" w:hAnsi="Helvetica" w:cs="Helvetica"/>
        </w:rPr>
        <w:t>317, no. 7159, pp. 609</w:t>
      </w:r>
      <w:r w:rsidR="00B77A11" w:rsidRPr="00110D9E">
        <w:rPr>
          <w:lang w:val="en-GB"/>
        </w:rPr>
        <w:t>–</w:t>
      </w:r>
      <w:r w:rsidRPr="00D04F2F">
        <w:rPr>
          <w:rFonts w:ascii="Helvetica" w:eastAsia="Helvetica" w:hAnsi="Helvetica" w:cs="Helvetica"/>
        </w:rPr>
        <w:t>610.</w:t>
      </w:r>
    </w:p>
    <w:p w14:paraId="7CF82FF1" w14:textId="5E90DB4E" w:rsidR="00AE4379" w:rsidRPr="00AE4379" w:rsidRDefault="00AE4379" w:rsidP="004E3FC0">
      <w:pPr>
        <w:jc w:val="both"/>
      </w:pPr>
    </w:p>
    <w:sectPr w:rsidR="00AE4379" w:rsidRPr="00AE4379" w:rsidSect="00840C8E">
      <w:headerReference w:type="even" r:id="rId154"/>
      <w:headerReference w:type="default" r:id="rId155"/>
      <w:headerReference w:type="first" r:id="rId156"/>
      <w:pgSz w:w="11906" w:h="16838" w:code="9"/>
      <w:pgMar w:top="1474" w:right="1985" w:bottom="1247" w:left="1418"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7EB3A5" w14:textId="77777777" w:rsidR="008424B3" w:rsidRDefault="008424B3" w:rsidP="004331E0">
      <w:r>
        <w:separator/>
      </w:r>
    </w:p>
  </w:endnote>
  <w:endnote w:type="continuationSeparator" w:id="0">
    <w:p w14:paraId="6B36DF81" w14:textId="77777777" w:rsidR="008424B3" w:rsidRDefault="008424B3" w:rsidP="004331E0">
      <w:r>
        <w:continuationSeparator/>
      </w:r>
    </w:p>
  </w:endnote>
  <w:endnote w:type="continuationNotice" w:id="1">
    <w:p w14:paraId="4F954A6E" w14:textId="77777777" w:rsidR="008424B3" w:rsidRDefault="008424B3" w:rsidP="004331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vantGarde CondBook">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Apercu">
    <w:charset w:val="4D"/>
    <w:family w:val="auto"/>
    <w:pitch w:val="variable"/>
    <w:sig w:usb0="800000AF" w:usb1="4000204B"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ApercuPro">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65C9E" w14:textId="3EF48EFE" w:rsidR="008424B3" w:rsidRPr="003D2EC2" w:rsidRDefault="008424B3" w:rsidP="00D81B18">
    <w:pPr>
      <w:pStyle w:val="Footer"/>
    </w:pPr>
    <w:r w:rsidRPr="00D81B18">
      <w:fldChar w:fldCharType="begin"/>
    </w:r>
    <w:r w:rsidRPr="00D81B18">
      <w:instrText xml:space="preserve">PAGE  </w:instrText>
    </w:r>
    <w:r w:rsidRPr="00D81B18">
      <w:fldChar w:fldCharType="separate"/>
    </w:r>
    <w:r>
      <w:rPr>
        <w:noProof/>
      </w:rPr>
      <w:t>80</w:t>
    </w:r>
    <w:r w:rsidRPr="00D81B18">
      <w:fldChar w:fldCharType="end"/>
    </w:r>
    <w:r>
      <w:rPr>
        <w:rStyle w:val="PageNumber"/>
      </w:rPr>
      <w:tab/>
    </w:r>
    <w:r w:rsidRPr="0007157A">
      <w:t xml:space="preserve">Highlights of </w:t>
    </w:r>
    <w:r w:rsidRPr="003D2EC2">
      <w:rPr>
        <w:rStyle w:val="FooterChar"/>
      </w:rPr>
      <w:t>behavioural</w:t>
    </w:r>
    <w:r w:rsidRPr="0007157A">
      <w:t xml:space="preserve"> insights across Australia</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E5E60" w14:textId="153488AC" w:rsidR="008424B3" w:rsidRPr="0078666C" w:rsidRDefault="008424B3" w:rsidP="00BB32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4062E5" w14:textId="25B3A816" w:rsidR="008424B3" w:rsidRPr="00F660CC" w:rsidRDefault="008424B3" w:rsidP="00F660C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1128C6" w14:textId="42ED6F6F" w:rsidR="008424B3" w:rsidRPr="00667249" w:rsidRDefault="008424B3" w:rsidP="00667249">
    <w:pPr>
      <w:pStyle w:val="Footer"/>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05900" w14:textId="7F90BB9D" w:rsidR="008424B3" w:rsidRPr="00D81B18" w:rsidRDefault="008424B3" w:rsidP="00D81B18">
    <w:pPr>
      <w:pStyle w:val="Footer"/>
      <w:pBdr>
        <w:top w:val="single" w:sz="8" w:space="4" w:color="188A79" w:themeColor="background2" w:themeShade="BF"/>
      </w:pBdr>
    </w:pPr>
    <w:r w:rsidRPr="0007157A">
      <w:t>Highlights of behavioural insights across Australia</w:t>
    </w:r>
    <w:r>
      <w:tab/>
    </w:r>
    <w:r w:rsidRPr="0007157A">
      <w:fldChar w:fldCharType="begin"/>
    </w:r>
    <w:r w:rsidRPr="0007157A">
      <w:instrText xml:space="preserve"> PAGE </w:instrText>
    </w:r>
    <w:r w:rsidRPr="0007157A">
      <w:fldChar w:fldCharType="separate"/>
    </w:r>
    <w:r w:rsidR="001D2BC0">
      <w:rPr>
        <w:noProof/>
      </w:rPr>
      <w:t>15</w:t>
    </w:r>
    <w:r w:rsidRPr="0007157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829E6" w14:textId="5C06A42F" w:rsidR="008424B3" w:rsidRPr="00747B25" w:rsidRDefault="008424B3" w:rsidP="00D04F2F">
    <w:pPr>
      <w:pStyle w:val="Footer"/>
      <w:pBdr>
        <w:top w:val="single" w:sz="8" w:space="4" w:color="188A79" w:themeColor="background2" w:themeShade="BF"/>
      </w:pBdr>
    </w:pPr>
    <w:r w:rsidRPr="0007157A">
      <w:t>Highlights of behavioural insights across Australia</w:t>
    </w:r>
    <w:r>
      <w:tab/>
    </w:r>
    <w:r w:rsidRPr="0007157A">
      <w:fldChar w:fldCharType="begin"/>
    </w:r>
    <w:r w:rsidRPr="0007157A">
      <w:instrText xml:space="preserve"> PAGE </w:instrText>
    </w:r>
    <w:r w:rsidRPr="0007157A">
      <w:fldChar w:fldCharType="separate"/>
    </w:r>
    <w:r w:rsidR="001D2BC0">
      <w:rPr>
        <w:noProof/>
      </w:rPr>
      <w:t>1</w:t>
    </w:r>
    <w:r w:rsidRPr="0007157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182763" w14:textId="77777777" w:rsidR="008424B3" w:rsidRDefault="008424B3" w:rsidP="004331E0">
      <w:r>
        <w:separator/>
      </w:r>
    </w:p>
  </w:footnote>
  <w:footnote w:type="continuationSeparator" w:id="0">
    <w:p w14:paraId="3B37D406" w14:textId="77777777" w:rsidR="008424B3" w:rsidRDefault="008424B3" w:rsidP="004331E0">
      <w:r>
        <w:continuationSeparator/>
      </w:r>
    </w:p>
  </w:footnote>
  <w:footnote w:type="continuationNotice" w:id="1">
    <w:p w14:paraId="5BAC4813" w14:textId="77777777" w:rsidR="008424B3" w:rsidRDefault="008424B3" w:rsidP="004331E0"/>
  </w:footnote>
  <w:footnote w:id="2">
    <w:p w14:paraId="2C0A323C" w14:textId="77777777" w:rsidR="008424B3" w:rsidRDefault="008424B3" w:rsidP="00917FE2">
      <w:pPr>
        <w:pStyle w:val="FootnoteText"/>
        <w:rPr>
          <w:rFonts w:cstheme="minorHAnsi"/>
          <w:sz w:val="18"/>
          <w:lang w:val="en-GB"/>
        </w:rPr>
      </w:pPr>
      <w:r>
        <w:rPr>
          <w:rStyle w:val="FootnoteReference"/>
          <w:rFonts w:cstheme="minorHAnsi"/>
          <w:lang w:val="en-GB"/>
        </w:rPr>
        <w:footnoteRef/>
      </w:r>
      <w:r>
        <w:rPr>
          <w:rFonts w:cstheme="minorHAnsi"/>
          <w:lang w:val="en-GB"/>
        </w:rPr>
        <w:t xml:space="preserve"> </w:t>
      </w:r>
      <w:r>
        <w:rPr>
          <w:lang w:val="en-GB"/>
        </w:rPr>
        <w:t xml:space="preserve">Wise, R. et al. 1998, ‘Antimicrobial resistance is a major threat to public health’, </w:t>
      </w:r>
      <w:r>
        <w:rPr>
          <w:i/>
          <w:lang w:val="en-GB"/>
        </w:rPr>
        <w:t>BMJ</w:t>
      </w:r>
      <w:r>
        <w:rPr>
          <w:lang w:val="en-GB"/>
        </w:rPr>
        <w:t>, vol. 317, no. 7159, pp. 609–610.</w:t>
      </w:r>
    </w:p>
  </w:footnote>
  <w:footnote w:id="3">
    <w:p w14:paraId="6E07A83B" w14:textId="77777777" w:rsidR="008424B3" w:rsidRPr="00897A33" w:rsidRDefault="008424B3" w:rsidP="00550E97">
      <w:pPr>
        <w:pStyle w:val="FootnoteText"/>
        <w:rPr>
          <w:rFonts w:cstheme="minorHAnsi"/>
          <w:sz w:val="18"/>
          <w:lang w:val="en-GB"/>
        </w:rPr>
      </w:pPr>
      <w:r w:rsidRPr="00897A33">
        <w:rPr>
          <w:rStyle w:val="FootnoteReference"/>
          <w:rFonts w:cstheme="minorHAnsi"/>
          <w:lang w:val="en-GB"/>
        </w:rPr>
        <w:footnoteRef/>
      </w:r>
      <w:r w:rsidRPr="00897A33">
        <w:rPr>
          <w:rFonts w:cstheme="minorHAnsi"/>
          <w:lang w:val="en-GB"/>
        </w:rPr>
        <w:t xml:space="preserve"> </w:t>
      </w:r>
      <w:r>
        <w:rPr>
          <w:lang w:val="en-GB"/>
        </w:rPr>
        <w:t>Ibid.</w:t>
      </w:r>
    </w:p>
  </w:footnote>
  <w:footnote w:id="4">
    <w:p w14:paraId="72F1E204" w14:textId="77777777" w:rsidR="008424B3" w:rsidRPr="00897A33" w:rsidRDefault="008424B3" w:rsidP="0096069C">
      <w:pPr>
        <w:pStyle w:val="FootnoteText"/>
        <w:rPr>
          <w:lang w:val="en-GB"/>
        </w:rPr>
      </w:pPr>
      <w:r w:rsidRPr="00897A33">
        <w:rPr>
          <w:rStyle w:val="FootnoteReference"/>
          <w:lang w:val="en-GB"/>
        </w:rPr>
        <w:footnoteRef/>
      </w:r>
      <w:r w:rsidRPr="00897A33">
        <w:rPr>
          <w:lang w:val="en-GB"/>
        </w:rPr>
        <w:t xml:space="preserve"> McCullough, A. et al. 2017, ‘Antibiotics for acute respiratory infections in general practice: Comparison of prescribing rates with guideline recommendations’, </w:t>
      </w:r>
      <w:r w:rsidRPr="00897A33">
        <w:rPr>
          <w:i/>
          <w:lang w:val="en-GB"/>
        </w:rPr>
        <w:t>The Medical Journal of Australia,</w:t>
      </w:r>
      <w:r w:rsidRPr="00897A33">
        <w:rPr>
          <w:lang w:val="en-GB"/>
        </w:rPr>
        <w:t xml:space="preserve"> vol. 207, no. 2, pp. 65–69.</w:t>
      </w:r>
    </w:p>
  </w:footnote>
  <w:footnote w:id="5">
    <w:p w14:paraId="36CDCD34" w14:textId="2DF0276F" w:rsidR="008424B3" w:rsidRPr="00897A33" w:rsidRDefault="008424B3" w:rsidP="00550E97">
      <w:pPr>
        <w:pStyle w:val="FootnoteText"/>
        <w:rPr>
          <w:lang w:val="en-GB"/>
        </w:rPr>
      </w:pPr>
      <w:r w:rsidRPr="00897A33">
        <w:rPr>
          <w:rStyle w:val="FootnoteReference"/>
          <w:lang w:val="en-GB"/>
        </w:rPr>
        <w:footnoteRef/>
      </w:r>
      <w:r w:rsidRPr="00897A33">
        <w:rPr>
          <w:lang w:val="en-GB"/>
        </w:rPr>
        <w:t xml:space="preserve"> </w:t>
      </w:r>
      <w:r w:rsidRPr="00897A33">
        <w:rPr>
          <w:rFonts w:eastAsia="Helvetica"/>
        </w:rPr>
        <w:t>Recent research estimated that Australian GPs prescribe antibiotics for acute respiratory infections at rates that are up to nine times higher than those recommended by the Australian Therapeutic Guidelines</w:t>
      </w:r>
      <w:r>
        <w:rPr>
          <w:rFonts w:eastAsia="Helvetica"/>
        </w:rPr>
        <w:t xml:space="preserve">. See </w:t>
      </w:r>
      <w:r w:rsidRPr="00897A33">
        <w:rPr>
          <w:lang w:val="en-GB"/>
        </w:rPr>
        <w:t xml:space="preserve">McCullough, A. et al. 2017, </w:t>
      </w:r>
      <w:r>
        <w:rPr>
          <w:lang w:val="en-GB"/>
        </w:rPr>
        <w:t>loc cit.</w:t>
      </w:r>
    </w:p>
  </w:footnote>
  <w:footnote w:id="6">
    <w:p w14:paraId="78C4979F" w14:textId="77777777" w:rsidR="008424B3" w:rsidRPr="00897A33" w:rsidRDefault="008424B3" w:rsidP="00A83D56">
      <w:pPr>
        <w:pStyle w:val="FootnoteText"/>
        <w:rPr>
          <w:lang w:val="en-GB"/>
        </w:rPr>
      </w:pPr>
      <w:r w:rsidRPr="00897A33">
        <w:rPr>
          <w:rStyle w:val="FootnoteReference"/>
          <w:lang w:val="en-GB"/>
        </w:rPr>
        <w:footnoteRef/>
      </w:r>
      <w:r w:rsidRPr="00897A33">
        <w:rPr>
          <w:lang w:val="en-GB"/>
        </w:rPr>
        <w:t xml:space="preserve"> Based on Australian Bureau of Statistics, Statistical Area 4.</w:t>
      </w:r>
    </w:p>
  </w:footnote>
  <w:footnote w:id="7">
    <w:p w14:paraId="45367037" w14:textId="07394BAF" w:rsidR="008424B3" w:rsidRDefault="008424B3">
      <w:pPr>
        <w:pStyle w:val="FootnoteText"/>
      </w:pPr>
      <w:r>
        <w:rPr>
          <w:rStyle w:val="FootnoteReference"/>
        </w:rPr>
        <w:footnoteRef/>
      </w:r>
      <w:r w:rsidRPr="00B8411D">
        <w:t xml:space="preserve"> John, P., Sanders, M. &amp; Wang, J. 2014, ‘The use of descriptive norms in public administration: a panacea for improving citizen behaviours?’, Social Science Research Network, viewed 18 April 2018, </w:t>
      </w:r>
      <w:hyperlink r:id="rId1" w:history="1">
        <w:r w:rsidRPr="00B8411D">
          <w:t>http://ssrn.com/abstract=2514536</w:t>
        </w:r>
      </w:hyperlink>
    </w:p>
  </w:footnote>
  <w:footnote w:id="8">
    <w:p w14:paraId="28651940" w14:textId="77777777" w:rsidR="008424B3" w:rsidRPr="00897A33" w:rsidRDefault="008424B3" w:rsidP="00BB4B7F">
      <w:pPr>
        <w:pStyle w:val="FootnoteText"/>
        <w:rPr>
          <w:lang w:val="en-GB"/>
        </w:rPr>
      </w:pPr>
      <w:r w:rsidRPr="00897A33">
        <w:rPr>
          <w:rStyle w:val="FootnoteReference"/>
          <w:lang w:val="en-GB"/>
        </w:rPr>
        <w:footnoteRef/>
      </w:r>
      <w:r w:rsidRPr="00897A33">
        <w:rPr>
          <w:lang w:val="en-GB"/>
        </w:rPr>
        <w:t xml:space="preserve"> Hallsworth, M. et al. 2016, ‘Provision of social norm feedback to high prescribers of antibiotics in general practices: A pragmatic national randomised trial’, </w:t>
      </w:r>
      <w:r w:rsidRPr="00897A33">
        <w:rPr>
          <w:i/>
          <w:lang w:val="en-GB"/>
        </w:rPr>
        <w:t>The Lancet</w:t>
      </w:r>
      <w:r w:rsidRPr="00897A33">
        <w:rPr>
          <w:lang w:val="en-GB"/>
        </w:rPr>
        <w:t>, vol. 387, no. 10029, pp. 1743–1752.</w:t>
      </w:r>
    </w:p>
  </w:footnote>
  <w:footnote w:id="9">
    <w:p w14:paraId="08728D3C" w14:textId="28461DE3" w:rsidR="008424B3" w:rsidRPr="00897A33" w:rsidRDefault="008424B3" w:rsidP="00892306">
      <w:pPr>
        <w:pStyle w:val="FootnoteText"/>
        <w:rPr>
          <w:lang w:val="en-GB"/>
        </w:rPr>
      </w:pPr>
      <w:r w:rsidRPr="00897A33">
        <w:rPr>
          <w:rStyle w:val="FootnoteReference"/>
          <w:lang w:val="en-GB"/>
        </w:rPr>
        <w:footnoteRef/>
      </w:r>
      <w:r w:rsidRPr="00897A33">
        <w:rPr>
          <w:lang w:val="en-GB"/>
        </w:rPr>
        <w:t xml:space="preserve"> Brisson, M. et al. 2016, ‘Population-level impact, herd immunity, and elimination after human papillomavirus vaccination: A systematic review and meta-analysis of predictions from transmission-dynamic models’, </w:t>
      </w:r>
      <w:r w:rsidRPr="00897A33">
        <w:rPr>
          <w:i/>
          <w:lang w:val="en-GB"/>
        </w:rPr>
        <w:t>Lancet Public Health</w:t>
      </w:r>
      <w:r w:rsidRPr="00897A33">
        <w:rPr>
          <w:lang w:val="en-GB"/>
        </w:rPr>
        <w:t>, vol. 1, no. 1, pp. e8–17</w:t>
      </w:r>
      <w:r>
        <w:rPr>
          <w:lang w:val="en-GB"/>
        </w:rPr>
        <w:t>.</w:t>
      </w:r>
    </w:p>
  </w:footnote>
  <w:footnote w:id="10">
    <w:p w14:paraId="0FDD86F2" w14:textId="77777777" w:rsidR="008424B3" w:rsidRDefault="008424B3" w:rsidP="00892306">
      <w:pPr>
        <w:pStyle w:val="FootnoteText"/>
        <w:rPr>
          <w:lang w:val="en-GB"/>
        </w:rPr>
      </w:pPr>
      <w:r>
        <w:rPr>
          <w:rStyle w:val="FootnoteReference"/>
          <w:lang w:val="en-GB"/>
        </w:rPr>
        <w:footnoteRef/>
      </w:r>
      <w:r>
        <w:rPr>
          <w:lang w:val="en-GB"/>
        </w:rPr>
        <w:t xml:space="preserve"> Conner, M. &amp; Norman, P. 2005, </w:t>
      </w:r>
      <w:r>
        <w:rPr>
          <w:i/>
          <w:lang w:val="en-GB"/>
        </w:rPr>
        <w:t>Predicting Health Behaviour</w:t>
      </w:r>
      <w:r>
        <w:rPr>
          <w:lang w:val="en-GB"/>
        </w:rPr>
        <w:t xml:space="preserve">, Maidenhead: McGraw-Hill Education, Berkshire, pp. 8–12; Janz, N. &amp; Becker, M. 1984, ‘The Health Belief Model: A decade later’, </w:t>
      </w:r>
      <w:r>
        <w:rPr>
          <w:i/>
          <w:lang w:val="en-GB"/>
        </w:rPr>
        <w:t>Health Education &amp; Behaviour,</w:t>
      </w:r>
      <w:r>
        <w:rPr>
          <w:lang w:val="en-GB"/>
        </w:rPr>
        <w:t xml:space="preserve"> vol. 11, no. 1, pp. 1–47.</w:t>
      </w:r>
    </w:p>
  </w:footnote>
  <w:footnote w:id="11">
    <w:p w14:paraId="408E9BA6" w14:textId="77777777" w:rsidR="008424B3" w:rsidRDefault="008424B3" w:rsidP="00892306">
      <w:pPr>
        <w:pStyle w:val="FootnoteText"/>
        <w:rPr>
          <w:lang w:val="en-GB"/>
        </w:rPr>
      </w:pPr>
      <w:r>
        <w:rPr>
          <w:rStyle w:val="FootnoteReference"/>
          <w:lang w:val="en-GB"/>
        </w:rPr>
        <w:footnoteRef/>
      </w:r>
      <w:r>
        <w:rPr>
          <w:lang w:val="en-GB"/>
        </w:rPr>
        <w:t xml:space="preserve"> Milkman, K. et al. 2011, ‘Using implementation intentions prompts to enhance influenza vaccination rates’, </w:t>
      </w:r>
      <w:r>
        <w:rPr>
          <w:i/>
          <w:lang w:val="en-GB"/>
        </w:rPr>
        <w:t>Proceedings of the National Academy of Sciences</w:t>
      </w:r>
      <w:r>
        <w:rPr>
          <w:lang w:val="en-GB"/>
        </w:rPr>
        <w:t>, vol. 108, no. 26, pp. 10415–10420.</w:t>
      </w:r>
    </w:p>
  </w:footnote>
  <w:footnote w:id="12">
    <w:p w14:paraId="6DC1A76A" w14:textId="0D04C468" w:rsidR="008424B3" w:rsidRDefault="008424B3" w:rsidP="00C54FDB">
      <w:pPr>
        <w:pStyle w:val="FootnoteText"/>
        <w:rPr>
          <w:lang w:val="en-GB"/>
        </w:rPr>
      </w:pPr>
      <w:r>
        <w:rPr>
          <w:rStyle w:val="FootnoteReference"/>
          <w:lang w:val="en-GB"/>
        </w:rPr>
        <w:footnoteRef/>
      </w:r>
      <w:r>
        <w:rPr>
          <w:lang w:val="en-GB"/>
        </w:rPr>
        <w:t xml:space="preserve"> It is expressed through ‘if-then’ plans that spell out what should be done if </w:t>
      </w:r>
      <w:r w:rsidRPr="00E32588">
        <w:rPr>
          <w:lang w:val="en-GB"/>
        </w:rPr>
        <w:t>an event occurs</w:t>
      </w:r>
      <w:r>
        <w:rPr>
          <w:lang w:val="en-GB"/>
        </w:rPr>
        <w:t xml:space="preserve"> (i.e., the response of the person). See Gollwitzer, P. 1999, ‘Implementation intentions: Strong effects of simple plans’, </w:t>
      </w:r>
      <w:r>
        <w:rPr>
          <w:i/>
          <w:lang w:val="en-GB"/>
        </w:rPr>
        <w:t>American Psychologist</w:t>
      </w:r>
      <w:r>
        <w:rPr>
          <w:lang w:val="en-GB"/>
        </w:rPr>
        <w:t>, vol. 54, pp. 493–503.</w:t>
      </w:r>
    </w:p>
  </w:footnote>
  <w:footnote w:id="13">
    <w:p w14:paraId="102D8EF9" w14:textId="77777777" w:rsidR="008424B3" w:rsidRDefault="008424B3" w:rsidP="00892306">
      <w:pPr>
        <w:pStyle w:val="FootnoteText"/>
        <w:rPr>
          <w:lang w:val="en-GB"/>
        </w:rPr>
      </w:pPr>
      <w:r>
        <w:rPr>
          <w:rStyle w:val="FootnoteReference"/>
          <w:lang w:val="en-GB"/>
        </w:rPr>
        <w:footnoteRef/>
      </w:r>
      <w:r>
        <w:rPr>
          <w:lang w:val="en-GB"/>
        </w:rPr>
        <w:t xml:space="preserve"> Productivity Commission 2017, </w:t>
      </w:r>
      <w:r>
        <w:rPr>
          <w:i/>
          <w:lang w:val="en-GB"/>
        </w:rPr>
        <w:t>Data Availability and Use</w:t>
      </w:r>
      <w:r>
        <w:rPr>
          <w:lang w:val="en-GB"/>
        </w:rPr>
        <w:t>, report no. 82, Productivity Commission, Canberra, pp. 159–164,</w:t>
      </w:r>
    </w:p>
  </w:footnote>
  <w:footnote w:id="14">
    <w:p w14:paraId="57E43885" w14:textId="77777777" w:rsidR="008424B3" w:rsidRDefault="008424B3" w:rsidP="00892306">
      <w:pPr>
        <w:pStyle w:val="FootnoteText"/>
        <w:rPr>
          <w:lang w:val="en-GB"/>
        </w:rPr>
      </w:pPr>
      <w:r>
        <w:rPr>
          <w:rStyle w:val="FootnoteReference"/>
          <w:lang w:val="en-GB"/>
        </w:rPr>
        <w:footnoteRef/>
      </w:r>
      <w:r>
        <w:rPr>
          <w:lang w:val="en-GB"/>
        </w:rPr>
        <w:t xml:space="preserve"> Horvath, J. 2011, </w:t>
      </w:r>
      <w:r>
        <w:rPr>
          <w:i/>
          <w:lang w:val="en-GB"/>
        </w:rPr>
        <w:t>Review of the management of adverse events associated with Panvax and Fluvax</w:t>
      </w:r>
      <w:r>
        <w:rPr>
          <w:lang w:val="en-GB"/>
        </w:rPr>
        <w:t>, report for the Department of Health and Ageing, Australia, p. 33.</w:t>
      </w:r>
    </w:p>
  </w:footnote>
  <w:footnote w:id="15">
    <w:p w14:paraId="329CF614" w14:textId="77777777" w:rsidR="008424B3" w:rsidRDefault="008424B3" w:rsidP="00FC3BFF">
      <w:pPr>
        <w:pStyle w:val="FootnoteText"/>
        <w:rPr>
          <w:lang w:val="en-GB"/>
        </w:rPr>
      </w:pPr>
      <w:r>
        <w:rPr>
          <w:rStyle w:val="FootnoteReference"/>
          <w:lang w:val="en-GB"/>
        </w:rPr>
        <w:footnoteRef/>
      </w:r>
      <w:r>
        <w:rPr>
          <w:lang w:val="en-GB"/>
        </w:rPr>
        <w:t xml:space="preserve"> Dolan, P. et al. 2010, </w:t>
      </w:r>
      <w:r>
        <w:rPr>
          <w:i/>
          <w:lang w:val="en-GB"/>
        </w:rPr>
        <w:t>MINDSPACE: Influencing behaviour through public policy</w:t>
      </w:r>
      <w:r>
        <w:rPr>
          <w:lang w:val="en-GB"/>
        </w:rPr>
        <w:t>, Institute for Government and Cabinet Office, London.</w:t>
      </w:r>
    </w:p>
  </w:footnote>
  <w:footnote w:id="16">
    <w:p w14:paraId="4EE188D1" w14:textId="77777777" w:rsidR="008424B3" w:rsidRDefault="008424B3" w:rsidP="00892306">
      <w:pPr>
        <w:pStyle w:val="FootnoteText"/>
        <w:rPr>
          <w:lang w:val="en-GB"/>
        </w:rPr>
      </w:pPr>
      <w:r>
        <w:rPr>
          <w:rStyle w:val="FootnoteReference"/>
          <w:lang w:val="en-GB"/>
        </w:rPr>
        <w:footnoteRef/>
      </w:r>
      <w:r>
        <w:rPr>
          <w:lang w:val="en-GB"/>
        </w:rPr>
        <w:t xml:space="preserve"> Milkman, K. et al., loc. cit.</w:t>
      </w:r>
    </w:p>
  </w:footnote>
  <w:footnote w:id="17">
    <w:p w14:paraId="74A06B24" w14:textId="77777777" w:rsidR="008424B3" w:rsidRDefault="008424B3" w:rsidP="00A27BFB">
      <w:pPr>
        <w:pStyle w:val="FootnoteText"/>
        <w:rPr>
          <w:lang w:val="en-GB"/>
        </w:rPr>
      </w:pPr>
      <w:r>
        <w:rPr>
          <w:rStyle w:val="FootnoteReference"/>
          <w:lang w:val="en-GB"/>
        </w:rPr>
        <w:footnoteRef/>
      </w:r>
      <w:r>
        <w:rPr>
          <w:lang w:val="en-GB"/>
        </w:rPr>
        <w:t xml:space="preserve"> Behavioural Insights Team 2014, </w:t>
      </w:r>
      <w:r>
        <w:rPr>
          <w:i/>
          <w:lang w:val="en-GB"/>
        </w:rPr>
        <w:t>EAST: Four simple ways to apply behavioural insights</w:t>
      </w:r>
      <w:r>
        <w:rPr>
          <w:lang w:val="en-GB"/>
        </w:rPr>
        <w:t xml:space="preserve">, BIT, London; Michie, S. &amp; Lester, K. 2005, ‘Words matter: increasing the implementation of clinical guidelines’, </w:t>
      </w:r>
      <w:r>
        <w:rPr>
          <w:i/>
          <w:lang w:val="en-GB"/>
        </w:rPr>
        <w:t>Quality and Safety in Health Care</w:t>
      </w:r>
      <w:r>
        <w:rPr>
          <w:lang w:val="en-GB"/>
        </w:rPr>
        <w:t>, vol. 14, no. 5, pp. 367–370.</w:t>
      </w:r>
    </w:p>
  </w:footnote>
  <w:footnote w:id="18">
    <w:p w14:paraId="493B312C" w14:textId="77777777" w:rsidR="008424B3" w:rsidRDefault="008424B3" w:rsidP="00A27BFB">
      <w:pPr>
        <w:pStyle w:val="FootnoteText"/>
        <w:rPr>
          <w:lang w:val="en-GB"/>
        </w:rPr>
      </w:pPr>
      <w:r>
        <w:rPr>
          <w:rStyle w:val="FootnoteReference"/>
          <w:lang w:val="en-GB"/>
        </w:rPr>
        <w:footnoteRef/>
      </w:r>
      <w:r>
        <w:rPr>
          <w:lang w:val="en-GB"/>
        </w:rPr>
        <w:t xml:space="preserve"> Osbaldiston, R. &amp; Sheldon, K. 2003, ‘Promoting internalized motivation for environmentally responsible behavior: A prospective study of environmental goals’, </w:t>
      </w:r>
      <w:r>
        <w:rPr>
          <w:i/>
          <w:lang w:val="en-GB"/>
        </w:rPr>
        <w:t>Journal of Environmental Psychology</w:t>
      </w:r>
      <w:r>
        <w:rPr>
          <w:lang w:val="en-GB"/>
        </w:rPr>
        <w:t>, vol. 23, no. 4, pp. 349–357.</w:t>
      </w:r>
    </w:p>
  </w:footnote>
  <w:footnote w:id="19">
    <w:p w14:paraId="7EDA50CD" w14:textId="77777777" w:rsidR="008424B3" w:rsidRDefault="008424B3" w:rsidP="00A27BFB">
      <w:pPr>
        <w:pStyle w:val="FootnoteText"/>
        <w:rPr>
          <w:lang w:val="en-GB"/>
        </w:rPr>
      </w:pPr>
      <w:r>
        <w:rPr>
          <w:rStyle w:val="FootnoteReference"/>
          <w:lang w:val="en-GB"/>
        </w:rPr>
        <w:footnoteRef/>
      </w:r>
      <w:r>
        <w:rPr>
          <w:lang w:val="en-GB"/>
        </w:rPr>
        <w:t xml:space="preserve"> Caplan, R. et al. 1989, ‘Job seeking, reemployment, and mental health: A randomized field experiment in coping with job loss’, </w:t>
      </w:r>
      <w:r>
        <w:rPr>
          <w:i/>
          <w:lang w:val="en-GB"/>
        </w:rPr>
        <w:t>Journal of Applied Psychology</w:t>
      </w:r>
      <w:r>
        <w:rPr>
          <w:lang w:val="en-GB"/>
        </w:rPr>
        <w:t>, vol. 74, no. 5, pp. 759–769.</w:t>
      </w:r>
    </w:p>
  </w:footnote>
  <w:footnote w:id="20">
    <w:p w14:paraId="185AD74A" w14:textId="77777777" w:rsidR="008424B3" w:rsidRDefault="008424B3" w:rsidP="00A27BFB">
      <w:pPr>
        <w:pStyle w:val="FootnoteText"/>
        <w:rPr>
          <w:lang w:val="en-GB"/>
        </w:rPr>
      </w:pPr>
      <w:r>
        <w:rPr>
          <w:rStyle w:val="FootnoteReference"/>
          <w:lang w:val="en-GB"/>
        </w:rPr>
        <w:footnoteRef/>
      </w:r>
      <w:r>
        <w:rPr>
          <w:lang w:val="en-GB"/>
        </w:rPr>
        <w:t xml:space="preserve"> Cialdini, R. 2001, </w:t>
      </w:r>
      <w:r>
        <w:rPr>
          <w:i/>
          <w:lang w:val="en-GB"/>
        </w:rPr>
        <w:t>Influence: Science and practice</w:t>
      </w:r>
      <w:r>
        <w:rPr>
          <w:lang w:val="en-GB"/>
        </w:rPr>
        <w:t xml:space="preserve">, 4th edn., Allyn and Bacon, Boston; Gollwitzer, P. et al. 2009, ‘When intentions go public’, </w:t>
      </w:r>
      <w:r>
        <w:rPr>
          <w:i/>
          <w:lang w:val="en-GB"/>
        </w:rPr>
        <w:t>Psychological Science</w:t>
      </w:r>
      <w:r>
        <w:rPr>
          <w:lang w:val="en-GB"/>
        </w:rPr>
        <w:t>, vol. 20, no. 5, pp. 612–618.</w:t>
      </w:r>
    </w:p>
  </w:footnote>
  <w:footnote w:id="21">
    <w:p w14:paraId="3A80BB66" w14:textId="77777777" w:rsidR="008424B3" w:rsidRDefault="008424B3" w:rsidP="00A27BFB">
      <w:pPr>
        <w:keepLines w:val="0"/>
        <w:spacing w:before="0" w:after="0" w:line="240" w:lineRule="auto"/>
        <w:rPr>
          <w:rStyle w:val="FootnoteTextChar"/>
        </w:rPr>
      </w:pPr>
      <w:r>
        <w:rPr>
          <w:rStyle w:val="FootnoteReference"/>
        </w:rPr>
        <w:footnoteRef/>
      </w:r>
      <w:r>
        <w:t xml:space="preserve"> </w:t>
      </w:r>
      <w:r>
        <w:rPr>
          <w:rStyle w:val="FootnoteTextChar"/>
        </w:rPr>
        <w:t xml:space="preserve">Australian Institute of Health and Welfare 2017, </w:t>
      </w:r>
      <w:r>
        <w:rPr>
          <w:rStyle w:val="FootnoteTextChar"/>
          <w:i/>
        </w:rPr>
        <w:t>Impact of physical inactivity as a risk factor for chronic conditions: Australian Burden of Disease Study</w:t>
      </w:r>
      <w:r>
        <w:rPr>
          <w:rStyle w:val="FootnoteTextChar"/>
        </w:rPr>
        <w:t>, Australian Burden of Disease Study series no. 15, AIHW, Canberra, viewed 22 February 2018, https://www.aihw.gov.au/reports/burden-of-disease/impact-of-physical-inactivity-chronic-conditions/contents/table-of-contents.</w:t>
      </w:r>
    </w:p>
  </w:footnote>
  <w:footnote w:id="22">
    <w:p w14:paraId="77A2157D" w14:textId="77777777" w:rsidR="008424B3" w:rsidRDefault="008424B3" w:rsidP="00A27BFB">
      <w:pPr>
        <w:keepLines w:val="0"/>
        <w:spacing w:before="0" w:after="0" w:line="240" w:lineRule="auto"/>
        <w:rPr>
          <w:rFonts w:ascii="Times New Roman" w:hAnsi="Times New Roman"/>
          <w:color w:val="auto"/>
          <w:sz w:val="24"/>
          <w:szCs w:val="24"/>
          <w:lang w:val="en-GB"/>
        </w:rPr>
      </w:pPr>
      <w:r>
        <w:rPr>
          <w:rStyle w:val="FootnoteReference"/>
        </w:rPr>
        <w:footnoteRef/>
      </w:r>
      <w:r>
        <w:t xml:space="preserve"> </w:t>
      </w:r>
      <w:r>
        <w:rPr>
          <w:rStyle w:val="FootnoteTextChar"/>
        </w:rPr>
        <w:t xml:space="preserve">Ball, K. et al. 2015, ‘Addressing the social determinants of inequities in physical activity and sedentary behaviours’, </w:t>
      </w:r>
      <w:r>
        <w:rPr>
          <w:rStyle w:val="FootnoteTextChar"/>
          <w:i/>
        </w:rPr>
        <w:t>Health Promotion International</w:t>
      </w:r>
      <w:r>
        <w:rPr>
          <w:rStyle w:val="FootnoteTextChar"/>
        </w:rPr>
        <w:t>, vol. 30, no. 2, pp. ii8–ii19.</w:t>
      </w:r>
    </w:p>
  </w:footnote>
  <w:footnote w:id="23">
    <w:p w14:paraId="2A0C7F7C" w14:textId="77777777" w:rsidR="008424B3" w:rsidRDefault="008424B3" w:rsidP="00C913C3">
      <w:pPr>
        <w:pStyle w:val="FootnoteText"/>
        <w:rPr>
          <w:lang w:val="en-GB"/>
        </w:rPr>
      </w:pPr>
      <w:r>
        <w:rPr>
          <w:rStyle w:val="FootnoteReference"/>
          <w:lang w:val="en-GB"/>
        </w:rPr>
        <w:footnoteRef/>
      </w:r>
      <w:r>
        <w:rPr>
          <w:lang w:val="en-GB"/>
        </w:rPr>
        <w:t xml:space="preserve"> Bharamgoudar, R. et al. 2016, </w:t>
      </w:r>
      <w:r>
        <w:rPr>
          <w:i/>
          <w:lang w:val="en-GB"/>
        </w:rPr>
        <w:t>Tailoring and utilising gamification to facilitate behaviour change</w:t>
      </w:r>
      <w:r>
        <w:rPr>
          <w:lang w:val="en-GB"/>
        </w:rPr>
        <w:t>, Imperial College of Science, Technology and Medicine, London.</w:t>
      </w:r>
    </w:p>
  </w:footnote>
  <w:footnote w:id="24">
    <w:p w14:paraId="08BA9890" w14:textId="77777777" w:rsidR="008424B3" w:rsidRDefault="008424B3" w:rsidP="0078069A">
      <w:pPr>
        <w:pStyle w:val="FootnoteText"/>
        <w:rPr>
          <w:lang w:val="en-GB"/>
        </w:rPr>
      </w:pPr>
      <w:r>
        <w:rPr>
          <w:rStyle w:val="FootnoteReference"/>
          <w:lang w:val="en-GB"/>
        </w:rPr>
        <w:footnoteRef/>
      </w:r>
      <w:r>
        <w:rPr>
          <w:lang w:val="en-GB"/>
        </w:rPr>
        <w:t xml:space="preserve"> Ayres</w:t>
      </w:r>
      <w:r>
        <w:rPr>
          <w:rFonts w:asciiTheme="majorHAnsi" w:hAnsiTheme="majorHAnsi" w:cstheme="majorHAnsi"/>
          <w:lang w:val="en-GB"/>
        </w:rPr>
        <w:t xml:space="preserve">, I., </w:t>
      </w:r>
      <w:r>
        <w:rPr>
          <w:lang w:val="en-GB"/>
        </w:rPr>
        <w:t xml:space="preserve">Raseman, S. &amp; Shih, A. 2013, ‘Evidence from two large field experiments that peer comparison feedback can reduce residential energy usage’, </w:t>
      </w:r>
      <w:r>
        <w:rPr>
          <w:i/>
          <w:lang w:val="en-GB"/>
        </w:rPr>
        <w:t>The Journal of Law, Economics, and Organization</w:t>
      </w:r>
      <w:r>
        <w:rPr>
          <w:lang w:val="en-GB"/>
        </w:rPr>
        <w:t>, vol. 29, no. 5, pp. 992–1022.</w:t>
      </w:r>
    </w:p>
  </w:footnote>
  <w:footnote w:id="25">
    <w:p w14:paraId="5E028D84" w14:textId="77777777" w:rsidR="008424B3" w:rsidRDefault="008424B3" w:rsidP="00ED0364">
      <w:pPr>
        <w:pStyle w:val="FootnoteText"/>
        <w:rPr>
          <w:lang w:val="en-AU"/>
        </w:rPr>
      </w:pPr>
      <w:r>
        <w:rPr>
          <w:rStyle w:val="FootnoteReference"/>
        </w:rPr>
        <w:footnoteRef/>
      </w:r>
      <w:r>
        <w:t xml:space="preserve"> Kahneman, D. 2003, ‘A psychological perspective on economics’, </w:t>
      </w:r>
      <w:r>
        <w:rPr>
          <w:i/>
        </w:rPr>
        <w:t>American Economic Review</w:t>
      </w:r>
      <w:r>
        <w:t>, vol. 93, no. 2, pp. 162-168.</w:t>
      </w:r>
    </w:p>
  </w:footnote>
  <w:footnote w:id="26">
    <w:p w14:paraId="0B17DAB2" w14:textId="77777777" w:rsidR="008424B3" w:rsidRDefault="008424B3" w:rsidP="00544D75">
      <w:pPr>
        <w:pStyle w:val="FootnoteText"/>
        <w:rPr>
          <w:lang w:val="en-GB"/>
        </w:rPr>
      </w:pPr>
      <w:r>
        <w:rPr>
          <w:rStyle w:val="FootnoteReference"/>
          <w:lang w:val="en-GB"/>
        </w:rPr>
        <w:footnoteRef/>
      </w:r>
      <w:r>
        <w:rPr>
          <w:lang w:val="en-GB"/>
        </w:rPr>
        <w:t xml:space="preserve"> NSW Bureau of Crime Statistics and Research (BoCSAR) (2018). NSW Crime Mapping Tool; source data BoCSAR 2017, accessed 22 March 2018,</w:t>
      </w:r>
      <w:r w:rsidRPr="00DF51E3">
        <w:rPr>
          <w:lang w:val="en-GB"/>
        </w:rPr>
        <w:t xml:space="preserve"> </w:t>
      </w:r>
      <w:hyperlink r:id="rId2" w:history="1">
        <w:r w:rsidRPr="00DF51E3">
          <w:rPr>
            <w:rStyle w:val="Hyperlink"/>
            <w:color w:val="3F3F3F" w:themeColor="text1"/>
            <w:lang w:val="en-GB"/>
          </w:rPr>
          <w:t>http://crimetool.bocsar.nsw.gov.au/bocsar</w:t>
        </w:r>
      </w:hyperlink>
      <w:r w:rsidRPr="00DF51E3">
        <w:rPr>
          <w:rStyle w:val="Hyperlink"/>
          <w:color w:val="3F3F3F" w:themeColor="text1"/>
          <w:lang w:val="en-GB"/>
        </w:rPr>
        <w:t>.</w:t>
      </w:r>
    </w:p>
  </w:footnote>
  <w:footnote w:id="27">
    <w:p w14:paraId="2D2D9211" w14:textId="77777777" w:rsidR="008424B3" w:rsidRDefault="008424B3" w:rsidP="00544D75">
      <w:pPr>
        <w:pStyle w:val="FootnoteText"/>
        <w:rPr>
          <w:lang w:val="en-GB"/>
        </w:rPr>
      </w:pPr>
      <w:r>
        <w:rPr>
          <w:rStyle w:val="FootnoteReference"/>
          <w:lang w:val="en-GB"/>
        </w:rPr>
        <w:footnoteRef/>
      </w:r>
      <w:r>
        <w:rPr>
          <w:lang w:val="en-GB"/>
        </w:rPr>
        <w:t xml:space="preserve"> BoCSAR 2018, loc. cit.</w:t>
      </w:r>
    </w:p>
  </w:footnote>
  <w:footnote w:id="28">
    <w:p w14:paraId="1CB1B2B9" w14:textId="77777777" w:rsidR="008424B3" w:rsidRDefault="008424B3" w:rsidP="007B133B">
      <w:pPr>
        <w:pStyle w:val="FootnoteText"/>
        <w:rPr>
          <w:lang w:val="en-GB"/>
        </w:rPr>
      </w:pPr>
      <w:r>
        <w:rPr>
          <w:rStyle w:val="FootnoteReference"/>
          <w:lang w:val="en-GB"/>
        </w:rPr>
        <w:footnoteRef/>
      </w:r>
      <w:r>
        <w:rPr>
          <w:lang w:val="en-GB"/>
        </w:rPr>
        <w:t xml:space="preserve"> Behavioural Insights Team 2014, loc. cit.</w:t>
      </w:r>
    </w:p>
  </w:footnote>
  <w:footnote w:id="29">
    <w:p w14:paraId="40F98CEC" w14:textId="77777777" w:rsidR="008424B3" w:rsidRDefault="008424B3" w:rsidP="00C571C6">
      <w:pPr>
        <w:pStyle w:val="FootnoteText"/>
        <w:rPr>
          <w:lang w:val="en-GB"/>
        </w:rPr>
      </w:pPr>
      <w:r>
        <w:rPr>
          <w:rStyle w:val="FootnoteReference"/>
          <w:lang w:val="en-GB"/>
        </w:rPr>
        <w:footnoteRef/>
      </w:r>
      <w:r>
        <w:rPr>
          <w:lang w:val="en-GB"/>
        </w:rPr>
        <w:t xml:space="preserve"> Nickerson, R. 1998, ‘Confirmation bias: A ubiquitous phenomenon in many guises’, </w:t>
      </w:r>
      <w:r>
        <w:rPr>
          <w:i/>
          <w:lang w:val="en-GB"/>
        </w:rPr>
        <w:t>Review of General Psychology</w:t>
      </w:r>
      <w:r>
        <w:rPr>
          <w:lang w:val="en-GB"/>
        </w:rPr>
        <w:t>, vol. 2, no. 2, pp. 175–220.</w:t>
      </w:r>
    </w:p>
  </w:footnote>
  <w:footnote w:id="30">
    <w:p w14:paraId="1F1621F7" w14:textId="77777777" w:rsidR="008424B3" w:rsidRDefault="008424B3" w:rsidP="0080395C">
      <w:pPr>
        <w:pStyle w:val="FootnoteText"/>
        <w:rPr>
          <w:lang w:val="en-GB"/>
        </w:rPr>
      </w:pPr>
      <w:r>
        <w:rPr>
          <w:rStyle w:val="FootnoteReference"/>
          <w:lang w:val="en-GB"/>
        </w:rPr>
        <w:footnoteRef/>
      </w:r>
      <w:r>
        <w:rPr>
          <w:lang w:val="en-GB"/>
        </w:rPr>
        <w:t xml:space="preserve"> University of Melbourne and Caraniche 2018, </w:t>
      </w:r>
      <w:r>
        <w:rPr>
          <w:i/>
          <w:lang w:val="en-GB"/>
        </w:rPr>
        <w:t>Family Violence Intervention Order Online Project</w:t>
      </w:r>
      <w:r>
        <w:rPr>
          <w:lang w:val="en-GB"/>
        </w:rPr>
        <w:t xml:space="preserve">, evaluation report, Melbourne; Feldman, S. 1983, </w:t>
      </w:r>
      <w:r>
        <w:rPr>
          <w:i/>
          <w:lang w:val="en-GB"/>
        </w:rPr>
        <w:t>Battered women: Psychological correlates of the victimisation process</w:t>
      </w:r>
      <w:r>
        <w:rPr>
          <w:lang w:val="en-GB"/>
        </w:rPr>
        <w:t>, electronic thesis/dissertation, Ohio State University, p. 188, Tables 22 &amp; 26.</w:t>
      </w:r>
    </w:p>
  </w:footnote>
  <w:footnote w:id="31">
    <w:p w14:paraId="636102D3" w14:textId="7CF5EF49" w:rsidR="008424B3" w:rsidRDefault="008424B3" w:rsidP="00495C85">
      <w:pPr>
        <w:pStyle w:val="FootnoteText"/>
        <w:rPr>
          <w:lang w:val="en-AU"/>
        </w:rPr>
      </w:pPr>
      <w:r>
        <w:rPr>
          <w:rStyle w:val="FootnoteReference"/>
        </w:rPr>
        <w:footnoteRef/>
      </w:r>
      <w:r>
        <w:t xml:space="preserve"> Rotter J. 1990, Internal Versus External Control of Reinforcement: A Case History of a Variable, </w:t>
      </w:r>
      <w:r w:rsidRPr="00495C85">
        <w:rPr>
          <w:i/>
        </w:rPr>
        <w:t>American Psychologist</w:t>
      </w:r>
      <w:r>
        <w:t>, vol. 45, no. 4, pp. 489–493.</w:t>
      </w:r>
    </w:p>
  </w:footnote>
  <w:footnote w:id="32">
    <w:p w14:paraId="7D8C469F" w14:textId="4ACC5ECE" w:rsidR="008424B3" w:rsidRDefault="008424B3" w:rsidP="00495C85">
      <w:pPr>
        <w:pStyle w:val="FootnoteText"/>
        <w:rPr>
          <w:lang w:val="en-AU"/>
        </w:rPr>
      </w:pPr>
      <w:r>
        <w:rPr>
          <w:rStyle w:val="FootnoteReference"/>
        </w:rPr>
        <w:footnoteRef/>
      </w:r>
      <w:r>
        <w:t xml:space="preserve"> Kim, J. &amp; Gray, K. A. 2008, Leave or Stay? Battered Women’s Decision After Intimate Partner Violence, </w:t>
      </w:r>
      <w:r w:rsidRPr="00495C85">
        <w:rPr>
          <w:i/>
        </w:rPr>
        <w:t>Journal of Interpersonal Violence</w:t>
      </w:r>
      <w:r>
        <w:t>, vol. 23, no. 10, pp. 1465–1482 at p. 1477-8.</w:t>
      </w:r>
    </w:p>
  </w:footnote>
  <w:footnote w:id="33">
    <w:p w14:paraId="678925B3" w14:textId="77777777" w:rsidR="008424B3" w:rsidRDefault="008424B3" w:rsidP="00A337DA">
      <w:pPr>
        <w:pStyle w:val="FootnoteText"/>
        <w:rPr>
          <w:lang w:val="en-GB"/>
        </w:rPr>
      </w:pPr>
      <w:r>
        <w:rPr>
          <w:rStyle w:val="FootnoteReference"/>
          <w:lang w:val="en-GB"/>
        </w:rPr>
        <w:footnoteRef/>
      </w:r>
      <w:r>
        <w:rPr>
          <w:lang w:val="en-GB"/>
        </w:rPr>
        <w:t xml:space="preserve"> For further information about personalisation, see the Behavioural Insights Team 2014, loc. cit.</w:t>
      </w:r>
    </w:p>
  </w:footnote>
  <w:footnote w:id="34">
    <w:p w14:paraId="13784355" w14:textId="77777777" w:rsidR="008424B3" w:rsidRDefault="008424B3" w:rsidP="00A337DA">
      <w:pPr>
        <w:keepLines w:val="0"/>
        <w:autoSpaceDE w:val="0"/>
        <w:autoSpaceDN w:val="0"/>
        <w:adjustRightInd w:val="0"/>
        <w:spacing w:before="0" w:after="0" w:line="240" w:lineRule="auto"/>
        <w:rPr>
          <w:lang w:val="en-GB"/>
        </w:rPr>
      </w:pPr>
      <w:r>
        <w:rPr>
          <w:rStyle w:val="FootnoteReference"/>
        </w:rPr>
        <w:footnoteRef/>
      </w:r>
      <w:r>
        <w:t xml:space="preserve"> </w:t>
      </w:r>
      <w:r>
        <w:rPr>
          <w:rStyle w:val="FootnoteTextChar"/>
          <w:rFonts w:eastAsia="Apercu"/>
        </w:rPr>
        <w:t>Dolan, P. et al., loc. cit.</w:t>
      </w:r>
    </w:p>
  </w:footnote>
  <w:footnote w:id="35">
    <w:p w14:paraId="13AB0D90" w14:textId="77777777" w:rsidR="008424B3" w:rsidRDefault="008424B3" w:rsidP="007F51D0">
      <w:pPr>
        <w:pStyle w:val="FootnoteText"/>
        <w:rPr>
          <w:lang w:val="en-GB"/>
        </w:rPr>
      </w:pPr>
      <w:r>
        <w:rPr>
          <w:rStyle w:val="FootnoteReference"/>
          <w:lang w:val="en-GB"/>
        </w:rPr>
        <w:footnoteRef/>
      </w:r>
      <w:r>
        <w:rPr>
          <w:lang w:val="en-GB"/>
        </w:rPr>
        <w:t xml:space="preserve"> Mission Providence is one of many job service providers contracted by the Department of Jobs and Small Business to deliver programs and services to job seekers.</w:t>
      </w:r>
    </w:p>
  </w:footnote>
  <w:footnote w:id="36">
    <w:p w14:paraId="31C94857" w14:textId="77777777" w:rsidR="008424B3" w:rsidRDefault="008424B3" w:rsidP="007F51D0">
      <w:pPr>
        <w:pStyle w:val="FootnoteText"/>
        <w:rPr>
          <w:lang w:val="en-GB"/>
        </w:rPr>
      </w:pPr>
      <w:r>
        <w:rPr>
          <w:rStyle w:val="FootnoteReference"/>
          <w:lang w:val="en-GB"/>
        </w:rPr>
        <w:footnoteRef/>
      </w:r>
      <w:r>
        <w:rPr>
          <w:lang w:val="en-GB"/>
        </w:rPr>
        <w:t xml:space="preserve"> Behavioural Insights Team 2014, loc. cit.</w:t>
      </w:r>
    </w:p>
  </w:footnote>
  <w:footnote w:id="37">
    <w:p w14:paraId="5155503C" w14:textId="2A1E497A" w:rsidR="008424B3" w:rsidRDefault="008424B3" w:rsidP="00B8411D">
      <w:pPr>
        <w:pStyle w:val="FootnoteText"/>
        <w:rPr>
          <w:lang w:val="en-GB"/>
        </w:rPr>
      </w:pPr>
      <w:r>
        <w:rPr>
          <w:rStyle w:val="FootnoteReference"/>
          <w:lang w:val="en-GB"/>
        </w:rPr>
        <w:footnoteRef/>
      </w:r>
      <w:r>
        <w:rPr>
          <w:lang w:val="en-GB"/>
        </w:rPr>
        <w:t xml:space="preserve"> See Edwards et al. 2009, for a systematic review of the methods that have been used to increase response rates to postal and electronic surveys.</w:t>
      </w:r>
    </w:p>
  </w:footnote>
  <w:footnote w:id="38">
    <w:p w14:paraId="563F27FD" w14:textId="16A17BCE" w:rsidR="008424B3" w:rsidRDefault="008424B3">
      <w:pPr>
        <w:pStyle w:val="FootnoteText"/>
      </w:pPr>
      <w:r>
        <w:rPr>
          <w:rStyle w:val="FootnoteReference"/>
        </w:rPr>
        <w:footnoteRef/>
      </w:r>
      <w:r>
        <w:t xml:space="preserve"> Barasz, K.</w:t>
      </w:r>
      <w:r w:rsidRPr="00146F7B">
        <w:t xml:space="preserve"> </w:t>
      </w:r>
      <w:r>
        <w:t xml:space="preserve">et al. 2017, </w:t>
      </w:r>
      <w:r w:rsidRPr="00146F7B">
        <w:t xml:space="preserve">‘Pseudo-set framing’, </w:t>
      </w:r>
      <w:r w:rsidRPr="00183027">
        <w:rPr>
          <w:i/>
        </w:rPr>
        <w:t>Journal of Experimental Psychology</w:t>
      </w:r>
      <w:r>
        <w:t>, vol. 146, no. 10, pp. 1460–</w:t>
      </w:r>
      <w:r w:rsidRPr="00146F7B">
        <w:t>1477.</w:t>
      </w:r>
    </w:p>
  </w:footnote>
  <w:footnote w:id="39">
    <w:p w14:paraId="255DB0D8" w14:textId="77777777" w:rsidR="008424B3" w:rsidRDefault="008424B3" w:rsidP="006A0837">
      <w:pPr>
        <w:pStyle w:val="FootnoteText"/>
        <w:rPr>
          <w:lang w:val="en-GB"/>
        </w:rPr>
      </w:pPr>
      <w:r>
        <w:rPr>
          <w:rStyle w:val="FootnoteReference"/>
          <w:lang w:val="en-GB"/>
        </w:rPr>
        <w:footnoteRef/>
      </w:r>
      <w:r>
        <w:rPr>
          <w:lang w:val="en-GB"/>
        </w:rPr>
        <w:t xml:space="preserve"> The payments are </w:t>
      </w:r>
      <w:r>
        <w:rPr>
          <w:rFonts w:eastAsia="Helvetica"/>
          <w:lang w:val="en-GB"/>
        </w:rPr>
        <w:t>Newstart Allowance and Youth Allowance (Other).</w:t>
      </w:r>
    </w:p>
  </w:footnote>
  <w:footnote w:id="40">
    <w:p w14:paraId="1656191A" w14:textId="77777777" w:rsidR="008424B3" w:rsidRDefault="008424B3" w:rsidP="006A0837">
      <w:pPr>
        <w:pStyle w:val="FootnoteText"/>
        <w:rPr>
          <w:lang w:val="en-GB"/>
        </w:rPr>
      </w:pPr>
      <w:r>
        <w:rPr>
          <w:rStyle w:val="FootnoteReference"/>
          <w:lang w:val="en-GB"/>
        </w:rPr>
        <w:footnoteRef/>
      </w:r>
      <w:r>
        <w:rPr>
          <w:lang w:val="en-GB"/>
        </w:rPr>
        <w:t xml:space="preserve"> Data from the Department of Human Services.</w:t>
      </w:r>
    </w:p>
  </w:footnote>
  <w:footnote w:id="41">
    <w:p w14:paraId="2ACCDC9E" w14:textId="77777777" w:rsidR="008424B3" w:rsidRDefault="008424B3" w:rsidP="005A0330">
      <w:pPr>
        <w:pStyle w:val="FootnoteText"/>
        <w:rPr>
          <w:lang w:val="en-GB"/>
        </w:rPr>
      </w:pPr>
      <w:r>
        <w:rPr>
          <w:rStyle w:val="FootnoteReference"/>
          <w:lang w:val="en-GB"/>
        </w:rPr>
        <w:footnoteRef/>
      </w:r>
      <w:r>
        <w:rPr>
          <w:lang w:val="en-GB"/>
        </w:rPr>
        <w:t xml:space="preserve"> Mullainathan, S. &amp; Shafir, E. 2013, </w:t>
      </w:r>
      <w:r>
        <w:rPr>
          <w:i/>
          <w:lang w:val="en-GB"/>
        </w:rPr>
        <w:t>Scarcity: Why having too little means so much</w:t>
      </w:r>
      <w:r>
        <w:rPr>
          <w:lang w:val="en-GB"/>
        </w:rPr>
        <w:t>, Time Books, New York.</w:t>
      </w:r>
    </w:p>
  </w:footnote>
  <w:footnote w:id="42">
    <w:p w14:paraId="5CBCFEBC" w14:textId="45E77AAE" w:rsidR="008424B3" w:rsidRDefault="008424B3" w:rsidP="0080686E">
      <w:pPr>
        <w:pStyle w:val="FootnoteText"/>
        <w:rPr>
          <w:lang w:val="en-AU"/>
        </w:rPr>
      </w:pPr>
      <w:r>
        <w:rPr>
          <w:rStyle w:val="FootnoteReference"/>
        </w:rPr>
        <w:footnoteRef/>
      </w:r>
      <w:r>
        <w:t xml:space="preserve"> Behavioural Insights Team 2012, </w:t>
      </w:r>
      <w:r>
        <w:rPr>
          <w:i/>
        </w:rPr>
        <w:t>Applying behavioural insights to reduce fraud, error and debt</w:t>
      </w:r>
      <w:r>
        <w:t>, BIT, UK, p. 11.</w:t>
      </w:r>
    </w:p>
  </w:footnote>
  <w:footnote w:id="43">
    <w:p w14:paraId="59856649" w14:textId="4B323C37" w:rsidR="008424B3" w:rsidRDefault="008424B3" w:rsidP="0080686E">
      <w:pPr>
        <w:pStyle w:val="FootnoteText"/>
        <w:rPr>
          <w:lang w:val="en-AU"/>
        </w:rPr>
      </w:pPr>
      <w:r>
        <w:rPr>
          <w:rStyle w:val="FootnoteReference"/>
        </w:rPr>
        <w:footnoteRef/>
      </w:r>
      <w:r>
        <w:t xml:space="preserve"> Ibid, p. 8.</w:t>
      </w:r>
    </w:p>
  </w:footnote>
  <w:footnote w:id="44">
    <w:p w14:paraId="6DB1F641" w14:textId="6025F15B" w:rsidR="008424B3" w:rsidRDefault="008424B3" w:rsidP="0080686E">
      <w:pPr>
        <w:pStyle w:val="FootnoteText"/>
        <w:rPr>
          <w:lang w:val="en-AU"/>
        </w:rPr>
      </w:pPr>
      <w:r>
        <w:rPr>
          <w:rStyle w:val="FootnoteReference"/>
        </w:rPr>
        <w:footnoteRef/>
      </w:r>
      <w:r>
        <w:t xml:space="preserve"> Ibid, p. 17.</w:t>
      </w:r>
    </w:p>
  </w:footnote>
  <w:footnote w:id="45">
    <w:p w14:paraId="07D83EFF" w14:textId="25BECA4A" w:rsidR="008424B3" w:rsidRPr="007206BA" w:rsidRDefault="008424B3" w:rsidP="0080686E">
      <w:pPr>
        <w:pStyle w:val="FootnoteText"/>
        <w:rPr>
          <w:lang w:val="en-AU"/>
        </w:rPr>
      </w:pPr>
      <w:r w:rsidRPr="007206BA">
        <w:rPr>
          <w:rStyle w:val="FootnoteReference"/>
        </w:rPr>
        <w:footnoteRef/>
      </w:r>
      <w:r w:rsidRPr="007206BA">
        <w:t xml:space="preserve"> </w:t>
      </w:r>
      <w:r w:rsidRPr="007206BA">
        <w:rPr>
          <w:lang w:val="en-AU"/>
        </w:rPr>
        <w:t xml:space="preserve">Kahneman, D. 2011, </w:t>
      </w:r>
      <w:r w:rsidRPr="007206BA">
        <w:rPr>
          <w:i/>
          <w:lang w:val="en-AU"/>
        </w:rPr>
        <w:t xml:space="preserve">Thinking, Fast and Slow, </w:t>
      </w:r>
      <w:r w:rsidRPr="007206BA">
        <w:rPr>
          <w:lang w:val="en-AU"/>
        </w:rPr>
        <w:t>Farrar, Straus and Giroux, New York .pp. 283–286.</w:t>
      </w:r>
    </w:p>
  </w:footnote>
  <w:footnote w:id="46">
    <w:p w14:paraId="0DF55FEE" w14:textId="5738DC38" w:rsidR="008424B3" w:rsidRDefault="008424B3" w:rsidP="0080686E">
      <w:pPr>
        <w:pStyle w:val="FootnoteText"/>
        <w:rPr>
          <w:lang w:val="en-AU"/>
        </w:rPr>
      </w:pPr>
      <w:r w:rsidRPr="007206BA">
        <w:rPr>
          <w:rStyle w:val="FootnoteReference"/>
        </w:rPr>
        <w:footnoteRef/>
      </w:r>
      <w:r w:rsidRPr="007206BA">
        <w:t xml:space="preserve"> Thaler, R. &amp; Sunstein, C. 2009, </w:t>
      </w:r>
      <w:r w:rsidRPr="007206BA">
        <w:rPr>
          <w:i/>
        </w:rPr>
        <w:t>Nudge: Improving Decisions About Health, Wealth and Happiness,</w:t>
      </w:r>
      <w:r w:rsidRPr="007206BA">
        <w:t xml:space="preserve"> Yale University Press, New Haven, Connecticut, p. 243.</w:t>
      </w:r>
    </w:p>
  </w:footnote>
  <w:footnote w:id="47">
    <w:p w14:paraId="084D814C" w14:textId="77777777" w:rsidR="008424B3" w:rsidRDefault="008424B3" w:rsidP="009525D0">
      <w:pPr>
        <w:pStyle w:val="FootnoteText"/>
        <w:rPr>
          <w:lang w:val="en-GB"/>
        </w:rPr>
      </w:pPr>
      <w:r>
        <w:rPr>
          <w:rStyle w:val="FootnoteReference"/>
          <w:lang w:val="en-GB"/>
        </w:rPr>
        <w:footnoteRef/>
      </w:r>
      <w:r>
        <w:rPr>
          <w:lang w:val="en-GB"/>
        </w:rPr>
        <w:t xml:space="preserve"> Bertrand, M., Chugh, D. &amp; Mullainathan, S. 2005, ‘Implicit discrimination’, </w:t>
      </w:r>
      <w:r>
        <w:rPr>
          <w:i/>
          <w:lang w:val="en-GB"/>
        </w:rPr>
        <w:t>American Economic Review</w:t>
      </w:r>
      <w:r>
        <w:rPr>
          <w:lang w:val="en-GB"/>
        </w:rPr>
        <w:t>, vol. 95, no. 2, pp. 94–98.</w:t>
      </w:r>
    </w:p>
  </w:footnote>
  <w:footnote w:id="48">
    <w:p w14:paraId="1DFDB2F4" w14:textId="77777777" w:rsidR="008424B3" w:rsidRDefault="008424B3" w:rsidP="00EF7FD5">
      <w:pPr>
        <w:pStyle w:val="FootnoteText"/>
        <w:rPr>
          <w:lang w:val="en-GB"/>
        </w:rPr>
      </w:pPr>
      <w:r>
        <w:rPr>
          <w:rStyle w:val="FootnoteReference"/>
          <w:lang w:val="en-GB"/>
        </w:rPr>
        <w:footnoteRef/>
      </w:r>
      <w:r>
        <w:rPr>
          <w:lang w:val="en-GB"/>
        </w:rPr>
        <w:t xml:space="preserve"> Taylor, D. &amp; Doria, J. 1981, ‘Self-serving and group-serving bias in attribution’, </w:t>
      </w:r>
      <w:r>
        <w:rPr>
          <w:i/>
          <w:lang w:val="en-GB"/>
        </w:rPr>
        <w:t>Journal of Social Psychology</w:t>
      </w:r>
      <w:r>
        <w:rPr>
          <w:lang w:val="en-GB"/>
        </w:rPr>
        <w:t>, vol. 113, no. 2, pp. 201–211.</w:t>
      </w:r>
    </w:p>
  </w:footnote>
  <w:footnote w:id="49">
    <w:p w14:paraId="28C6F576" w14:textId="77777777" w:rsidR="008424B3" w:rsidRDefault="008424B3" w:rsidP="00EF7FD5">
      <w:pPr>
        <w:pStyle w:val="FootnoteText"/>
        <w:rPr>
          <w:lang w:val="en-GB"/>
        </w:rPr>
      </w:pPr>
      <w:r>
        <w:rPr>
          <w:rStyle w:val="FootnoteReference"/>
          <w:lang w:val="en-GB"/>
        </w:rPr>
        <w:footnoteRef/>
      </w:r>
      <w:r>
        <w:rPr>
          <w:lang w:val="en-GB"/>
        </w:rPr>
        <w:t xml:space="preserve"> Nickerson, R. 1998, loc. cit.</w:t>
      </w:r>
    </w:p>
  </w:footnote>
  <w:footnote w:id="50">
    <w:p w14:paraId="73C379E5" w14:textId="77777777" w:rsidR="008424B3" w:rsidRDefault="008424B3" w:rsidP="00EF7FD5">
      <w:pPr>
        <w:pStyle w:val="FootnoteText"/>
        <w:rPr>
          <w:lang w:val="en-GB"/>
        </w:rPr>
      </w:pPr>
      <w:r>
        <w:rPr>
          <w:rStyle w:val="FootnoteReference"/>
          <w:lang w:val="en-GB"/>
        </w:rPr>
        <w:footnoteRef/>
      </w:r>
      <w:r>
        <w:rPr>
          <w:lang w:val="en-GB"/>
        </w:rPr>
        <w:t xml:space="preserve"> Nisbett, R. &amp; Wilson, T. 1977, ‘The halo effect: Evidence for unconscious alteration of judgments’, </w:t>
      </w:r>
      <w:r>
        <w:rPr>
          <w:i/>
          <w:lang w:val="en-GB"/>
        </w:rPr>
        <w:t>Journal of Personality and Social Psychology</w:t>
      </w:r>
      <w:r>
        <w:rPr>
          <w:lang w:val="en-GB"/>
        </w:rPr>
        <w:t>, vol. 35, no. 4, pp. 250–256.</w:t>
      </w:r>
    </w:p>
  </w:footnote>
  <w:footnote w:id="51">
    <w:p w14:paraId="2D2831B7" w14:textId="77777777" w:rsidR="008424B3" w:rsidRDefault="008424B3" w:rsidP="00EF7FD5">
      <w:pPr>
        <w:pStyle w:val="FootnoteText"/>
        <w:rPr>
          <w:lang w:val="en-GB"/>
        </w:rPr>
      </w:pPr>
      <w:r>
        <w:rPr>
          <w:rStyle w:val="FootnoteReference"/>
          <w:lang w:val="en-GB"/>
        </w:rPr>
        <w:footnoteRef/>
      </w:r>
      <w:r>
        <w:rPr>
          <w:lang w:val="en-GB"/>
        </w:rPr>
        <w:t xml:space="preserve"> Samuelson, W. &amp; Zeckhauser W. 1988, ‘Status quo bias in decision making’, </w:t>
      </w:r>
      <w:r>
        <w:rPr>
          <w:i/>
          <w:lang w:val="en-GB"/>
        </w:rPr>
        <w:t>Journal of Risk and Uncertainty</w:t>
      </w:r>
      <w:r>
        <w:rPr>
          <w:lang w:val="en-GB"/>
        </w:rPr>
        <w:t>, vol. 1, no. 1, pp. 7–59.</w:t>
      </w:r>
    </w:p>
  </w:footnote>
  <w:footnote w:id="52">
    <w:p w14:paraId="6C82373C" w14:textId="77777777" w:rsidR="008424B3" w:rsidRDefault="008424B3" w:rsidP="00D373AB">
      <w:pPr>
        <w:pStyle w:val="FootnoteText"/>
        <w:rPr>
          <w:lang w:val="en-GB"/>
        </w:rPr>
      </w:pPr>
      <w:r>
        <w:rPr>
          <w:rStyle w:val="FootnoteReference"/>
          <w:lang w:val="en-GB"/>
        </w:rPr>
        <w:footnoteRef/>
      </w:r>
      <w:r>
        <w:rPr>
          <w:lang w:val="en-GB"/>
        </w:rPr>
        <w:t xml:space="preserve"> Transport for NSW 2013, </w:t>
      </w:r>
      <w:r>
        <w:rPr>
          <w:i/>
          <w:lang w:val="en-GB"/>
        </w:rPr>
        <w:t>Sydney City Centre Access Strategy</w:t>
      </w:r>
      <w:r>
        <w:rPr>
          <w:lang w:val="en-GB"/>
        </w:rPr>
        <w:t>, Transport for NSW, Sydney.</w:t>
      </w:r>
    </w:p>
  </w:footnote>
  <w:footnote w:id="53">
    <w:p w14:paraId="71FEBA56" w14:textId="77777777" w:rsidR="008424B3" w:rsidRDefault="008424B3" w:rsidP="00D373AB">
      <w:pPr>
        <w:pStyle w:val="FootnoteText"/>
        <w:rPr>
          <w:lang w:val="en-GB"/>
        </w:rPr>
      </w:pPr>
      <w:r>
        <w:rPr>
          <w:rStyle w:val="FootnoteReference"/>
          <w:lang w:val="en-GB"/>
        </w:rPr>
        <w:footnoteRef/>
      </w:r>
      <w:r>
        <w:rPr>
          <w:lang w:val="en-GB"/>
        </w:rPr>
        <w:t xml:space="preserve"> Ibid.</w:t>
      </w:r>
    </w:p>
  </w:footnote>
  <w:footnote w:id="54">
    <w:p w14:paraId="7D2F85F2" w14:textId="77777777" w:rsidR="008424B3" w:rsidRDefault="008424B3" w:rsidP="00D373AB">
      <w:pPr>
        <w:pStyle w:val="FootnoteText"/>
        <w:rPr>
          <w:lang w:val="en-GB"/>
        </w:rPr>
      </w:pPr>
      <w:r>
        <w:rPr>
          <w:rStyle w:val="FootnoteReference"/>
          <w:lang w:val="en-GB"/>
        </w:rPr>
        <w:footnoteRef/>
      </w:r>
      <w:r>
        <w:rPr>
          <w:lang w:val="en-GB"/>
        </w:rPr>
        <w:t xml:space="preserve"> Transport for NSW, </w:t>
      </w:r>
      <w:r w:rsidRPr="004476F5">
        <w:rPr>
          <w:i/>
          <w:lang w:val="en-GB"/>
        </w:rPr>
        <w:t>Travel Choices Handbook</w:t>
      </w:r>
      <w:r>
        <w:rPr>
          <w:lang w:val="en-GB"/>
        </w:rPr>
        <w:t>, Transport for NSW, Sydney, accessed 4 April 2018, http://data.mysydney.nsw.gov.au/files/s3fs-public/Travel%20Choices%20Handbook.pdf.</w:t>
      </w:r>
    </w:p>
  </w:footnote>
  <w:footnote w:id="55">
    <w:p w14:paraId="6DD79E22" w14:textId="77777777" w:rsidR="008424B3" w:rsidRDefault="008424B3" w:rsidP="002C0991">
      <w:pPr>
        <w:pStyle w:val="FootnoteText"/>
        <w:rPr>
          <w:color w:val="222222"/>
          <w:lang w:val="en-GB"/>
        </w:rPr>
      </w:pPr>
      <w:r>
        <w:rPr>
          <w:rStyle w:val="FootnoteReference"/>
          <w:lang w:val="en-GB"/>
        </w:rPr>
        <w:footnoteRef/>
      </w:r>
      <w:r>
        <w:rPr>
          <w:lang w:val="en-GB"/>
        </w:rPr>
        <w:t xml:space="preserve"> Schultz, P. et al. 2007, ‘The constructive, destructive, and reconstructive power of social norms’, </w:t>
      </w:r>
      <w:r>
        <w:rPr>
          <w:i/>
          <w:lang w:val="en-GB"/>
        </w:rPr>
        <w:t>Psychological Science</w:t>
      </w:r>
      <w:r>
        <w:rPr>
          <w:lang w:val="en-GB"/>
        </w:rPr>
        <w:t>, vol. 18, no. 5, pp. 429–434.</w:t>
      </w:r>
    </w:p>
  </w:footnote>
  <w:footnote w:id="56">
    <w:p w14:paraId="03DA7CD6" w14:textId="77777777" w:rsidR="008424B3" w:rsidRDefault="008424B3" w:rsidP="002C0991">
      <w:pPr>
        <w:pStyle w:val="FootnoteText"/>
        <w:rPr>
          <w:lang w:val="en-GB"/>
        </w:rPr>
      </w:pPr>
      <w:r>
        <w:rPr>
          <w:rStyle w:val="FootnoteReference"/>
          <w:lang w:val="en-GB"/>
        </w:rPr>
        <w:footnoteRef/>
      </w:r>
      <w:r>
        <w:rPr>
          <w:lang w:val="en-GB"/>
        </w:rPr>
        <w:t xml:space="preserve"> Kahneman, D., Knetsch, J. &amp; Thaler, R. 1991, ‘Anomalies: The endowment effect, loss aversion, and status quo bias’, </w:t>
      </w:r>
      <w:r>
        <w:rPr>
          <w:i/>
          <w:lang w:val="en-GB"/>
        </w:rPr>
        <w:t>Journal of Economic Perspectives</w:t>
      </w:r>
      <w:r>
        <w:rPr>
          <w:lang w:val="en-GB"/>
        </w:rPr>
        <w:t>, vol. 5, no. 1, pp. 193–206.</w:t>
      </w:r>
    </w:p>
  </w:footnote>
  <w:footnote w:id="57">
    <w:p w14:paraId="47D72F12" w14:textId="77777777" w:rsidR="008424B3" w:rsidRDefault="008424B3" w:rsidP="002C0991">
      <w:pPr>
        <w:pStyle w:val="FootnoteText"/>
        <w:rPr>
          <w:lang w:val="en-GB"/>
        </w:rPr>
      </w:pPr>
      <w:r>
        <w:rPr>
          <w:rStyle w:val="FootnoteReference"/>
          <w:lang w:val="en-GB"/>
        </w:rPr>
        <w:footnoteRef/>
      </w:r>
      <w:r>
        <w:rPr>
          <w:lang w:val="en-GB"/>
        </w:rPr>
        <w:t xml:space="preserve"> Wiryakusuma, C., Chai H., King, A. &amp; Pointer, G. 2017, ‘How we nudged employees to embrace flexible work’, </w:t>
      </w:r>
      <w:r>
        <w:rPr>
          <w:i/>
          <w:lang w:val="en-GB"/>
        </w:rPr>
        <w:t>Harvard Business Review</w:t>
      </w:r>
      <w:r>
        <w:rPr>
          <w:lang w:val="en-GB"/>
        </w:rPr>
        <w:t>, viewed 8 March 2018,</w:t>
      </w:r>
      <w:r w:rsidRPr="004476F5">
        <w:rPr>
          <w:lang w:val="en-GB"/>
        </w:rPr>
        <w:t xml:space="preserve"> </w:t>
      </w:r>
      <w:hyperlink r:id="rId3" w:history="1">
        <w:r w:rsidRPr="004476F5">
          <w:rPr>
            <w:rStyle w:val="Hyperlink"/>
            <w:color w:val="3F3F3F" w:themeColor="text1"/>
            <w:lang w:val="en-GB"/>
          </w:rPr>
          <w:t>https://hbr.org/2017/11/how-we-nudged-employees-to-embrace-flexible-work</w:t>
        </w:r>
      </w:hyperlink>
      <w:r>
        <w:rPr>
          <w:lang w:val="en-GB"/>
        </w:rPr>
        <w:t xml:space="preserve">. </w:t>
      </w:r>
    </w:p>
  </w:footnote>
  <w:footnote w:id="58">
    <w:p w14:paraId="7DC7C86D" w14:textId="77777777" w:rsidR="008424B3" w:rsidRDefault="008424B3" w:rsidP="009525D0">
      <w:pPr>
        <w:pStyle w:val="FootnoteText"/>
        <w:rPr>
          <w:lang w:val="en-GB"/>
        </w:rPr>
      </w:pPr>
      <w:r>
        <w:rPr>
          <w:rStyle w:val="FootnoteReference"/>
          <w:lang w:val="en-GB"/>
        </w:rPr>
        <w:footnoteRef/>
      </w:r>
      <w:r>
        <w:rPr>
          <w:lang w:val="en-GB"/>
        </w:rPr>
        <w:t xml:space="preserve"> Australian Bureau of Statistics 2013, </w:t>
      </w:r>
      <w:r>
        <w:rPr>
          <w:i/>
          <w:lang w:val="en-GB"/>
        </w:rPr>
        <w:t>Population Projections, Australia</w:t>
      </w:r>
      <w:r>
        <w:rPr>
          <w:lang w:val="en-GB"/>
        </w:rPr>
        <w:t xml:space="preserve"> </w:t>
      </w:r>
      <w:r>
        <w:rPr>
          <w:i/>
          <w:lang w:val="en-GB"/>
        </w:rPr>
        <w:t>2012</w:t>
      </w:r>
      <w:r>
        <w:rPr>
          <w:lang w:val="en-GB"/>
        </w:rPr>
        <w:t>, cat. no. 3222.0, ABS, Canberra.</w:t>
      </w:r>
    </w:p>
  </w:footnote>
  <w:footnote w:id="59">
    <w:p w14:paraId="74610464" w14:textId="17A59DED" w:rsidR="008424B3" w:rsidRDefault="008424B3" w:rsidP="009525D0">
      <w:pPr>
        <w:pStyle w:val="FootnoteText"/>
        <w:rPr>
          <w:lang w:val="en-GB"/>
        </w:rPr>
      </w:pPr>
      <w:r>
        <w:rPr>
          <w:rStyle w:val="FootnoteReference"/>
          <w:lang w:val="en-GB"/>
        </w:rPr>
        <w:footnoteRef/>
      </w:r>
      <w:r>
        <w:rPr>
          <w:lang w:val="en-GB"/>
        </w:rPr>
        <w:t xml:space="preserve"> For example, see Choi, J. et al. 2004, </w:t>
      </w:r>
      <w:r>
        <w:rPr>
          <w:i/>
          <w:lang w:val="en-GB"/>
        </w:rPr>
        <w:t>For better or for worse: Default effects and 401(k) savings behavior</w:t>
      </w:r>
      <w:r>
        <w:rPr>
          <w:lang w:val="en-GB"/>
        </w:rPr>
        <w:t xml:space="preserve">, National Bureau of Economic Research, Cambridge, Massachusetts; Gerrans, P. 2012, ‘Retirement savings investment choices in response to the global financial crisis: Australian evidence’, </w:t>
      </w:r>
      <w:r>
        <w:rPr>
          <w:i/>
          <w:lang w:val="en-GB"/>
        </w:rPr>
        <w:t>Australian Journal of Management</w:t>
      </w:r>
      <w:r>
        <w:rPr>
          <w:lang w:val="en-GB"/>
        </w:rPr>
        <w:t>, vol. 37, no. 3, pp. 415–39.</w:t>
      </w:r>
    </w:p>
  </w:footnote>
  <w:footnote w:id="60">
    <w:p w14:paraId="5357A59C" w14:textId="77777777" w:rsidR="008424B3" w:rsidRDefault="008424B3" w:rsidP="00A50939">
      <w:pPr>
        <w:pStyle w:val="FootnoteText"/>
        <w:rPr>
          <w:lang w:val="en-GB"/>
        </w:rPr>
      </w:pPr>
      <w:r>
        <w:rPr>
          <w:rStyle w:val="FootnoteReference"/>
          <w:lang w:val="en-GB"/>
        </w:rPr>
        <w:footnoteRef/>
      </w:r>
      <w:r>
        <w:rPr>
          <w:lang w:val="en-GB"/>
        </w:rPr>
        <w:t xml:space="preserve"> de Goeij, P., Hogendoorn, T. &amp; Van Campenhout, G. 2014, ‘Pictures are worth a thousand words: Graphical information and investment decision making’, </w:t>
      </w:r>
      <w:r>
        <w:rPr>
          <w:i/>
          <w:lang w:val="en-GB"/>
        </w:rPr>
        <w:t>Working paper</w:t>
      </w:r>
      <w:r>
        <w:rPr>
          <w:lang w:val="en-GB"/>
        </w:rPr>
        <w:t xml:space="preserve">; Kaufmann, C., Weber, M. &amp; Haisley, E. 2013, ‘The role of experience sampling and graphical displays on one’s investment risk appetite’, </w:t>
      </w:r>
      <w:r>
        <w:rPr>
          <w:i/>
          <w:lang w:val="en-GB"/>
        </w:rPr>
        <w:t>Management Science</w:t>
      </w:r>
      <w:r>
        <w:rPr>
          <w:lang w:val="en-GB"/>
        </w:rPr>
        <w:t>, vol. 59, no. 2, pp. 323–40.</w:t>
      </w:r>
    </w:p>
  </w:footnote>
  <w:footnote w:id="61">
    <w:p w14:paraId="58BB7D1B" w14:textId="77777777" w:rsidR="008424B3" w:rsidRDefault="008424B3" w:rsidP="005D0412">
      <w:pPr>
        <w:pStyle w:val="FootnoteText"/>
        <w:rPr>
          <w:lang w:val="en-GB"/>
        </w:rPr>
      </w:pPr>
      <w:r>
        <w:rPr>
          <w:rStyle w:val="FootnoteReference"/>
          <w:lang w:val="en-GB"/>
        </w:rPr>
        <w:footnoteRef/>
      </w:r>
      <w:r>
        <w:rPr>
          <w:lang w:val="en-GB"/>
        </w:rPr>
        <w:t xml:space="preserve"> Gardner, J. &amp; Nilsson, D. 2017, </w:t>
      </w:r>
      <w:r>
        <w:rPr>
          <w:i/>
          <w:lang w:val="en-GB"/>
        </w:rPr>
        <w:t>Exploring the drivers and barriers of consumer engagement in the Victorian retail energy market</w:t>
      </w:r>
      <w:r>
        <w:rPr>
          <w:lang w:val="en-GB"/>
        </w:rPr>
        <w:t xml:space="preserve">, report for the Department of Environment, Land, Water and Planning, CSIRO, Australia; Jacoby, J. et al. 1974, ‘Brand choice behavior as a function of information load’, </w:t>
      </w:r>
      <w:r>
        <w:rPr>
          <w:i/>
          <w:lang w:val="en-GB"/>
        </w:rPr>
        <w:t>Journal of Marketing Research</w:t>
      </w:r>
      <w:r>
        <w:rPr>
          <w:lang w:val="en-GB"/>
        </w:rPr>
        <w:t>, vol. 11, pp. 63–69.</w:t>
      </w:r>
    </w:p>
  </w:footnote>
  <w:footnote w:id="62">
    <w:p w14:paraId="2BBB6D25" w14:textId="77777777" w:rsidR="008424B3" w:rsidRDefault="008424B3" w:rsidP="005D0412">
      <w:pPr>
        <w:pStyle w:val="FootnoteText"/>
      </w:pPr>
      <w:r>
        <w:rPr>
          <w:rStyle w:val="FootnoteReference"/>
        </w:rPr>
        <w:footnoteRef/>
      </w:r>
      <w:r>
        <w:t xml:space="preserve"> Australian Energy Market Commission 2017,</w:t>
      </w:r>
      <w:r w:rsidRPr="0068521A">
        <w:t xml:space="preserve"> </w:t>
      </w:r>
      <w:r w:rsidRPr="0068521A">
        <w:rPr>
          <w:i/>
        </w:rPr>
        <w:t>2017 AEMC Retail Energy Competition Review</w:t>
      </w:r>
      <w:r w:rsidRPr="0068521A">
        <w:t xml:space="preserve">, </w:t>
      </w:r>
      <w:r>
        <w:t>Final report</w:t>
      </w:r>
      <w:r w:rsidRPr="0068521A">
        <w:t>, 25 July 2017</w:t>
      </w:r>
      <w:r>
        <w:t>, AEMC,</w:t>
      </w:r>
      <w:r w:rsidRPr="0068521A">
        <w:t xml:space="preserve"> Sydney.</w:t>
      </w:r>
    </w:p>
  </w:footnote>
  <w:footnote w:id="63">
    <w:p w14:paraId="5056F357" w14:textId="77777777" w:rsidR="008424B3" w:rsidRDefault="008424B3" w:rsidP="005D0412">
      <w:pPr>
        <w:pStyle w:val="FootnoteText"/>
      </w:pPr>
      <w:r>
        <w:rPr>
          <w:rStyle w:val="FootnoteReference"/>
        </w:rPr>
        <w:footnoteRef/>
      </w:r>
      <w:r>
        <w:t xml:space="preserve"> Australian Competition and Consumer Commission</w:t>
      </w:r>
      <w:r w:rsidRPr="00D96541">
        <w:t xml:space="preserve"> 2017</w:t>
      </w:r>
      <w:r>
        <w:t xml:space="preserve">, </w:t>
      </w:r>
      <w:r w:rsidRPr="00D96541">
        <w:rPr>
          <w:i/>
        </w:rPr>
        <w:t>Retail Electricity Pricing Inquiry: Preliminary Report</w:t>
      </w:r>
      <w:r>
        <w:t>, ACCC, Canberra.</w:t>
      </w:r>
    </w:p>
  </w:footnote>
  <w:footnote w:id="64">
    <w:p w14:paraId="68CAFBF7" w14:textId="77777777" w:rsidR="008424B3" w:rsidRDefault="008424B3" w:rsidP="005D0412">
      <w:pPr>
        <w:pStyle w:val="FootnoteText"/>
        <w:rPr>
          <w:lang w:val="en-GB"/>
        </w:rPr>
      </w:pPr>
      <w:r>
        <w:rPr>
          <w:rStyle w:val="FootnoteReference"/>
          <w:lang w:val="en-GB"/>
        </w:rPr>
        <w:footnoteRef/>
      </w:r>
      <w:r>
        <w:rPr>
          <w:lang w:val="en-GB"/>
        </w:rPr>
        <w:t xml:space="preserve"> Gigerenzer, G., Todd, P. &amp; ABC Research Group 1999, </w:t>
      </w:r>
      <w:r>
        <w:rPr>
          <w:i/>
          <w:lang w:val="en-GB"/>
        </w:rPr>
        <w:t>Simple heuristics that make us smart</w:t>
      </w:r>
      <w:r>
        <w:rPr>
          <w:lang w:val="en-GB"/>
        </w:rPr>
        <w:t>, Oxford University Press, New York.</w:t>
      </w:r>
    </w:p>
  </w:footnote>
  <w:footnote w:id="65">
    <w:p w14:paraId="4E31278B" w14:textId="77777777" w:rsidR="008424B3" w:rsidRDefault="008424B3" w:rsidP="005D0412">
      <w:pPr>
        <w:pStyle w:val="FootnoteText"/>
        <w:rPr>
          <w:lang w:val="en-GB"/>
        </w:rPr>
      </w:pPr>
      <w:r>
        <w:rPr>
          <w:rStyle w:val="FootnoteReference"/>
          <w:lang w:val="en-GB"/>
        </w:rPr>
        <w:footnoteRef/>
      </w:r>
      <w:r>
        <w:rPr>
          <w:lang w:val="en-GB"/>
        </w:rPr>
        <w:t xml:space="preserve"> Simon, H. 1972, ‘Theories of bounded rationality’, </w:t>
      </w:r>
      <w:r>
        <w:rPr>
          <w:i/>
          <w:lang w:val="en-GB"/>
        </w:rPr>
        <w:t>Decision and Organization</w:t>
      </w:r>
      <w:r>
        <w:rPr>
          <w:lang w:val="en-GB"/>
        </w:rPr>
        <w:t xml:space="preserve">, vol. 1, pp. 161–176; Tversky, A. 1972, ‘Elimination by aspects: A theory of choice’, </w:t>
      </w:r>
      <w:r>
        <w:rPr>
          <w:i/>
          <w:lang w:val="en-GB"/>
        </w:rPr>
        <w:t>Psychological Review</w:t>
      </w:r>
      <w:r>
        <w:rPr>
          <w:lang w:val="en-GB"/>
        </w:rPr>
        <w:t>, vol. 79, pp. 281–299.</w:t>
      </w:r>
    </w:p>
  </w:footnote>
  <w:footnote w:id="66">
    <w:p w14:paraId="0C8AD63E" w14:textId="77777777" w:rsidR="008424B3" w:rsidRDefault="008424B3" w:rsidP="00D3490E">
      <w:pPr>
        <w:pStyle w:val="FootnoteText"/>
        <w:rPr>
          <w:lang w:val="en-GB"/>
        </w:rPr>
      </w:pPr>
      <w:r>
        <w:rPr>
          <w:rStyle w:val="FootnoteReference"/>
          <w:lang w:val="en-GB"/>
        </w:rPr>
        <w:footnoteRef/>
      </w:r>
      <w:r>
        <w:rPr>
          <w:lang w:val="en-GB"/>
        </w:rPr>
        <w:t xml:space="preserve"> Lunn, P. &amp; Bohacek, M. 2017, ‘Price transparency in residential electricity: Experiments for regulatory policy’, </w:t>
      </w:r>
      <w:r>
        <w:rPr>
          <w:i/>
          <w:iCs/>
          <w:lang w:val="en-GB"/>
        </w:rPr>
        <w:t>Journal of Behavioral Economics for Policy</w:t>
      </w:r>
      <w:r>
        <w:rPr>
          <w:lang w:val="en-GB"/>
        </w:rPr>
        <w:t>,</w:t>
      </w:r>
      <w:r>
        <w:rPr>
          <w:iCs/>
          <w:lang w:val="en-GB"/>
        </w:rPr>
        <w:t xml:space="preserve"> vol. 1, no. </w:t>
      </w:r>
      <w:r>
        <w:rPr>
          <w:lang w:val="en-GB"/>
        </w:rPr>
        <w:t>2, pp. 31–37.</w:t>
      </w:r>
    </w:p>
  </w:footnote>
  <w:footnote w:id="67">
    <w:p w14:paraId="4549D09B" w14:textId="77777777" w:rsidR="008424B3" w:rsidRDefault="008424B3" w:rsidP="00D3490E">
      <w:pPr>
        <w:pStyle w:val="FootnoteText"/>
        <w:rPr>
          <w:lang w:val="en-GB"/>
        </w:rPr>
      </w:pPr>
      <w:r>
        <w:rPr>
          <w:rStyle w:val="FootnoteReference"/>
          <w:lang w:val="en-GB"/>
        </w:rPr>
        <w:footnoteRef/>
      </w:r>
      <w:r>
        <w:rPr>
          <w:lang w:val="en-GB"/>
        </w:rPr>
        <w:t xml:space="preserve"> Sitzia, S. Zheng, J. &amp; Zizzo, D. 2015, ‘Inattentive consumers in markets for services’, </w:t>
      </w:r>
      <w:r>
        <w:rPr>
          <w:i/>
          <w:iCs/>
          <w:lang w:val="en-GB"/>
        </w:rPr>
        <w:t>Theory and Decision</w:t>
      </w:r>
      <w:r>
        <w:rPr>
          <w:lang w:val="en-GB"/>
        </w:rPr>
        <w:t xml:space="preserve">, vol. </w:t>
      </w:r>
      <w:r>
        <w:rPr>
          <w:iCs/>
          <w:lang w:val="en-GB"/>
        </w:rPr>
        <w:t xml:space="preserve">79, no. </w:t>
      </w:r>
      <w:r>
        <w:rPr>
          <w:lang w:val="en-GB"/>
        </w:rPr>
        <w:t>2, pp. 307–332.</w:t>
      </w:r>
    </w:p>
  </w:footnote>
  <w:footnote w:id="68">
    <w:p w14:paraId="3BD49A1C" w14:textId="77777777" w:rsidR="008424B3" w:rsidRDefault="008424B3" w:rsidP="00D3490E">
      <w:pPr>
        <w:pStyle w:val="FootnoteText"/>
        <w:rPr>
          <w:lang w:val="en-GB"/>
        </w:rPr>
      </w:pPr>
      <w:r>
        <w:rPr>
          <w:rStyle w:val="FootnoteReference"/>
          <w:lang w:val="en-GB"/>
        </w:rPr>
        <w:footnoteRef/>
      </w:r>
      <w:r>
        <w:rPr>
          <w:lang w:val="en-GB"/>
        </w:rPr>
        <w:t xml:space="preserve"> Sugden, R. &amp; Zheng, J. 2017, ‘Do consumers take advantage of common pricing standards? An experimental investigation’, </w:t>
      </w:r>
      <w:r>
        <w:rPr>
          <w:i/>
          <w:lang w:val="en-GB"/>
        </w:rPr>
        <w:t>Management Science</w:t>
      </w:r>
      <w:r>
        <w:rPr>
          <w:lang w:val="en-GB"/>
        </w:rPr>
        <w:t>, Articles in Advance.</w:t>
      </w:r>
    </w:p>
  </w:footnote>
  <w:footnote w:id="69">
    <w:p w14:paraId="29A48DE2" w14:textId="77777777" w:rsidR="008424B3" w:rsidRDefault="008424B3" w:rsidP="00F20346">
      <w:pPr>
        <w:keepLines w:val="0"/>
        <w:autoSpaceDE w:val="0"/>
        <w:autoSpaceDN w:val="0"/>
        <w:adjustRightInd w:val="0"/>
        <w:spacing w:before="0" w:after="0" w:line="240" w:lineRule="auto"/>
        <w:rPr>
          <w:rFonts w:ascii="ApercuPro" w:hAnsi="ApercuPro" w:cs="ApercuPro"/>
          <w:color w:val="auto"/>
          <w:sz w:val="18"/>
          <w:szCs w:val="18"/>
        </w:rPr>
      </w:pPr>
      <w:r>
        <w:rPr>
          <w:rStyle w:val="FootnoteReference"/>
        </w:rPr>
        <w:footnoteRef/>
      </w:r>
      <w:r>
        <w:t xml:space="preserve"> </w:t>
      </w:r>
      <w:r>
        <w:rPr>
          <w:rStyle w:val="FootnoteTextChar"/>
        </w:rPr>
        <w:t>Australian Communications and Media Authority</w:t>
      </w:r>
      <w:r>
        <w:rPr>
          <w:lang w:val="en-US"/>
        </w:rPr>
        <w:t xml:space="preserve"> </w:t>
      </w:r>
      <w:r>
        <w:rPr>
          <w:rStyle w:val="FootnoteTextChar"/>
        </w:rPr>
        <w:t xml:space="preserve">2014, </w:t>
      </w:r>
      <w:r>
        <w:rPr>
          <w:rStyle w:val="FootnoteTextChar"/>
          <w:i/>
        </w:rPr>
        <w:t>Aussie teens online</w:t>
      </w:r>
      <w:r>
        <w:rPr>
          <w:rStyle w:val="FootnoteTextChar"/>
        </w:rPr>
        <w:t xml:space="preserve">, research snapshot, ACMA, Melbourne, accessed 24 April 2018, </w:t>
      </w:r>
      <w:hyperlink r:id="rId4" w:history="1">
        <w:r>
          <w:rPr>
            <w:rStyle w:val="FootnoteTextChar"/>
          </w:rPr>
          <w:t>https://www.acma.gov.au/theACMA/engage-blogs/engage-blogs/Research-snapshots/Aussie-teens-online</w:t>
        </w:r>
      </w:hyperlink>
      <w:r>
        <w:rPr>
          <w:rFonts w:ascii="ApercuPro" w:hAnsi="ApercuPro" w:cs="ApercuPro"/>
          <w:color w:val="auto"/>
          <w:sz w:val="18"/>
          <w:szCs w:val="18"/>
        </w:rPr>
        <w:t>.</w:t>
      </w:r>
    </w:p>
  </w:footnote>
  <w:footnote w:id="70">
    <w:p w14:paraId="28E3DD89" w14:textId="77777777" w:rsidR="008424B3" w:rsidRDefault="008424B3" w:rsidP="00F20346">
      <w:pPr>
        <w:pStyle w:val="FootnoteText"/>
        <w:rPr>
          <w:lang w:val="en-GB"/>
        </w:rPr>
      </w:pPr>
      <w:r>
        <w:rPr>
          <w:rStyle w:val="FootnoteReference"/>
          <w:lang w:val="en-GB"/>
        </w:rPr>
        <w:footnoteRef/>
      </w:r>
      <w:r>
        <w:rPr>
          <w:lang w:val="en-GB"/>
        </w:rPr>
        <w:t xml:space="preserve"> Boyd, D. 2014, </w:t>
      </w:r>
      <w:r>
        <w:rPr>
          <w:i/>
          <w:lang w:val="en-GB"/>
        </w:rPr>
        <w:t>It's complicated: The social lives of networked teens</w:t>
      </w:r>
      <w:r>
        <w:rPr>
          <w:lang w:val="en-GB"/>
        </w:rPr>
        <w:t>, Yale University Press, New Haven, Connecticut.</w:t>
      </w:r>
    </w:p>
  </w:footnote>
  <w:footnote w:id="71">
    <w:p w14:paraId="194C577A" w14:textId="77777777" w:rsidR="008424B3" w:rsidRDefault="008424B3" w:rsidP="00F20346">
      <w:pPr>
        <w:pStyle w:val="FootnoteText"/>
        <w:rPr>
          <w:lang w:val="en-GB"/>
        </w:rPr>
      </w:pPr>
      <w:r>
        <w:rPr>
          <w:rStyle w:val="FootnoteReference"/>
          <w:lang w:val="en-GB"/>
        </w:rPr>
        <w:footnoteRef/>
      </w:r>
      <w:r>
        <w:rPr>
          <w:lang w:val="en-GB"/>
        </w:rPr>
        <w:t xml:space="preserve"> Bandura, A. 2016, </w:t>
      </w:r>
      <w:r>
        <w:rPr>
          <w:i/>
          <w:lang w:val="en-GB"/>
        </w:rPr>
        <w:t>Moral disengagement: How people do harm and live with themselves</w:t>
      </w:r>
      <w:r>
        <w:rPr>
          <w:lang w:val="en-GB"/>
        </w:rPr>
        <w:t>, 1st edn., Worth Publishers, New York.</w:t>
      </w:r>
    </w:p>
  </w:footnote>
  <w:footnote w:id="72">
    <w:p w14:paraId="3DBC2661" w14:textId="77777777" w:rsidR="008424B3" w:rsidRDefault="008424B3" w:rsidP="00F51E6A">
      <w:pPr>
        <w:pStyle w:val="FootnoteText"/>
        <w:rPr>
          <w:lang w:val="en-GB"/>
        </w:rPr>
      </w:pPr>
      <w:r>
        <w:rPr>
          <w:rStyle w:val="FootnoteReference"/>
          <w:lang w:val="en-GB"/>
        </w:rPr>
        <w:footnoteRef/>
      </w:r>
      <w:r>
        <w:rPr>
          <w:lang w:val="en-GB"/>
        </w:rPr>
        <w:t xml:space="preserve"> Department of Social Services 2017, </w:t>
      </w:r>
      <w:r>
        <w:rPr>
          <w:i/>
          <w:lang w:val="en-GB"/>
        </w:rPr>
        <w:t>Try, Test and Learn Fund: Strengthening students’ resilience</w:t>
      </w:r>
      <w:r>
        <w:rPr>
          <w:lang w:val="en-GB"/>
        </w:rPr>
        <w:t>, fact sheet, DSS, Canberra, viewed 24 March 2018, https://www.dss.gov.au/sites/default/files/documents/11_2017/strengthening_students_resilience_factsheet.pdf.</w:t>
      </w:r>
    </w:p>
  </w:footnote>
  <w:footnote w:id="73">
    <w:p w14:paraId="761927A2" w14:textId="77777777" w:rsidR="008424B3" w:rsidRDefault="008424B3" w:rsidP="00F51E6A">
      <w:pPr>
        <w:pStyle w:val="FootnoteText"/>
        <w:rPr>
          <w:lang w:val="en-GB"/>
        </w:rPr>
      </w:pPr>
      <w:r>
        <w:rPr>
          <w:rStyle w:val="FootnoteReference"/>
          <w:lang w:val="en-GB"/>
        </w:rPr>
        <w:footnoteRef/>
      </w:r>
      <w:r>
        <w:rPr>
          <w:lang w:val="en-GB"/>
        </w:rPr>
        <w:t xml:space="preserve"> Hume, S. et al. 2018, </w:t>
      </w:r>
      <w:r>
        <w:rPr>
          <w:i/>
          <w:lang w:val="en-GB"/>
        </w:rPr>
        <w:t>Improving engagement and attainment in maths and English courses: insights from the behavioural research</w:t>
      </w:r>
      <w:r>
        <w:rPr>
          <w:lang w:val="en-GB"/>
        </w:rPr>
        <w:t>, Research and project report to the Department for Education, London.</w:t>
      </w:r>
    </w:p>
  </w:footnote>
  <w:footnote w:id="74">
    <w:p w14:paraId="098B38E5" w14:textId="77777777" w:rsidR="008424B3" w:rsidRDefault="008424B3" w:rsidP="00F51E6A">
      <w:pPr>
        <w:pStyle w:val="FootnoteText"/>
        <w:rPr>
          <w:lang w:val="en-GB"/>
        </w:rPr>
      </w:pPr>
      <w:r>
        <w:rPr>
          <w:rStyle w:val="FootnoteReference"/>
          <w:lang w:val="en-GB"/>
        </w:rPr>
        <w:footnoteRef/>
      </w:r>
      <w:r>
        <w:rPr>
          <w:lang w:val="en-GB"/>
        </w:rPr>
        <w:t xml:space="preserve"> Willis, L. 2017, ‘The Consumer Financial Protection Bureau and the quest for consumer comprehension’, </w:t>
      </w:r>
      <w:r>
        <w:rPr>
          <w:i/>
          <w:lang w:val="en-GB"/>
        </w:rPr>
        <w:t>3 Russell Sage Foundation Journal of the Social Sciences</w:t>
      </w:r>
      <w:r>
        <w:rPr>
          <w:lang w:val="en-GB"/>
        </w:rPr>
        <w:t xml:space="preserve">, vol. 3, no. 74; </w:t>
      </w:r>
      <w:r>
        <w:rPr>
          <w:i/>
          <w:lang w:val="en-GB"/>
        </w:rPr>
        <w:t>Los Angeles Legal Studies Research Paper No. 2017–19</w:t>
      </w:r>
      <w:r>
        <w:rPr>
          <w:lang w:val="en-GB"/>
        </w:rPr>
        <w:t>.</w:t>
      </w:r>
    </w:p>
  </w:footnote>
  <w:footnote w:id="75">
    <w:p w14:paraId="3D1270AC" w14:textId="77777777" w:rsidR="008424B3" w:rsidRDefault="008424B3" w:rsidP="00F51E6A">
      <w:pPr>
        <w:pStyle w:val="FootnoteText"/>
        <w:rPr>
          <w:lang w:val="en-GB"/>
        </w:rPr>
      </w:pPr>
      <w:r>
        <w:rPr>
          <w:rStyle w:val="FootnoteReference"/>
          <w:lang w:val="en-GB"/>
        </w:rPr>
        <w:footnoteRef/>
      </w:r>
      <w:r>
        <w:rPr>
          <w:lang w:val="en-GB"/>
        </w:rPr>
        <w:t xml:space="preserve"> Treasury 2014, Financial system inquiry, final report, Treasury, Canberra, accessed 22 January 2018, http://fsi.gov.au/publications/final-report</w:t>
      </w:r>
    </w:p>
  </w:footnote>
  <w:footnote w:id="76">
    <w:p w14:paraId="07795B44" w14:textId="77777777" w:rsidR="008424B3" w:rsidRDefault="008424B3" w:rsidP="00F51E6A">
      <w:pPr>
        <w:pStyle w:val="FootnoteText"/>
        <w:rPr>
          <w:lang w:val="en-GB"/>
        </w:rPr>
      </w:pPr>
      <w:r>
        <w:rPr>
          <w:rStyle w:val="FootnoteReference"/>
          <w:lang w:val="en-GB"/>
        </w:rPr>
        <w:footnoteRef/>
      </w:r>
      <w:r>
        <w:rPr>
          <w:lang w:val="en-GB"/>
        </w:rPr>
        <w:t xml:space="preserve"> Willis, L. 2015, ‘Performance-based consumer law’, </w:t>
      </w:r>
      <w:r>
        <w:rPr>
          <w:i/>
          <w:lang w:val="en-GB"/>
        </w:rPr>
        <w:t>University of Chicago Law Review</w:t>
      </w:r>
      <w:r>
        <w:rPr>
          <w:lang w:val="en-GB"/>
        </w:rPr>
        <w:t xml:space="preserve">, vol. 82, no. 1309; </w:t>
      </w:r>
      <w:r>
        <w:rPr>
          <w:i/>
          <w:lang w:val="en-GB"/>
        </w:rPr>
        <w:t>Loyola—LA Legal Studies Paper No. 2014–39</w:t>
      </w:r>
      <w:r>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C9802" w14:textId="006869D3" w:rsidR="008424B3" w:rsidRPr="00A577AA" w:rsidRDefault="008424B3" w:rsidP="00A577AA">
    <w:pPr>
      <w:pStyle w:val="Header"/>
      <w:pBdr>
        <w:bottom w:val="single" w:sz="8" w:space="6" w:color="188A79" w:themeColor="background2" w:themeShade="BF"/>
      </w:pBdr>
    </w:pPr>
    <w:r w:rsidRPr="001C173F">
      <w:t>Foreword</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04FB6" w14:textId="14205B7B" w:rsidR="008424B3" w:rsidRPr="00C8359D" w:rsidRDefault="008424B3" w:rsidP="00CB75DB">
    <w:pPr>
      <w:pStyle w:val="Header"/>
      <w:pBdr>
        <w:bottom w:val="single" w:sz="8" w:space="6" w:color="188A79" w:themeColor="background2" w:themeShade="BF"/>
      </w:pBdr>
    </w:pPr>
    <w:r>
      <w:rPr>
        <w:lang w:val="en-US"/>
      </w:rPr>
      <w:t>Protecting Australians from domestic violence</w:t>
    </w:r>
    <w:r>
      <w:rPr>
        <w:noProof/>
      </w:rPr>
      <w:drawing>
        <wp:anchor distT="0" distB="0" distL="114300" distR="114300" simplePos="0" relativeHeight="251662352" behindDoc="1" locked="0" layoutInCell="1" allowOverlap="1" wp14:anchorId="08EEE11F" wp14:editId="62ECF8B5">
          <wp:simplePos x="0" y="0"/>
          <wp:positionH relativeFrom="page">
            <wp:posOffset>0</wp:posOffset>
          </wp:positionH>
          <wp:positionV relativeFrom="page">
            <wp:posOffset>12700</wp:posOffset>
          </wp:positionV>
          <wp:extent cx="1065599" cy="10649910"/>
          <wp:effectExtent l="0" t="0" r="127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99" cy="1064991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16F1C" w14:textId="0631691A" w:rsidR="008424B3" w:rsidRPr="00CE3925" w:rsidRDefault="008424B3" w:rsidP="007A0328">
    <w:pPr>
      <w:pStyle w:val="Header"/>
      <w:pBdr>
        <w:bottom w:val="single" w:sz="8" w:space="6" w:color="188A79" w:themeColor="background2" w:themeShade="BF"/>
      </w:pBdr>
      <w:rPr>
        <w:lang w:val="en-US"/>
      </w:rPr>
    </w:pPr>
    <w:r>
      <w:rPr>
        <w:lang w:val="en-US"/>
      </w:rPr>
      <w:t>Protecting Australians from domestic violence</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437C8" w14:textId="38719103" w:rsidR="008424B3" w:rsidRPr="007116A4" w:rsidRDefault="008424B3" w:rsidP="001D551B">
    <w:r>
      <w:rPr>
        <w:noProof/>
      </w:rPr>
      <w:drawing>
        <wp:anchor distT="0" distB="0" distL="114300" distR="114300" simplePos="0" relativeHeight="251658242" behindDoc="1" locked="0" layoutInCell="1" allowOverlap="1" wp14:anchorId="77D4E7CB" wp14:editId="6D06D247">
          <wp:simplePos x="0" y="0"/>
          <wp:positionH relativeFrom="page">
            <wp:align>left</wp:align>
          </wp:positionH>
          <wp:positionV relativeFrom="page">
            <wp:align>top</wp:align>
          </wp:positionV>
          <wp:extent cx="7577598" cy="10710520"/>
          <wp:effectExtent l="0" t="0" r="4445" b="0"/>
          <wp:wrapNone/>
          <wp:docPr id="704" name="Picture 704" descr="Protecting Australians from domestic violence" titl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vers3.jpg"/>
                  <pic:cNvPicPr/>
                </pic:nvPicPr>
                <pic:blipFill>
                  <a:blip r:embed="rId1">
                    <a:extLst>
                      <a:ext uri="{28A0092B-C50C-407E-A947-70E740481C1C}">
                        <a14:useLocalDpi xmlns:a14="http://schemas.microsoft.com/office/drawing/2010/main" val="0"/>
                      </a:ext>
                    </a:extLst>
                  </a:blip>
                  <a:stretch>
                    <a:fillRect/>
                  </a:stretch>
                </pic:blipFill>
                <pic:spPr>
                  <a:xfrm>
                    <a:off x="0" y="0"/>
                    <a:ext cx="7577598" cy="1071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2DAD4" w14:textId="4F31C36F" w:rsidR="008424B3" w:rsidRPr="00C8359D" w:rsidRDefault="008424B3" w:rsidP="00C8359D">
    <w:pPr>
      <w:pStyle w:val="Header"/>
    </w:pPr>
    <w:r>
      <w:rPr>
        <w:lang w:val="en-US"/>
      </w:rPr>
      <w:t>Im</w:t>
    </w:r>
    <w:r w:rsidRPr="009757A5">
      <w:rPr>
        <w:lang w:val="en-US"/>
      </w:rPr>
      <w:t>proving</w:t>
    </w:r>
    <w:r>
      <w:rPr>
        <w:lang w:val="en-US"/>
      </w:rPr>
      <w:t xml:space="preserve"> economic outcomes for Australians</w:t>
    </w:r>
    <w:r>
      <w:rPr>
        <w:noProof/>
        <w:lang w:val="en-US" w:eastAsia="en-US"/>
      </w:rPr>
      <w:t xml:space="preserve"> </w:t>
    </w:r>
    <w:r>
      <w:rPr>
        <w:noProof/>
      </w:rPr>
      <w:drawing>
        <wp:anchor distT="0" distB="0" distL="114300" distR="114300" simplePos="0" relativeHeight="251664400" behindDoc="1" locked="0" layoutInCell="1" allowOverlap="1" wp14:anchorId="1601B117" wp14:editId="49269637">
          <wp:simplePos x="0" y="0"/>
          <wp:positionH relativeFrom="page">
            <wp:posOffset>0</wp:posOffset>
          </wp:positionH>
          <wp:positionV relativeFrom="page">
            <wp:posOffset>12705</wp:posOffset>
          </wp:positionV>
          <wp:extent cx="1065599" cy="10649900"/>
          <wp:effectExtent l="0" t="0" r="127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99" cy="106499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378CE" w14:textId="2CB67867" w:rsidR="008424B3" w:rsidRPr="00CE3925" w:rsidRDefault="008424B3" w:rsidP="007A0328">
    <w:pPr>
      <w:pStyle w:val="Header"/>
      <w:pBdr>
        <w:bottom w:val="single" w:sz="8" w:space="6" w:color="188A79" w:themeColor="background2" w:themeShade="BF"/>
      </w:pBdr>
      <w:rPr>
        <w:lang w:val="en-US"/>
      </w:rPr>
    </w:pPr>
    <w:r>
      <w:rPr>
        <w:lang w:val="en-US"/>
      </w:rPr>
      <w:t>Im</w:t>
    </w:r>
    <w:r w:rsidRPr="009757A5">
      <w:rPr>
        <w:lang w:val="en-US"/>
      </w:rPr>
      <w:t>proving</w:t>
    </w:r>
    <w:r>
      <w:rPr>
        <w:lang w:val="en-US"/>
      </w:rPr>
      <w:t xml:space="preserve"> economic outcomes for Australians</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D69DE" w14:textId="7CDBCB1E" w:rsidR="008424B3" w:rsidRPr="007116A4" w:rsidRDefault="008424B3" w:rsidP="001D551B">
    <w:r>
      <w:rPr>
        <w:noProof/>
      </w:rPr>
      <w:drawing>
        <wp:anchor distT="0" distB="0" distL="114300" distR="114300" simplePos="0" relativeHeight="251658243" behindDoc="1" locked="0" layoutInCell="1" allowOverlap="1" wp14:anchorId="170C490B" wp14:editId="44AF9F81">
          <wp:simplePos x="0" y="0"/>
          <wp:positionH relativeFrom="page">
            <wp:align>left</wp:align>
          </wp:positionH>
          <wp:positionV relativeFrom="page">
            <wp:align>top</wp:align>
          </wp:positionV>
          <wp:extent cx="7577598" cy="10710520"/>
          <wp:effectExtent l="0" t="0" r="4445" b="0"/>
          <wp:wrapNone/>
          <wp:docPr id="63491" name="Picture 63491" descr="Improving economic outcomes for Australians " titl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vers3.jpg"/>
                  <pic:cNvPicPr/>
                </pic:nvPicPr>
                <pic:blipFill>
                  <a:blip r:embed="rId1">
                    <a:extLst>
                      <a:ext uri="{28A0092B-C50C-407E-A947-70E740481C1C}">
                        <a14:useLocalDpi xmlns:a14="http://schemas.microsoft.com/office/drawing/2010/main" val="0"/>
                      </a:ext>
                    </a:extLst>
                  </a:blip>
                  <a:stretch>
                    <a:fillRect/>
                  </a:stretch>
                </pic:blipFill>
                <pic:spPr>
                  <a:xfrm>
                    <a:off x="0" y="0"/>
                    <a:ext cx="7577598" cy="1071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03248" w14:textId="1E780F5E" w:rsidR="008424B3" w:rsidRPr="00C8359D" w:rsidRDefault="008424B3" w:rsidP="00C8359D">
    <w:pPr>
      <w:pStyle w:val="Header"/>
    </w:pPr>
    <w:r>
      <w:rPr>
        <w:noProof/>
      </w:rPr>
      <w:drawing>
        <wp:anchor distT="0" distB="0" distL="114300" distR="114300" simplePos="0" relativeHeight="251668496" behindDoc="1" locked="0" layoutInCell="1" allowOverlap="1" wp14:anchorId="3C859D41" wp14:editId="7EF24397">
          <wp:simplePos x="0" y="0"/>
          <wp:positionH relativeFrom="page">
            <wp:posOffset>0</wp:posOffset>
          </wp:positionH>
          <wp:positionV relativeFrom="page">
            <wp:posOffset>8890</wp:posOffset>
          </wp:positionV>
          <wp:extent cx="1065530" cy="10649585"/>
          <wp:effectExtent l="0" t="0" r="127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30" cy="10649585"/>
                  </a:xfrm>
                  <a:prstGeom prst="rect">
                    <a:avLst/>
                  </a:prstGeom>
                </pic:spPr>
              </pic:pic>
            </a:graphicData>
          </a:graphic>
          <wp14:sizeRelH relativeFrom="margin">
            <wp14:pctWidth>0</wp14:pctWidth>
          </wp14:sizeRelH>
          <wp14:sizeRelV relativeFrom="margin">
            <wp14:pctHeight>0</wp14:pctHeight>
          </wp14:sizeRelV>
        </wp:anchor>
      </w:drawing>
    </w:r>
    <w:r>
      <w:rPr>
        <w:lang w:val="en-US"/>
      </w:rPr>
      <w:t>Im</w:t>
    </w:r>
    <w:r w:rsidRPr="009757A5">
      <w:rPr>
        <w:lang w:val="en-US"/>
      </w:rPr>
      <w:t>proving</w:t>
    </w:r>
    <w:r>
      <w:rPr>
        <w:lang w:val="en-US"/>
      </w:rPr>
      <w:t xml:space="preserve"> government service delivery</w:t>
    </w:r>
    <w:r>
      <w:rPr>
        <w:noProof/>
        <w:lang w:val="en-US" w:eastAsia="en-US"/>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0A08B" w14:textId="2F5092B5" w:rsidR="008424B3" w:rsidRPr="00CE3925" w:rsidRDefault="008424B3" w:rsidP="007A0328">
    <w:pPr>
      <w:pStyle w:val="Header"/>
      <w:pBdr>
        <w:bottom w:val="single" w:sz="8" w:space="6" w:color="188A79" w:themeColor="background2" w:themeShade="BF"/>
      </w:pBdr>
      <w:rPr>
        <w:lang w:val="en-US"/>
      </w:rPr>
    </w:pPr>
    <w:r>
      <w:rPr>
        <w:lang w:val="en-US"/>
      </w:rPr>
      <w:t>Im</w:t>
    </w:r>
    <w:r w:rsidRPr="009757A5">
      <w:rPr>
        <w:lang w:val="en-US"/>
      </w:rPr>
      <w:t>proving</w:t>
    </w:r>
    <w:r>
      <w:rPr>
        <w:lang w:val="en-US"/>
      </w:rPr>
      <w:t xml:space="preserve"> government service delivery</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E306E" w14:textId="140F45E8" w:rsidR="008424B3" w:rsidRPr="00E0639C" w:rsidRDefault="008424B3" w:rsidP="00E0639C">
    <w:pPr>
      <w:pStyle w:val="Header"/>
      <w:pBdr>
        <w:bottom w:val="none" w:sz="0" w:space="0" w:color="auto"/>
      </w:pBdr>
    </w:pPr>
    <w:r>
      <w:rPr>
        <w:noProof/>
      </w:rPr>
      <w:drawing>
        <wp:anchor distT="0" distB="0" distL="114300" distR="114300" simplePos="0" relativeHeight="251658254" behindDoc="1" locked="0" layoutInCell="1" allowOverlap="1" wp14:anchorId="5AB65C18" wp14:editId="608CDC01">
          <wp:simplePos x="0" y="0"/>
          <wp:positionH relativeFrom="page">
            <wp:align>right</wp:align>
          </wp:positionH>
          <wp:positionV relativeFrom="paragraph">
            <wp:posOffset>-431800</wp:posOffset>
          </wp:positionV>
          <wp:extent cx="7570382" cy="10675088"/>
          <wp:effectExtent l="0" t="0" r="0" b="0"/>
          <wp:wrapNone/>
          <wp:docPr id="63502" name="Picture 63502" descr="Improving government service delivery" title="Section"/>
          <wp:cNvGraphicFramePr/>
          <a:graphic xmlns:a="http://schemas.openxmlformats.org/drawingml/2006/main">
            <a:graphicData uri="http://schemas.openxmlformats.org/drawingml/2006/picture">
              <pic:pic xmlns:pic="http://schemas.openxmlformats.org/drawingml/2006/picture">
                <pic:nvPicPr>
                  <pic:cNvPr id="63502" name="Picture 63502"/>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0382" cy="10675088"/>
                  </a:xfrm>
                  <a:prstGeom prst="rect">
                    <a:avLst/>
                  </a:prstGeom>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B2F0A" w14:textId="560CA31A" w:rsidR="008424B3" w:rsidRPr="00C8359D" w:rsidRDefault="008424B3" w:rsidP="00C8359D">
    <w:pPr>
      <w:pStyle w:val="Header"/>
    </w:pPr>
    <w:r>
      <w:rPr>
        <w:noProof/>
      </w:rPr>
      <w:drawing>
        <wp:anchor distT="0" distB="0" distL="114300" distR="114300" simplePos="0" relativeHeight="251670544" behindDoc="1" locked="0" layoutInCell="1" allowOverlap="1" wp14:anchorId="56A87A8F" wp14:editId="4AC6D683">
          <wp:simplePos x="0" y="0"/>
          <wp:positionH relativeFrom="page">
            <wp:posOffset>0</wp:posOffset>
          </wp:positionH>
          <wp:positionV relativeFrom="page">
            <wp:posOffset>9331</wp:posOffset>
          </wp:positionV>
          <wp:extent cx="1065530" cy="10649211"/>
          <wp:effectExtent l="0" t="0" r="127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30" cy="10649211"/>
                  </a:xfrm>
                  <a:prstGeom prst="rect">
                    <a:avLst/>
                  </a:prstGeom>
                </pic:spPr>
              </pic:pic>
            </a:graphicData>
          </a:graphic>
          <wp14:sizeRelH relativeFrom="margin">
            <wp14:pctWidth>0</wp14:pctWidth>
          </wp14:sizeRelH>
          <wp14:sizeRelV relativeFrom="margin">
            <wp14:pctHeight>0</wp14:pctHeight>
          </wp14:sizeRelV>
        </wp:anchor>
      </w:drawing>
    </w:r>
    <w:r>
      <w:rPr>
        <w:lang w:val="en-US"/>
      </w:rPr>
      <w:t>Fostering diversity and inclusion in Australian workplaces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546BF" w14:textId="543BB947" w:rsidR="008424B3" w:rsidRDefault="008424B3">
    <w:pPr>
      <w:pStyle w:val="Header"/>
    </w:pPr>
    <w:r>
      <w:rPr>
        <w:noProof/>
      </w:rPr>
      <w:drawing>
        <wp:anchor distT="0" distB="0" distL="114300" distR="114300" simplePos="0" relativeHeight="251658240" behindDoc="0" locked="0" layoutInCell="1" allowOverlap="1" wp14:anchorId="00CB3087" wp14:editId="4A4D63E6">
          <wp:simplePos x="0" y="0"/>
          <wp:positionH relativeFrom="column">
            <wp:posOffset>-1933</wp:posOffset>
          </wp:positionH>
          <wp:positionV relativeFrom="paragraph">
            <wp:posOffset>-2430</wp:posOffset>
          </wp:positionV>
          <wp:extent cx="1955310" cy="1152275"/>
          <wp:effectExtent l="0" t="0" r="6985"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ehavioural-Exchange2018.jpg"/>
                  <pic:cNvPicPr/>
                </pic:nvPicPr>
                <pic:blipFill>
                  <a:blip r:embed="rId1" cstate="print">
                    <a:duotone>
                      <a:prstClr val="black"/>
                      <a:schemeClr val="bg1">
                        <a:tint val="45000"/>
                        <a:satMod val="400000"/>
                      </a:schemeClr>
                    </a:duotone>
                    <a:extLst>
                      <a:ext uri="{28A0092B-C50C-407E-A947-70E740481C1C}">
                        <a14:useLocalDpi xmlns:a14="http://schemas.microsoft.com/office/drawing/2010/main" val="0"/>
                      </a:ext>
                    </a:extLst>
                  </a:blip>
                  <a:stretch>
                    <a:fillRect/>
                  </a:stretch>
                </pic:blipFill>
                <pic:spPr>
                  <a:xfrm>
                    <a:off x="0" y="0"/>
                    <a:ext cx="1955310" cy="1152275"/>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D1DFD" w14:textId="7A370E66" w:rsidR="008424B3" w:rsidRPr="00CE3925" w:rsidRDefault="008424B3" w:rsidP="007A0328">
    <w:pPr>
      <w:pStyle w:val="Header"/>
      <w:pBdr>
        <w:bottom w:val="single" w:sz="8" w:space="6" w:color="188A79" w:themeColor="background2" w:themeShade="BF"/>
      </w:pBdr>
      <w:rPr>
        <w:lang w:val="en-US"/>
      </w:rPr>
    </w:pPr>
    <w:r>
      <w:rPr>
        <w:lang w:val="en-US"/>
      </w:rPr>
      <w:t>Fostering diversity and inclusion in Australian workplaces</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A6DC4" w14:textId="27E83A41" w:rsidR="008424B3" w:rsidRPr="007116A4" w:rsidRDefault="008424B3" w:rsidP="001D551B">
    <w:r>
      <w:rPr>
        <w:noProof/>
      </w:rPr>
      <w:drawing>
        <wp:anchor distT="0" distB="0" distL="114300" distR="114300" simplePos="0" relativeHeight="251658244" behindDoc="1" locked="0" layoutInCell="1" allowOverlap="1" wp14:anchorId="130F8F9B" wp14:editId="7B924B80">
          <wp:simplePos x="0" y="0"/>
          <wp:positionH relativeFrom="page">
            <wp:align>left</wp:align>
          </wp:positionH>
          <wp:positionV relativeFrom="page">
            <wp:align>top</wp:align>
          </wp:positionV>
          <wp:extent cx="7577598" cy="10710520"/>
          <wp:effectExtent l="0" t="0" r="4445" b="0"/>
          <wp:wrapNone/>
          <wp:docPr id="63493" name="Picture 63493" titl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vers3.jpg"/>
                  <pic:cNvPicPr/>
                </pic:nvPicPr>
                <pic:blipFill>
                  <a:blip r:embed="rId1">
                    <a:extLst>
                      <a:ext uri="{28A0092B-C50C-407E-A947-70E740481C1C}">
                        <a14:useLocalDpi xmlns:a14="http://schemas.microsoft.com/office/drawing/2010/main" val="0"/>
                      </a:ext>
                    </a:extLst>
                  </a:blip>
                  <a:stretch>
                    <a:fillRect/>
                  </a:stretch>
                </pic:blipFill>
                <pic:spPr>
                  <a:xfrm>
                    <a:off x="0" y="0"/>
                    <a:ext cx="7577598" cy="1071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9FF36" w14:textId="2B50CE72" w:rsidR="008424B3" w:rsidRPr="00C8359D" w:rsidRDefault="008424B3" w:rsidP="00C8359D">
    <w:pPr>
      <w:pStyle w:val="Header"/>
    </w:pPr>
    <w:r>
      <w:rPr>
        <w:noProof/>
      </w:rPr>
      <w:drawing>
        <wp:anchor distT="0" distB="0" distL="114300" distR="114300" simplePos="0" relativeHeight="251672592" behindDoc="1" locked="0" layoutInCell="1" allowOverlap="1" wp14:anchorId="0150699A" wp14:editId="3A0CC79E">
          <wp:simplePos x="0" y="0"/>
          <wp:positionH relativeFrom="page">
            <wp:posOffset>0</wp:posOffset>
          </wp:positionH>
          <wp:positionV relativeFrom="page">
            <wp:posOffset>9144</wp:posOffset>
          </wp:positionV>
          <wp:extent cx="1065529" cy="10649211"/>
          <wp:effectExtent l="0" t="0" r="190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29" cy="10649211"/>
                  </a:xfrm>
                  <a:prstGeom prst="rect">
                    <a:avLst/>
                  </a:prstGeom>
                </pic:spPr>
              </pic:pic>
            </a:graphicData>
          </a:graphic>
          <wp14:sizeRelH relativeFrom="margin">
            <wp14:pctWidth>0</wp14:pctWidth>
          </wp14:sizeRelH>
          <wp14:sizeRelV relativeFrom="margin">
            <wp14:pctHeight>0</wp14:pctHeight>
          </wp14:sizeRelV>
        </wp:anchor>
      </w:drawing>
    </w:r>
    <w:r>
      <w:t>Improving consumer decisions in a changing world</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69A1C" w14:textId="7430781A" w:rsidR="008424B3" w:rsidRPr="00AA6F02" w:rsidRDefault="008424B3" w:rsidP="00AA6F02">
    <w:pPr>
      <w:pStyle w:val="Header"/>
    </w:pPr>
    <w:r>
      <w:t>Improving consumer decisions in a changing world</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35455" w14:textId="69430A4E" w:rsidR="008424B3" w:rsidRPr="007116A4" w:rsidRDefault="008424B3" w:rsidP="001D551B">
    <w:r>
      <w:rPr>
        <w:noProof/>
      </w:rPr>
      <w:drawing>
        <wp:anchor distT="0" distB="0" distL="114300" distR="114300" simplePos="0" relativeHeight="251658245" behindDoc="1" locked="0" layoutInCell="1" allowOverlap="1" wp14:anchorId="4BEF547C" wp14:editId="2A479BC0">
          <wp:simplePos x="0" y="0"/>
          <wp:positionH relativeFrom="page">
            <wp:align>left</wp:align>
          </wp:positionH>
          <wp:positionV relativeFrom="page">
            <wp:align>top</wp:align>
          </wp:positionV>
          <wp:extent cx="7577598" cy="10710520"/>
          <wp:effectExtent l="0" t="0" r="4445" b="0"/>
          <wp:wrapNone/>
          <wp:docPr id="63494" name="Picture 63494" titl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vers3.jpg"/>
                  <pic:cNvPicPr/>
                </pic:nvPicPr>
                <pic:blipFill>
                  <a:blip r:embed="rId1">
                    <a:extLst>
                      <a:ext uri="{28A0092B-C50C-407E-A947-70E740481C1C}">
                        <a14:useLocalDpi xmlns:a14="http://schemas.microsoft.com/office/drawing/2010/main" val="0"/>
                      </a:ext>
                    </a:extLst>
                  </a:blip>
                  <a:stretch>
                    <a:fillRect/>
                  </a:stretch>
                </pic:blipFill>
                <pic:spPr>
                  <a:xfrm>
                    <a:off x="0" y="0"/>
                    <a:ext cx="7577598" cy="1071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94132" w14:textId="77777777" w:rsidR="008424B3" w:rsidRPr="00C8359D" w:rsidRDefault="008424B3" w:rsidP="00C8359D">
    <w:pPr>
      <w:pStyle w:val="Header"/>
    </w:pPr>
    <w:r>
      <w:rPr>
        <w:noProof/>
      </w:rPr>
      <w:drawing>
        <wp:anchor distT="0" distB="0" distL="114300" distR="114300" simplePos="0" relativeHeight="251680784" behindDoc="1" locked="0" layoutInCell="1" allowOverlap="1" wp14:anchorId="57D6ED36" wp14:editId="219B379C">
          <wp:simplePos x="0" y="0"/>
          <wp:positionH relativeFrom="page">
            <wp:posOffset>0</wp:posOffset>
          </wp:positionH>
          <wp:positionV relativeFrom="page">
            <wp:posOffset>9149</wp:posOffset>
          </wp:positionV>
          <wp:extent cx="1065529" cy="10649201"/>
          <wp:effectExtent l="0" t="0" r="190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29" cy="10649201"/>
                  </a:xfrm>
                  <a:prstGeom prst="rect">
                    <a:avLst/>
                  </a:prstGeom>
                </pic:spPr>
              </pic:pic>
            </a:graphicData>
          </a:graphic>
          <wp14:sizeRelH relativeFrom="margin">
            <wp14:pctWidth>0</wp14:pctWidth>
          </wp14:sizeRelH>
          <wp14:sizeRelV relativeFrom="margin">
            <wp14:pctHeight>0</wp14:pctHeight>
          </wp14:sizeRelV>
        </wp:anchor>
      </w:drawing>
    </w:r>
    <w:r>
      <w:t>Improving consumer decisions in a changing world</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9FB7E" w14:textId="4CD9E27D" w:rsidR="008424B3" w:rsidRPr="00AA6F02" w:rsidRDefault="008424B3" w:rsidP="00AA6F02">
    <w:pPr>
      <w:pStyle w:val="Header"/>
      <w:rPr>
        <w:lang w:val="en-US"/>
      </w:rPr>
    </w:pPr>
    <w:r>
      <w:rPr>
        <w:lang w:val="en-US"/>
      </w:rPr>
      <w:t>What’s upcoming – stay tuned</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DEB3C0" w14:textId="79424673" w:rsidR="008424B3" w:rsidRPr="00AA6F02" w:rsidRDefault="008424B3" w:rsidP="00F75842">
    <w:pPr>
      <w:pStyle w:val="Header"/>
      <w:rPr>
        <w:lang w:val="en-US"/>
      </w:rPr>
    </w:pPr>
    <w:r>
      <w:rPr>
        <w:lang w:val="en-US"/>
      </w:rPr>
      <w:t>What’s upcoming – stay tuned</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E3D81" w14:textId="159C6B2C" w:rsidR="008424B3" w:rsidRPr="00AA6F02" w:rsidRDefault="008424B3" w:rsidP="00AA6F02">
    <w:pPr>
      <w:pStyle w:val="Header"/>
      <w:rPr>
        <w:lang w:val="en-US"/>
      </w:rPr>
    </w:pPr>
    <w:r>
      <w:rPr>
        <w:lang w:val="en-US"/>
      </w:rPr>
      <w:t>Australian directory</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C1A0B" w14:textId="5DD2B4CB" w:rsidR="008424B3" w:rsidRPr="00AA6F02" w:rsidRDefault="008424B3" w:rsidP="00F75842">
    <w:pPr>
      <w:pStyle w:val="Header"/>
      <w:rPr>
        <w:lang w:val="en-US"/>
      </w:rPr>
    </w:pPr>
    <w:r>
      <w:rPr>
        <w:lang w:val="en-US"/>
      </w:rPr>
      <w:t>Australian directory</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7BECC" w14:textId="0FC1F560" w:rsidR="008424B3" w:rsidRPr="00364722" w:rsidRDefault="008424B3" w:rsidP="00364722">
    <w:r>
      <w:rPr>
        <w:noProof/>
      </w:rPr>
      <w:drawing>
        <wp:anchor distT="0" distB="0" distL="114300" distR="114300" simplePos="0" relativeHeight="251658256" behindDoc="0" locked="0" layoutInCell="1" allowOverlap="1" wp14:anchorId="54974A0B" wp14:editId="5987557B">
          <wp:simplePos x="0" y="0"/>
          <wp:positionH relativeFrom="page">
            <wp:align>center</wp:align>
          </wp:positionH>
          <wp:positionV relativeFrom="paragraph">
            <wp:posOffset>3006725</wp:posOffset>
          </wp:positionV>
          <wp:extent cx="7977600" cy="7977600"/>
          <wp:effectExtent l="0" t="0" r="4445" b="4445"/>
          <wp:wrapNone/>
          <wp:docPr id="112" name="Picture 112" descr="Map of Australia" title="Cover Graphic"/>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7977600" cy="797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056A4C0" wp14:editId="7662EF41">
          <wp:extent cx="2211672" cy="771525"/>
          <wp:effectExtent l="0" t="0" r="0" b="0"/>
          <wp:docPr id="113" name="Picture 113" descr="Behavioural Exchange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X_teal.png"/>
                  <pic:cNvPicPr/>
                </pic:nvPicPr>
                <pic:blipFill>
                  <a:blip r:embed="rId2">
                    <a:extLst>
                      <a:ext uri="{28A0092B-C50C-407E-A947-70E740481C1C}">
                        <a14:useLocalDpi xmlns:a14="http://schemas.microsoft.com/office/drawing/2010/main" val="0"/>
                      </a:ext>
                    </a:extLst>
                  </a:blip>
                  <a:stretch>
                    <a:fillRect/>
                  </a:stretch>
                </pic:blipFill>
                <pic:spPr>
                  <a:xfrm>
                    <a:off x="0" y="0"/>
                    <a:ext cx="2215084" cy="772715"/>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FBB516" w14:textId="53A759D1" w:rsidR="008424B3" w:rsidRPr="00C8359D" w:rsidRDefault="008424B3" w:rsidP="00C8359D">
    <w:pPr>
      <w:pStyle w:val="Header"/>
    </w:pPr>
    <w:r>
      <w:rPr>
        <w:noProof/>
      </w:rPr>
      <w:drawing>
        <wp:anchor distT="0" distB="0" distL="114300" distR="114300" simplePos="0" relativeHeight="251678736" behindDoc="1" locked="0" layoutInCell="1" allowOverlap="1" wp14:anchorId="185EB60E" wp14:editId="4EDD31C2">
          <wp:simplePos x="0" y="0"/>
          <wp:positionH relativeFrom="page">
            <wp:posOffset>0</wp:posOffset>
          </wp:positionH>
          <wp:positionV relativeFrom="page">
            <wp:posOffset>9149</wp:posOffset>
          </wp:positionV>
          <wp:extent cx="1065529" cy="10649201"/>
          <wp:effectExtent l="0" t="0" r="190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tab1.jpg"/>
                  <pic:cNvPicPr/>
                </pic:nvPicPr>
                <pic:blipFill>
                  <a:blip r:embed="rId1">
                    <a:extLst>
                      <a:ext uri="{28A0092B-C50C-407E-A947-70E740481C1C}">
                        <a14:useLocalDpi xmlns:a14="http://schemas.microsoft.com/office/drawing/2010/main" val="0"/>
                      </a:ext>
                    </a:extLst>
                  </a:blip>
                  <a:stretch>
                    <a:fillRect/>
                  </a:stretch>
                </pic:blipFill>
                <pic:spPr>
                  <a:xfrm>
                    <a:off x="0" y="0"/>
                    <a:ext cx="1065529" cy="10649201"/>
                  </a:xfrm>
                  <a:prstGeom prst="rect">
                    <a:avLst/>
                  </a:prstGeom>
                </pic:spPr>
              </pic:pic>
            </a:graphicData>
          </a:graphic>
          <wp14:sizeRelH relativeFrom="margin">
            <wp14:pctWidth>0</wp14:pctWidth>
          </wp14:sizeRelH>
          <wp14:sizeRelV relativeFrom="margin">
            <wp14:pctHeight>0</wp14:pctHeight>
          </wp14:sizeRelV>
        </wp:anchor>
      </w:drawing>
    </w:r>
    <w:r>
      <w:rPr>
        <w:lang w:val="en-US"/>
      </w:rPr>
      <w:t>References</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71DB2" w14:textId="2DC101B0" w:rsidR="008424B3" w:rsidRPr="00AA6F02" w:rsidRDefault="008424B3" w:rsidP="00AA6F02">
    <w:pPr>
      <w:pStyle w:val="Header"/>
      <w:rPr>
        <w:lang w:val="en-US"/>
      </w:rPr>
    </w:pPr>
    <w:r>
      <w:rPr>
        <w:lang w:val="en-US"/>
      </w:rPr>
      <w:t>References</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B5405" w14:textId="2B716D9C" w:rsidR="008424B3" w:rsidRPr="00AA6F02" w:rsidRDefault="008424B3" w:rsidP="00F75842">
    <w:pPr>
      <w:pStyle w:val="Header"/>
      <w:rPr>
        <w:lang w:val="en-US"/>
      </w:rPr>
    </w:pPr>
    <w:r w:rsidRPr="000505EF">
      <w:rPr>
        <w:noProof/>
      </w:rPr>
      <w:drawing>
        <wp:anchor distT="0" distB="0" distL="114300" distR="114300" simplePos="0" relativeHeight="251674640" behindDoc="1" locked="0" layoutInCell="1" allowOverlap="1" wp14:anchorId="503AC406" wp14:editId="495F06B8">
          <wp:simplePos x="0" y="0"/>
          <wp:positionH relativeFrom="page">
            <wp:posOffset>6477381</wp:posOffset>
          </wp:positionH>
          <wp:positionV relativeFrom="page">
            <wp:posOffset>8890</wp:posOffset>
          </wp:positionV>
          <wp:extent cx="1065411" cy="10648021"/>
          <wp:effectExtent l="0" t="0" r="190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5" name="tab12.jpg"/>
                  <pic:cNvPicPr/>
                </pic:nvPicPr>
                <pic:blipFill>
                  <a:blip r:embed="rId1">
                    <a:extLst>
                      <a:ext uri="{28A0092B-C50C-407E-A947-70E740481C1C}">
                        <a14:useLocalDpi xmlns:a14="http://schemas.microsoft.com/office/drawing/2010/main" val="0"/>
                      </a:ext>
                    </a:extLst>
                  </a:blip>
                  <a:stretch>
                    <a:fillRect/>
                  </a:stretch>
                </pic:blipFill>
                <pic:spPr>
                  <a:xfrm>
                    <a:off x="0" y="0"/>
                    <a:ext cx="1065411" cy="10648021"/>
                  </a:xfrm>
                  <a:prstGeom prst="rect">
                    <a:avLst/>
                  </a:prstGeom>
                </pic:spPr>
              </pic:pic>
            </a:graphicData>
          </a:graphic>
          <wp14:sizeRelH relativeFrom="margin">
            <wp14:pctWidth>0</wp14:pctWidth>
          </wp14:sizeRelH>
          <wp14:sizeRelV relativeFrom="margin">
            <wp14:pctHeight>0</wp14:pctHeight>
          </wp14:sizeRelV>
        </wp:anchor>
      </w:drawing>
    </w:r>
    <w:r>
      <w:rPr>
        <w:lang w:val="en-US"/>
      </w:rPr>
      <w:t>References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CD718" w14:textId="551B8376" w:rsidR="008424B3" w:rsidRPr="004331E0" w:rsidRDefault="008424B3" w:rsidP="00E338C2">
    <w:pPr>
      <w:pStyle w:val="Header"/>
      <w:pBdr>
        <w:bottom w:val="single" w:sz="8" w:space="6" w:color="188A79" w:themeColor="background2" w:themeShade="BF"/>
      </w:pBdr>
    </w:pPr>
    <w:r w:rsidRPr="001C173F">
      <w:t>Foreword</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A1303" w14:textId="64B434AC" w:rsidR="008424B3" w:rsidRPr="00F660CC" w:rsidRDefault="008424B3" w:rsidP="00F660C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976B2" w14:textId="2211F15D" w:rsidR="008424B3" w:rsidRPr="00E875BF" w:rsidRDefault="008424B3" w:rsidP="007A0328">
    <w:pPr>
      <w:pStyle w:val="Header"/>
      <w:pBdr>
        <w:bottom w:val="single" w:sz="8" w:space="6" w:color="188A79" w:themeColor="background2" w:themeShade="BF"/>
      </w:pBd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A2291" w14:textId="25E4A76E" w:rsidR="008424B3" w:rsidRPr="00606BB9" w:rsidRDefault="008424B3" w:rsidP="00606BB9">
    <w:pPr>
      <w:pStyle w:val="Header"/>
    </w:pPr>
    <w:r>
      <w:rPr>
        <w:noProof/>
      </w:rPr>
      <w:drawing>
        <wp:anchor distT="0" distB="0" distL="114300" distR="114300" simplePos="0" relativeHeight="251666448" behindDoc="1" locked="0" layoutInCell="1" allowOverlap="1" wp14:anchorId="4FF7ED51" wp14:editId="7ACD4D45">
          <wp:simplePos x="0" y="0"/>
          <wp:positionH relativeFrom="page">
            <wp:posOffset>635</wp:posOffset>
          </wp:positionH>
          <wp:positionV relativeFrom="page">
            <wp:posOffset>-762</wp:posOffset>
          </wp:positionV>
          <wp:extent cx="1065600" cy="10623600"/>
          <wp:effectExtent l="0" t="0" r="1270" b="0"/>
          <wp:wrapNone/>
          <wp:docPr id="64" name="Picture 64"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5600" cy="1062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Improving the health of Australians</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B01CC" w14:textId="5434A7A8" w:rsidR="008424B3" w:rsidRPr="00CE3925" w:rsidRDefault="008424B3" w:rsidP="007A0328">
    <w:pPr>
      <w:pStyle w:val="Header"/>
      <w:pBdr>
        <w:bottom w:val="single" w:sz="8" w:space="6" w:color="188A79" w:themeColor="background2" w:themeShade="BF"/>
      </w:pBdr>
      <w:rPr>
        <w:lang w:val="en-US"/>
      </w:rPr>
    </w:pPr>
    <w:r>
      <w:rPr>
        <w:lang w:val="en-US"/>
      </w:rPr>
      <w:t>Improving the health of Australians</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8861F" w14:textId="597828E9" w:rsidR="008424B3" w:rsidRPr="007116A4" w:rsidRDefault="008424B3" w:rsidP="001D551B">
    <w:r>
      <w:rPr>
        <w:noProof/>
      </w:rPr>
      <w:drawing>
        <wp:anchor distT="0" distB="0" distL="114300" distR="114300" simplePos="0" relativeHeight="251658241" behindDoc="1" locked="0" layoutInCell="1" allowOverlap="1" wp14:anchorId="71C64CC8" wp14:editId="7F28338D">
          <wp:simplePos x="0" y="0"/>
          <wp:positionH relativeFrom="page">
            <wp:align>left</wp:align>
          </wp:positionH>
          <wp:positionV relativeFrom="page">
            <wp:align>top</wp:align>
          </wp:positionV>
          <wp:extent cx="7577599" cy="10710522"/>
          <wp:effectExtent l="0" t="0" r="4445" b="0"/>
          <wp:wrapNone/>
          <wp:docPr id="68" name="Picture 68" descr="Improving the health of Australians" titl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vers3.jpg"/>
                  <pic:cNvPicPr/>
                </pic:nvPicPr>
                <pic:blipFill>
                  <a:blip r:embed="rId1">
                    <a:extLst>
                      <a:ext uri="{28A0092B-C50C-407E-A947-70E740481C1C}">
                        <a14:useLocalDpi xmlns:a14="http://schemas.microsoft.com/office/drawing/2010/main" val="0"/>
                      </a:ext>
                    </a:extLst>
                  </a:blip>
                  <a:stretch>
                    <a:fillRect/>
                  </a:stretch>
                </pic:blipFill>
                <pic:spPr>
                  <a:xfrm>
                    <a:off x="0" y="0"/>
                    <a:ext cx="7577599" cy="1071052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EA4A5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FCCF69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4FCA73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052E1AE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C114980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40ADA8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6AE051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D18437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13D8BF7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D5745F10"/>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CFAC9B30"/>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3E10C16"/>
    <w:multiLevelType w:val="hybridMultilevel"/>
    <w:tmpl w:val="B91CF2AA"/>
    <w:lvl w:ilvl="0" w:tplc="043CB252">
      <w:start w:val="1"/>
      <w:numFmt w:val="bullet"/>
      <w:pStyle w:val="BodyBullet"/>
      <w:lvlText w:val=""/>
      <w:lvlJc w:val="left"/>
      <w:pPr>
        <w:ind w:left="720" w:hanging="360"/>
      </w:pPr>
      <w:rPr>
        <w:rFonts w:ascii="Symbol" w:hAnsi="Symbol" w:hint="default"/>
        <w:color w:val="18417D"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74C1794"/>
    <w:multiLevelType w:val="multilevel"/>
    <w:tmpl w:val="7A3CD2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B7A7726"/>
    <w:multiLevelType w:val="hybridMultilevel"/>
    <w:tmpl w:val="5AF840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7755BC"/>
    <w:multiLevelType w:val="multilevel"/>
    <w:tmpl w:val="93E2DF1E"/>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63C2EFB"/>
    <w:multiLevelType w:val="multilevel"/>
    <w:tmpl w:val="03FC25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784511A"/>
    <w:multiLevelType w:val="multilevel"/>
    <w:tmpl w:val="EA5E96EA"/>
    <w:numStyleLink w:val="KeyPoints"/>
  </w:abstractNum>
  <w:abstractNum w:abstractNumId="17" w15:restartNumberingAfterBreak="0">
    <w:nsid w:val="17AA04E2"/>
    <w:multiLevelType w:val="multilevel"/>
    <w:tmpl w:val="F24603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F7B5ED4"/>
    <w:multiLevelType w:val="multilevel"/>
    <w:tmpl w:val="6B96DE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50034CB"/>
    <w:multiLevelType w:val="hybridMultilevel"/>
    <w:tmpl w:val="278EF662"/>
    <w:lvl w:ilvl="0" w:tplc="73BA1404">
      <w:start w:val="1"/>
      <w:numFmt w:val="decimal"/>
      <w:pStyle w:val="Reference"/>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A68006A"/>
    <w:multiLevelType w:val="multilevel"/>
    <w:tmpl w:val="0CE86D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AE01582"/>
    <w:multiLevelType w:val="multilevel"/>
    <w:tmpl w:val="91CA57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0A27F3B"/>
    <w:multiLevelType w:val="multilevel"/>
    <w:tmpl w:val="7F5693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84E4211"/>
    <w:multiLevelType w:val="multilevel"/>
    <w:tmpl w:val="9A1C8D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36A7891"/>
    <w:multiLevelType w:val="multilevel"/>
    <w:tmpl w:val="E15E891A"/>
    <w:lvl w:ilvl="0">
      <w:start w:val="1"/>
      <w:numFmt w:val="decimal"/>
      <w:pStyle w:val="FigureHeading"/>
      <w:suff w:val="space"/>
      <w:lvlText w:val="Figure %1:"/>
      <w:lvlJc w:val="left"/>
      <w:pPr>
        <w:ind w:left="720" w:hanging="720"/>
      </w:pPr>
      <w:rPr>
        <w:rFonts w:ascii="Helvetica" w:hAnsi="Helvetica" w:hint="default"/>
        <w:b/>
        <w:i w:val="0"/>
        <w:color w:val="auto"/>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E9C77EF"/>
    <w:multiLevelType w:val="multilevel"/>
    <w:tmpl w:val="9EAEF0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11A1DEB"/>
    <w:multiLevelType w:val="hybridMultilevel"/>
    <w:tmpl w:val="F06E4BE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61605AC8"/>
    <w:multiLevelType w:val="multilevel"/>
    <w:tmpl w:val="E7D680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2F04A5E"/>
    <w:multiLevelType w:val="hybridMultilevel"/>
    <w:tmpl w:val="C9BE24D4"/>
    <w:lvl w:ilvl="0" w:tplc="50FA0D4E">
      <w:start w:val="1"/>
      <w:numFmt w:val="decimal"/>
      <w:pStyle w:val="Paragraph"/>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62964D5"/>
    <w:multiLevelType w:val="multilevel"/>
    <w:tmpl w:val="EA5E96EA"/>
    <w:styleLink w:val="KeyPoints"/>
    <w:lvl w:ilvl="0">
      <w:start w:val="1"/>
      <w:numFmt w:val="decimal"/>
      <w:pStyle w:val="1NumberPointsStyle"/>
      <w:lvlText w:val="%1."/>
      <w:lvlJc w:val="left"/>
      <w:pPr>
        <w:ind w:left="369" w:hanging="369"/>
      </w:pPr>
      <w:rPr>
        <w:rFonts w:asciiTheme="minorHAnsi" w:hAnsiTheme="minorHAnsi" w:hint="default"/>
        <w:sz w:val="22"/>
      </w:rPr>
    </w:lvl>
    <w:lvl w:ilvl="1">
      <w:start w:val="1"/>
      <w:numFmt w:val="lowerLetter"/>
      <w:lvlText w:val="%2."/>
      <w:lvlJc w:val="left"/>
      <w:pPr>
        <w:ind w:left="737" w:hanging="368"/>
      </w:pPr>
      <w:rPr>
        <w:rFonts w:hint="default"/>
      </w:rPr>
    </w:lvl>
    <w:lvl w:ilvl="2">
      <w:start w:val="1"/>
      <w:numFmt w:val="lowerRoman"/>
      <w:lvlText w:val="%3."/>
      <w:lvlJc w:val="left"/>
      <w:pPr>
        <w:ind w:left="1106" w:hanging="369"/>
      </w:pPr>
      <w:rPr>
        <w:rFonts w:hint="default"/>
      </w:rPr>
    </w:lvl>
    <w:lvl w:ilvl="3">
      <w:start w:val="1"/>
      <w:numFmt w:val="none"/>
      <w:lvlText w:val=""/>
      <w:lvlJc w:val="left"/>
      <w:pPr>
        <w:ind w:left="1111" w:hanging="5"/>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782C7E8D"/>
    <w:multiLevelType w:val="multilevel"/>
    <w:tmpl w:val="9376A0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A2834E2"/>
    <w:multiLevelType w:val="multilevel"/>
    <w:tmpl w:val="003C62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9"/>
  </w:num>
  <w:num w:numId="3">
    <w:abstractNumId w:val="24"/>
  </w:num>
  <w:num w:numId="4">
    <w:abstractNumId w:val="28"/>
  </w:num>
  <w:num w:numId="5">
    <w:abstractNumId w:val="29"/>
  </w:num>
  <w:num w:numId="6">
    <w:abstractNumId w:val="16"/>
    <w:lvlOverride w:ilvl="0">
      <w:lvl w:ilvl="0">
        <w:start w:val="1"/>
        <w:numFmt w:val="decimal"/>
        <w:pStyle w:val="1NumberPointsStyle"/>
        <w:lvlText w:val="%1."/>
        <w:lvlJc w:val="left"/>
        <w:pPr>
          <w:ind w:left="369" w:hanging="369"/>
        </w:pPr>
        <w:rPr>
          <w:rFonts w:ascii="Times New Roman" w:hAnsi="Times New Roman" w:cs="Times New Roman" w:hint="default"/>
          <w:sz w:val="24"/>
          <w:szCs w:val="24"/>
        </w:rPr>
      </w:lvl>
    </w:lvlOverride>
  </w:num>
  <w:num w:numId="7">
    <w:abstractNumId w:val="19"/>
  </w:num>
  <w:num w:numId="8">
    <w:abstractNumId w:val="11"/>
  </w:num>
  <w:num w:numId="9">
    <w:abstractNumId w:val="23"/>
  </w:num>
  <w:num w:numId="10">
    <w:abstractNumId w:val="25"/>
  </w:num>
  <w:num w:numId="11">
    <w:abstractNumId w:val="12"/>
  </w:num>
  <w:num w:numId="12">
    <w:abstractNumId w:val="30"/>
  </w:num>
  <w:num w:numId="13">
    <w:abstractNumId w:val="20"/>
  </w:num>
  <w:num w:numId="14">
    <w:abstractNumId w:val="31"/>
  </w:num>
  <w:num w:numId="15">
    <w:abstractNumId w:val="15"/>
  </w:num>
  <w:num w:numId="16">
    <w:abstractNumId w:val="14"/>
  </w:num>
  <w:num w:numId="17">
    <w:abstractNumId w:val="18"/>
  </w:num>
  <w:num w:numId="18">
    <w:abstractNumId w:val="21"/>
  </w:num>
  <w:num w:numId="19">
    <w:abstractNumId w:val="22"/>
  </w:num>
  <w:num w:numId="20">
    <w:abstractNumId w:val="27"/>
  </w:num>
  <w:num w:numId="21">
    <w:abstractNumId w:val="17"/>
  </w:num>
  <w:num w:numId="22">
    <w:abstractNumId w:val="26"/>
  </w:num>
  <w:num w:numId="23">
    <w:abstractNumId w:val="13"/>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DateAndTime/>
  <w:displayBackgroundShape/>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00"/>
  <w:displayHorizontalDrawingGridEvery w:val="2"/>
  <w:displayVerticalDrawingGridEvery w:val="2"/>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168"/>
    <w:rsid w:val="00000233"/>
    <w:rsid w:val="000010BF"/>
    <w:rsid w:val="000034D5"/>
    <w:rsid w:val="00005785"/>
    <w:rsid w:val="00006876"/>
    <w:rsid w:val="000079AD"/>
    <w:rsid w:val="00007D1F"/>
    <w:rsid w:val="00010D84"/>
    <w:rsid w:val="00010F15"/>
    <w:rsid w:val="00011CE3"/>
    <w:rsid w:val="00014DF3"/>
    <w:rsid w:val="00015AEE"/>
    <w:rsid w:val="00016AA0"/>
    <w:rsid w:val="00017603"/>
    <w:rsid w:val="000176B5"/>
    <w:rsid w:val="00020622"/>
    <w:rsid w:val="00022DE1"/>
    <w:rsid w:val="00022E9C"/>
    <w:rsid w:val="00023F96"/>
    <w:rsid w:val="00024EF0"/>
    <w:rsid w:val="000250A8"/>
    <w:rsid w:val="00025631"/>
    <w:rsid w:val="00027B26"/>
    <w:rsid w:val="00027E5F"/>
    <w:rsid w:val="00030705"/>
    <w:rsid w:val="00030C6A"/>
    <w:rsid w:val="00032861"/>
    <w:rsid w:val="00032B77"/>
    <w:rsid w:val="00033281"/>
    <w:rsid w:val="000334BF"/>
    <w:rsid w:val="0003351C"/>
    <w:rsid w:val="0003371A"/>
    <w:rsid w:val="00034327"/>
    <w:rsid w:val="00035515"/>
    <w:rsid w:val="00035654"/>
    <w:rsid w:val="00035763"/>
    <w:rsid w:val="000358D4"/>
    <w:rsid w:val="00035E8E"/>
    <w:rsid w:val="00035FE2"/>
    <w:rsid w:val="00037F3D"/>
    <w:rsid w:val="00040C32"/>
    <w:rsid w:val="0004155D"/>
    <w:rsid w:val="00042285"/>
    <w:rsid w:val="00043256"/>
    <w:rsid w:val="00043397"/>
    <w:rsid w:val="00043EA0"/>
    <w:rsid w:val="00044817"/>
    <w:rsid w:val="00044DB0"/>
    <w:rsid w:val="00045833"/>
    <w:rsid w:val="00045A89"/>
    <w:rsid w:val="00046225"/>
    <w:rsid w:val="00046F8E"/>
    <w:rsid w:val="0004747A"/>
    <w:rsid w:val="00047499"/>
    <w:rsid w:val="00047524"/>
    <w:rsid w:val="00047FEE"/>
    <w:rsid w:val="0005040E"/>
    <w:rsid w:val="000505EF"/>
    <w:rsid w:val="0005087D"/>
    <w:rsid w:val="00050F9E"/>
    <w:rsid w:val="000527CE"/>
    <w:rsid w:val="0005476E"/>
    <w:rsid w:val="000547DF"/>
    <w:rsid w:val="000547EF"/>
    <w:rsid w:val="000548DB"/>
    <w:rsid w:val="00054F37"/>
    <w:rsid w:val="00056004"/>
    <w:rsid w:val="000564D4"/>
    <w:rsid w:val="00057568"/>
    <w:rsid w:val="0006075A"/>
    <w:rsid w:val="000607E9"/>
    <w:rsid w:val="00060A84"/>
    <w:rsid w:val="00061345"/>
    <w:rsid w:val="00061C84"/>
    <w:rsid w:val="00062484"/>
    <w:rsid w:val="00062D54"/>
    <w:rsid w:val="0006300E"/>
    <w:rsid w:val="00063129"/>
    <w:rsid w:val="00063D15"/>
    <w:rsid w:val="00064EE9"/>
    <w:rsid w:val="00065022"/>
    <w:rsid w:val="00065A5E"/>
    <w:rsid w:val="00067BAA"/>
    <w:rsid w:val="00070681"/>
    <w:rsid w:val="0007097B"/>
    <w:rsid w:val="00070F67"/>
    <w:rsid w:val="00070FCC"/>
    <w:rsid w:val="0007157A"/>
    <w:rsid w:val="00072DA5"/>
    <w:rsid w:val="00074538"/>
    <w:rsid w:val="00076938"/>
    <w:rsid w:val="000775DC"/>
    <w:rsid w:val="00080A09"/>
    <w:rsid w:val="00080BCD"/>
    <w:rsid w:val="000816E3"/>
    <w:rsid w:val="000817A2"/>
    <w:rsid w:val="00081CEB"/>
    <w:rsid w:val="00083082"/>
    <w:rsid w:val="000836E3"/>
    <w:rsid w:val="00083CF0"/>
    <w:rsid w:val="00083F36"/>
    <w:rsid w:val="0008642D"/>
    <w:rsid w:val="00086D9F"/>
    <w:rsid w:val="000873C5"/>
    <w:rsid w:val="00087B2C"/>
    <w:rsid w:val="00087D4E"/>
    <w:rsid w:val="00087DBD"/>
    <w:rsid w:val="00090718"/>
    <w:rsid w:val="00091B4E"/>
    <w:rsid w:val="00091CD7"/>
    <w:rsid w:val="000933C6"/>
    <w:rsid w:val="000937A3"/>
    <w:rsid w:val="00093DD5"/>
    <w:rsid w:val="00095307"/>
    <w:rsid w:val="00096CA7"/>
    <w:rsid w:val="00096ED8"/>
    <w:rsid w:val="000A03DD"/>
    <w:rsid w:val="000A0AA3"/>
    <w:rsid w:val="000A0BD3"/>
    <w:rsid w:val="000A0DDB"/>
    <w:rsid w:val="000A1A09"/>
    <w:rsid w:val="000A47A8"/>
    <w:rsid w:val="000A48B2"/>
    <w:rsid w:val="000A5623"/>
    <w:rsid w:val="000A6945"/>
    <w:rsid w:val="000A6BA8"/>
    <w:rsid w:val="000A7157"/>
    <w:rsid w:val="000A73FB"/>
    <w:rsid w:val="000A7DB1"/>
    <w:rsid w:val="000B0129"/>
    <w:rsid w:val="000B0B98"/>
    <w:rsid w:val="000B1832"/>
    <w:rsid w:val="000B218A"/>
    <w:rsid w:val="000B27C5"/>
    <w:rsid w:val="000B2875"/>
    <w:rsid w:val="000B443D"/>
    <w:rsid w:val="000B61B6"/>
    <w:rsid w:val="000C014D"/>
    <w:rsid w:val="000C0FD1"/>
    <w:rsid w:val="000C26EF"/>
    <w:rsid w:val="000C29B4"/>
    <w:rsid w:val="000C2E18"/>
    <w:rsid w:val="000C389A"/>
    <w:rsid w:val="000C3B5B"/>
    <w:rsid w:val="000C4CE7"/>
    <w:rsid w:val="000C5CD8"/>
    <w:rsid w:val="000C5E2C"/>
    <w:rsid w:val="000C6154"/>
    <w:rsid w:val="000C7425"/>
    <w:rsid w:val="000C7A69"/>
    <w:rsid w:val="000C7ADB"/>
    <w:rsid w:val="000D1158"/>
    <w:rsid w:val="000D3B63"/>
    <w:rsid w:val="000D4703"/>
    <w:rsid w:val="000D510E"/>
    <w:rsid w:val="000E0BB3"/>
    <w:rsid w:val="000E12D4"/>
    <w:rsid w:val="000E260C"/>
    <w:rsid w:val="000E39EF"/>
    <w:rsid w:val="000E3B3D"/>
    <w:rsid w:val="000E51CE"/>
    <w:rsid w:val="000E620E"/>
    <w:rsid w:val="000F1C2E"/>
    <w:rsid w:val="000F2063"/>
    <w:rsid w:val="000F2A07"/>
    <w:rsid w:val="000F3D28"/>
    <w:rsid w:val="000F413E"/>
    <w:rsid w:val="000F5B95"/>
    <w:rsid w:val="000F5BB9"/>
    <w:rsid w:val="000F622A"/>
    <w:rsid w:val="000F63C4"/>
    <w:rsid w:val="000F6E4B"/>
    <w:rsid w:val="000F6E79"/>
    <w:rsid w:val="000F7463"/>
    <w:rsid w:val="00100200"/>
    <w:rsid w:val="0010263D"/>
    <w:rsid w:val="00102824"/>
    <w:rsid w:val="00102FFC"/>
    <w:rsid w:val="0010300A"/>
    <w:rsid w:val="0010418B"/>
    <w:rsid w:val="00104F2B"/>
    <w:rsid w:val="00111909"/>
    <w:rsid w:val="0011238D"/>
    <w:rsid w:val="001129EF"/>
    <w:rsid w:val="001131F0"/>
    <w:rsid w:val="001139C7"/>
    <w:rsid w:val="00113D6B"/>
    <w:rsid w:val="00114EBC"/>
    <w:rsid w:val="001171FE"/>
    <w:rsid w:val="0011730A"/>
    <w:rsid w:val="001200C3"/>
    <w:rsid w:val="0012095D"/>
    <w:rsid w:val="00120A50"/>
    <w:rsid w:val="001239B3"/>
    <w:rsid w:val="0012427E"/>
    <w:rsid w:val="001247E0"/>
    <w:rsid w:val="001252F6"/>
    <w:rsid w:val="001265AC"/>
    <w:rsid w:val="00126750"/>
    <w:rsid w:val="001271A1"/>
    <w:rsid w:val="001315DD"/>
    <w:rsid w:val="001318C5"/>
    <w:rsid w:val="00131C0F"/>
    <w:rsid w:val="001325BF"/>
    <w:rsid w:val="00132C34"/>
    <w:rsid w:val="00132F0D"/>
    <w:rsid w:val="001332BD"/>
    <w:rsid w:val="00133713"/>
    <w:rsid w:val="00135B7E"/>
    <w:rsid w:val="00135CFC"/>
    <w:rsid w:val="00136843"/>
    <w:rsid w:val="00140B9F"/>
    <w:rsid w:val="00140F69"/>
    <w:rsid w:val="00140FC9"/>
    <w:rsid w:val="001413C5"/>
    <w:rsid w:val="00142263"/>
    <w:rsid w:val="0014231B"/>
    <w:rsid w:val="00142956"/>
    <w:rsid w:val="00142D10"/>
    <w:rsid w:val="001432B0"/>
    <w:rsid w:val="0014372D"/>
    <w:rsid w:val="00144167"/>
    <w:rsid w:val="00144868"/>
    <w:rsid w:val="001450EF"/>
    <w:rsid w:val="001452BC"/>
    <w:rsid w:val="0014550F"/>
    <w:rsid w:val="00145F62"/>
    <w:rsid w:val="00146F7B"/>
    <w:rsid w:val="00147B93"/>
    <w:rsid w:val="00150D2A"/>
    <w:rsid w:val="00150E25"/>
    <w:rsid w:val="00150EA9"/>
    <w:rsid w:val="00151373"/>
    <w:rsid w:val="00151650"/>
    <w:rsid w:val="00151E1A"/>
    <w:rsid w:val="00152974"/>
    <w:rsid w:val="001536E8"/>
    <w:rsid w:val="00154083"/>
    <w:rsid w:val="00155B98"/>
    <w:rsid w:val="0015672D"/>
    <w:rsid w:val="00157001"/>
    <w:rsid w:val="00157709"/>
    <w:rsid w:val="0015776A"/>
    <w:rsid w:val="00160B66"/>
    <w:rsid w:val="00160E91"/>
    <w:rsid w:val="00161074"/>
    <w:rsid w:val="00162645"/>
    <w:rsid w:val="00164677"/>
    <w:rsid w:val="001648A4"/>
    <w:rsid w:val="001649BB"/>
    <w:rsid w:val="00164A66"/>
    <w:rsid w:val="00164E97"/>
    <w:rsid w:val="00165626"/>
    <w:rsid w:val="00166272"/>
    <w:rsid w:val="001671D2"/>
    <w:rsid w:val="001675DF"/>
    <w:rsid w:val="001676E7"/>
    <w:rsid w:val="00167CF4"/>
    <w:rsid w:val="001706F4"/>
    <w:rsid w:val="00170AAD"/>
    <w:rsid w:val="00170BE9"/>
    <w:rsid w:val="0017147C"/>
    <w:rsid w:val="0017194E"/>
    <w:rsid w:val="0017249B"/>
    <w:rsid w:val="001727A4"/>
    <w:rsid w:val="00172DA3"/>
    <w:rsid w:val="00172F09"/>
    <w:rsid w:val="00175794"/>
    <w:rsid w:val="00176213"/>
    <w:rsid w:val="00177EA5"/>
    <w:rsid w:val="00177EC4"/>
    <w:rsid w:val="0018115A"/>
    <w:rsid w:val="00181167"/>
    <w:rsid w:val="00181303"/>
    <w:rsid w:val="00181533"/>
    <w:rsid w:val="001824C8"/>
    <w:rsid w:val="00182698"/>
    <w:rsid w:val="00183027"/>
    <w:rsid w:val="00184AB9"/>
    <w:rsid w:val="001864FD"/>
    <w:rsid w:val="001877CE"/>
    <w:rsid w:val="00190504"/>
    <w:rsid w:val="001920E4"/>
    <w:rsid w:val="001936A7"/>
    <w:rsid w:val="001943DD"/>
    <w:rsid w:val="0019535E"/>
    <w:rsid w:val="00196BAC"/>
    <w:rsid w:val="001974F5"/>
    <w:rsid w:val="001A009A"/>
    <w:rsid w:val="001A0593"/>
    <w:rsid w:val="001A05C3"/>
    <w:rsid w:val="001A076F"/>
    <w:rsid w:val="001A0BF0"/>
    <w:rsid w:val="001A13F6"/>
    <w:rsid w:val="001A19AA"/>
    <w:rsid w:val="001A2D78"/>
    <w:rsid w:val="001A5878"/>
    <w:rsid w:val="001A7249"/>
    <w:rsid w:val="001B0648"/>
    <w:rsid w:val="001B0E18"/>
    <w:rsid w:val="001B19DB"/>
    <w:rsid w:val="001B1A48"/>
    <w:rsid w:val="001B271B"/>
    <w:rsid w:val="001B35A0"/>
    <w:rsid w:val="001B385A"/>
    <w:rsid w:val="001B3904"/>
    <w:rsid w:val="001B3AEC"/>
    <w:rsid w:val="001B3E8D"/>
    <w:rsid w:val="001B5259"/>
    <w:rsid w:val="001B53B8"/>
    <w:rsid w:val="001B5DD4"/>
    <w:rsid w:val="001B60D4"/>
    <w:rsid w:val="001B6211"/>
    <w:rsid w:val="001B6DA2"/>
    <w:rsid w:val="001B6F28"/>
    <w:rsid w:val="001B7071"/>
    <w:rsid w:val="001B743F"/>
    <w:rsid w:val="001B7A89"/>
    <w:rsid w:val="001C173F"/>
    <w:rsid w:val="001C3FE6"/>
    <w:rsid w:val="001C4481"/>
    <w:rsid w:val="001C46DB"/>
    <w:rsid w:val="001C4F4F"/>
    <w:rsid w:val="001C53A8"/>
    <w:rsid w:val="001C6998"/>
    <w:rsid w:val="001C6BA1"/>
    <w:rsid w:val="001C6F22"/>
    <w:rsid w:val="001C705E"/>
    <w:rsid w:val="001C7413"/>
    <w:rsid w:val="001D0176"/>
    <w:rsid w:val="001D0ADC"/>
    <w:rsid w:val="001D0B1D"/>
    <w:rsid w:val="001D141C"/>
    <w:rsid w:val="001D1D7B"/>
    <w:rsid w:val="001D2904"/>
    <w:rsid w:val="001D2BC0"/>
    <w:rsid w:val="001D2FC2"/>
    <w:rsid w:val="001D551B"/>
    <w:rsid w:val="001D652D"/>
    <w:rsid w:val="001D693F"/>
    <w:rsid w:val="001D6EDF"/>
    <w:rsid w:val="001D6EFD"/>
    <w:rsid w:val="001D6F9E"/>
    <w:rsid w:val="001E0391"/>
    <w:rsid w:val="001E0C29"/>
    <w:rsid w:val="001E1CCE"/>
    <w:rsid w:val="001E38FB"/>
    <w:rsid w:val="001E52C2"/>
    <w:rsid w:val="001E6973"/>
    <w:rsid w:val="001E6A27"/>
    <w:rsid w:val="001F0BE1"/>
    <w:rsid w:val="001F101A"/>
    <w:rsid w:val="001F1685"/>
    <w:rsid w:val="001F1B82"/>
    <w:rsid w:val="001F24EF"/>
    <w:rsid w:val="001F3A96"/>
    <w:rsid w:val="001F56C7"/>
    <w:rsid w:val="001F5850"/>
    <w:rsid w:val="001F6409"/>
    <w:rsid w:val="001F784B"/>
    <w:rsid w:val="002010EC"/>
    <w:rsid w:val="00203039"/>
    <w:rsid w:val="0020396A"/>
    <w:rsid w:val="002049B4"/>
    <w:rsid w:val="00204B17"/>
    <w:rsid w:val="002051D4"/>
    <w:rsid w:val="002056FA"/>
    <w:rsid w:val="002069D2"/>
    <w:rsid w:val="002111E1"/>
    <w:rsid w:val="00211DA2"/>
    <w:rsid w:val="002129E5"/>
    <w:rsid w:val="00212F62"/>
    <w:rsid w:val="00213693"/>
    <w:rsid w:val="00213FA6"/>
    <w:rsid w:val="00215137"/>
    <w:rsid w:val="00215479"/>
    <w:rsid w:val="002157BF"/>
    <w:rsid w:val="00215CCB"/>
    <w:rsid w:val="00215D62"/>
    <w:rsid w:val="00216CF5"/>
    <w:rsid w:val="0022037B"/>
    <w:rsid w:val="00220DBB"/>
    <w:rsid w:val="00222053"/>
    <w:rsid w:val="0022242B"/>
    <w:rsid w:val="00222C8D"/>
    <w:rsid w:val="00223AFE"/>
    <w:rsid w:val="00224041"/>
    <w:rsid w:val="0022410C"/>
    <w:rsid w:val="002256A8"/>
    <w:rsid w:val="00225F77"/>
    <w:rsid w:val="00226202"/>
    <w:rsid w:val="00227952"/>
    <w:rsid w:val="00230686"/>
    <w:rsid w:val="00230E6B"/>
    <w:rsid w:val="00232B3C"/>
    <w:rsid w:val="00232B97"/>
    <w:rsid w:val="00232E3A"/>
    <w:rsid w:val="0023309E"/>
    <w:rsid w:val="0023388C"/>
    <w:rsid w:val="0023523A"/>
    <w:rsid w:val="00235748"/>
    <w:rsid w:val="00235F41"/>
    <w:rsid w:val="00236D02"/>
    <w:rsid w:val="0023757C"/>
    <w:rsid w:val="00237C47"/>
    <w:rsid w:val="002402E4"/>
    <w:rsid w:val="00240B7A"/>
    <w:rsid w:val="00240C24"/>
    <w:rsid w:val="00240DA9"/>
    <w:rsid w:val="002421A0"/>
    <w:rsid w:val="00242323"/>
    <w:rsid w:val="00242B98"/>
    <w:rsid w:val="002445A1"/>
    <w:rsid w:val="0024682E"/>
    <w:rsid w:val="00246FE6"/>
    <w:rsid w:val="002470E3"/>
    <w:rsid w:val="00251049"/>
    <w:rsid w:val="00251757"/>
    <w:rsid w:val="00252066"/>
    <w:rsid w:val="0025207D"/>
    <w:rsid w:val="00252756"/>
    <w:rsid w:val="002528D9"/>
    <w:rsid w:val="002535AE"/>
    <w:rsid w:val="00253B1C"/>
    <w:rsid w:val="00253FDA"/>
    <w:rsid w:val="002544FB"/>
    <w:rsid w:val="00254DE9"/>
    <w:rsid w:val="00256AF1"/>
    <w:rsid w:val="00256EB8"/>
    <w:rsid w:val="00260AB0"/>
    <w:rsid w:val="002614D6"/>
    <w:rsid w:val="002615D3"/>
    <w:rsid w:val="002620B4"/>
    <w:rsid w:val="0026268A"/>
    <w:rsid w:val="00262845"/>
    <w:rsid w:val="00263D92"/>
    <w:rsid w:val="0026549C"/>
    <w:rsid w:val="002672F1"/>
    <w:rsid w:val="002708C7"/>
    <w:rsid w:val="00270D5A"/>
    <w:rsid w:val="00270DB4"/>
    <w:rsid w:val="00271414"/>
    <w:rsid w:val="00271922"/>
    <w:rsid w:val="00272E56"/>
    <w:rsid w:val="00273412"/>
    <w:rsid w:val="0027373F"/>
    <w:rsid w:val="00273F2D"/>
    <w:rsid w:val="002740DC"/>
    <w:rsid w:val="00274ACF"/>
    <w:rsid w:val="00277076"/>
    <w:rsid w:val="00277388"/>
    <w:rsid w:val="00277C8F"/>
    <w:rsid w:val="00280FD2"/>
    <w:rsid w:val="002811FF"/>
    <w:rsid w:val="0028159B"/>
    <w:rsid w:val="00282671"/>
    <w:rsid w:val="00282861"/>
    <w:rsid w:val="002829CC"/>
    <w:rsid w:val="0028305D"/>
    <w:rsid w:val="002843E2"/>
    <w:rsid w:val="0028525A"/>
    <w:rsid w:val="00285477"/>
    <w:rsid w:val="002858ED"/>
    <w:rsid w:val="0028609C"/>
    <w:rsid w:val="002874F5"/>
    <w:rsid w:val="00287BAA"/>
    <w:rsid w:val="00291477"/>
    <w:rsid w:val="0029180D"/>
    <w:rsid w:val="00292418"/>
    <w:rsid w:val="00293489"/>
    <w:rsid w:val="00293AF0"/>
    <w:rsid w:val="00295B30"/>
    <w:rsid w:val="00296F5E"/>
    <w:rsid w:val="002A30F0"/>
    <w:rsid w:val="002A386F"/>
    <w:rsid w:val="002A38A4"/>
    <w:rsid w:val="002A6DF5"/>
    <w:rsid w:val="002B288B"/>
    <w:rsid w:val="002B2945"/>
    <w:rsid w:val="002B35A7"/>
    <w:rsid w:val="002B3B4E"/>
    <w:rsid w:val="002B42EB"/>
    <w:rsid w:val="002B5E92"/>
    <w:rsid w:val="002B6406"/>
    <w:rsid w:val="002B6809"/>
    <w:rsid w:val="002B780C"/>
    <w:rsid w:val="002B7D7C"/>
    <w:rsid w:val="002C0991"/>
    <w:rsid w:val="002C24A7"/>
    <w:rsid w:val="002C2813"/>
    <w:rsid w:val="002C4231"/>
    <w:rsid w:val="002C68B5"/>
    <w:rsid w:val="002C6F99"/>
    <w:rsid w:val="002C7080"/>
    <w:rsid w:val="002D00B0"/>
    <w:rsid w:val="002D2364"/>
    <w:rsid w:val="002D2BE3"/>
    <w:rsid w:val="002D2E16"/>
    <w:rsid w:val="002D6050"/>
    <w:rsid w:val="002D6CF2"/>
    <w:rsid w:val="002D6E3E"/>
    <w:rsid w:val="002D740E"/>
    <w:rsid w:val="002D74D2"/>
    <w:rsid w:val="002E0B89"/>
    <w:rsid w:val="002E14F3"/>
    <w:rsid w:val="002E21D6"/>
    <w:rsid w:val="002E45F0"/>
    <w:rsid w:val="002E7778"/>
    <w:rsid w:val="002F16F3"/>
    <w:rsid w:val="002F3E5C"/>
    <w:rsid w:val="002F5E42"/>
    <w:rsid w:val="002F69E0"/>
    <w:rsid w:val="00301E43"/>
    <w:rsid w:val="0030227E"/>
    <w:rsid w:val="003022E5"/>
    <w:rsid w:val="0030281E"/>
    <w:rsid w:val="00302A69"/>
    <w:rsid w:val="003035A6"/>
    <w:rsid w:val="00304B3E"/>
    <w:rsid w:val="00304D97"/>
    <w:rsid w:val="003059F5"/>
    <w:rsid w:val="00307121"/>
    <w:rsid w:val="00310B42"/>
    <w:rsid w:val="0031180A"/>
    <w:rsid w:val="003119E3"/>
    <w:rsid w:val="00313127"/>
    <w:rsid w:val="0031319D"/>
    <w:rsid w:val="00313304"/>
    <w:rsid w:val="00313C65"/>
    <w:rsid w:val="003145EF"/>
    <w:rsid w:val="003155F4"/>
    <w:rsid w:val="00320309"/>
    <w:rsid w:val="00321671"/>
    <w:rsid w:val="00321D1E"/>
    <w:rsid w:val="003249D5"/>
    <w:rsid w:val="0032530E"/>
    <w:rsid w:val="00325A61"/>
    <w:rsid w:val="00326976"/>
    <w:rsid w:val="003273C2"/>
    <w:rsid w:val="003279E4"/>
    <w:rsid w:val="003311D7"/>
    <w:rsid w:val="00332B8B"/>
    <w:rsid w:val="00333B40"/>
    <w:rsid w:val="0033521E"/>
    <w:rsid w:val="003358A4"/>
    <w:rsid w:val="00336088"/>
    <w:rsid w:val="003364C7"/>
    <w:rsid w:val="00337CA2"/>
    <w:rsid w:val="003404A4"/>
    <w:rsid w:val="003418E4"/>
    <w:rsid w:val="003443B3"/>
    <w:rsid w:val="0034467E"/>
    <w:rsid w:val="00344692"/>
    <w:rsid w:val="00344A58"/>
    <w:rsid w:val="00346168"/>
    <w:rsid w:val="00346843"/>
    <w:rsid w:val="003468FC"/>
    <w:rsid w:val="00347104"/>
    <w:rsid w:val="0034756E"/>
    <w:rsid w:val="003475C0"/>
    <w:rsid w:val="00350138"/>
    <w:rsid w:val="00350852"/>
    <w:rsid w:val="0035096E"/>
    <w:rsid w:val="00350985"/>
    <w:rsid w:val="00350E5B"/>
    <w:rsid w:val="0035129C"/>
    <w:rsid w:val="0035219F"/>
    <w:rsid w:val="00352749"/>
    <w:rsid w:val="003538C1"/>
    <w:rsid w:val="00355BBA"/>
    <w:rsid w:val="00355D01"/>
    <w:rsid w:val="00357403"/>
    <w:rsid w:val="00357832"/>
    <w:rsid w:val="0036004D"/>
    <w:rsid w:val="00360661"/>
    <w:rsid w:val="00360B81"/>
    <w:rsid w:val="00360FE0"/>
    <w:rsid w:val="00362516"/>
    <w:rsid w:val="003632B1"/>
    <w:rsid w:val="00364722"/>
    <w:rsid w:val="00365987"/>
    <w:rsid w:val="00365A04"/>
    <w:rsid w:val="00366283"/>
    <w:rsid w:val="003673AA"/>
    <w:rsid w:val="0036777E"/>
    <w:rsid w:val="003701FA"/>
    <w:rsid w:val="00370210"/>
    <w:rsid w:val="00371282"/>
    <w:rsid w:val="003715FB"/>
    <w:rsid w:val="00372A26"/>
    <w:rsid w:val="00372EC7"/>
    <w:rsid w:val="0037484C"/>
    <w:rsid w:val="003749CD"/>
    <w:rsid w:val="00374A6C"/>
    <w:rsid w:val="00376365"/>
    <w:rsid w:val="00376941"/>
    <w:rsid w:val="003801D0"/>
    <w:rsid w:val="00380DEA"/>
    <w:rsid w:val="00381695"/>
    <w:rsid w:val="00381912"/>
    <w:rsid w:val="00381A26"/>
    <w:rsid w:val="00381C41"/>
    <w:rsid w:val="00382718"/>
    <w:rsid w:val="00382B3B"/>
    <w:rsid w:val="00384BF0"/>
    <w:rsid w:val="00385ED2"/>
    <w:rsid w:val="003866D6"/>
    <w:rsid w:val="003868B9"/>
    <w:rsid w:val="0038714A"/>
    <w:rsid w:val="00387E44"/>
    <w:rsid w:val="0039140E"/>
    <w:rsid w:val="00391833"/>
    <w:rsid w:val="00391F86"/>
    <w:rsid w:val="003923FB"/>
    <w:rsid w:val="003931C7"/>
    <w:rsid w:val="00393F00"/>
    <w:rsid w:val="00393F92"/>
    <w:rsid w:val="0039405D"/>
    <w:rsid w:val="003945C0"/>
    <w:rsid w:val="00394950"/>
    <w:rsid w:val="00395834"/>
    <w:rsid w:val="003966EA"/>
    <w:rsid w:val="003A19D0"/>
    <w:rsid w:val="003A25A7"/>
    <w:rsid w:val="003A2959"/>
    <w:rsid w:val="003A373A"/>
    <w:rsid w:val="003A3A38"/>
    <w:rsid w:val="003A56EF"/>
    <w:rsid w:val="003A5902"/>
    <w:rsid w:val="003A6676"/>
    <w:rsid w:val="003A7EF2"/>
    <w:rsid w:val="003B1B5F"/>
    <w:rsid w:val="003B2BEB"/>
    <w:rsid w:val="003B372F"/>
    <w:rsid w:val="003B3D2D"/>
    <w:rsid w:val="003B476D"/>
    <w:rsid w:val="003B52CE"/>
    <w:rsid w:val="003B535C"/>
    <w:rsid w:val="003B5F0C"/>
    <w:rsid w:val="003C0663"/>
    <w:rsid w:val="003C1688"/>
    <w:rsid w:val="003C2120"/>
    <w:rsid w:val="003C47C0"/>
    <w:rsid w:val="003C4A54"/>
    <w:rsid w:val="003C4BB1"/>
    <w:rsid w:val="003C63A3"/>
    <w:rsid w:val="003C6544"/>
    <w:rsid w:val="003D030E"/>
    <w:rsid w:val="003D040D"/>
    <w:rsid w:val="003D1F49"/>
    <w:rsid w:val="003D2061"/>
    <w:rsid w:val="003D2EC2"/>
    <w:rsid w:val="003D3014"/>
    <w:rsid w:val="003D3A57"/>
    <w:rsid w:val="003D4669"/>
    <w:rsid w:val="003D4DFA"/>
    <w:rsid w:val="003D543B"/>
    <w:rsid w:val="003D6763"/>
    <w:rsid w:val="003D6AE7"/>
    <w:rsid w:val="003D740B"/>
    <w:rsid w:val="003D7E3D"/>
    <w:rsid w:val="003E02C5"/>
    <w:rsid w:val="003E045E"/>
    <w:rsid w:val="003E1FE3"/>
    <w:rsid w:val="003E32A7"/>
    <w:rsid w:val="003E489D"/>
    <w:rsid w:val="003E74AE"/>
    <w:rsid w:val="003F0055"/>
    <w:rsid w:val="003F1A33"/>
    <w:rsid w:val="003F2D9D"/>
    <w:rsid w:val="003F3072"/>
    <w:rsid w:val="003F31E6"/>
    <w:rsid w:val="003F4056"/>
    <w:rsid w:val="003F4E85"/>
    <w:rsid w:val="003F5C2F"/>
    <w:rsid w:val="003F6412"/>
    <w:rsid w:val="00401057"/>
    <w:rsid w:val="00401484"/>
    <w:rsid w:val="00401B1C"/>
    <w:rsid w:val="004024E4"/>
    <w:rsid w:val="0040263F"/>
    <w:rsid w:val="00405045"/>
    <w:rsid w:val="00405D68"/>
    <w:rsid w:val="004061B4"/>
    <w:rsid w:val="00406289"/>
    <w:rsid w:val="00406578"/>
    <w:rsid w:val="00406A8F"/>
    <w:rsid w:val="004074EF"/>
    <w:rsid w:val="004102C3"/>
    <w:rsid w:val="00411339"/>
    <w:rsid w:val="0041149C"/>
    <w:rsid w:val="0041307C"/>
    <w:rsid w:val="00413699"/>
    <w:rsid w:val="0041587D"/>
    <w:rsid w:val="004167B4"/>
    <w:rsid w:val="004167BC"/>
    <w:rsid w:val="004170FD"/>
    <w:rsid w:val="004201DC"/>
    <w:rsid w:val="0042032D"/>
    <w:rsid w:val="00421BFC"/>
    <w:rsid w:val="004225DC"/>
    <w:rsid w:val="004232F6"/>
    <w:rsid w:val="00423A41"/>
    <w:rsid w:val="00423B7B"/>
    <w:rsid w:val="00425AA9"/>
    <w:rsid w:val="00425FBA"/>
    <w:rsid w:val="004260EB"/>
    <w:rsid w:val="0042761E"/>
    <w:rsid w:val="00427C7D"/>
    <w:rsid w:val="00430D7E"/>
    <w:rsid w:val="0043230B"/>
    <w:rsid w:val="00432332"/>
    <w:rsid w:val="00432368"/>
    <w:rsid w:val="004331E0"/>
    <w:rsid w:val="004332C1"/>
    <w:rsid w:val="004335DF"/>
    <w:rsid w:val="00433B04"/>
    <w:rsid w:val="00435F0B"/>
    <w:rsid w:val="0043657E"/>
    <w:rsid w:val="00436A63"/>
    <w:rsid w:val="0043771E"/>
    <w:rsid w:val="0043784D"/>
    <w:rsid w:val="00437F8F"/>
    <w:rsid w:val="00437FF9"/>
    <w:rsid w:val="00440256"/>
    <w:rsid w:val="00440314"/>
    <w:rsid w:val="00440E22"/>
    <w:rsid w:val="00442466"/>
    <w:rsid w:val="004427B0"/>
    <w:rsid w:val="00444A89"/>
    <w:rsid w:val="00444EF5"/>
    <w:rsid w:val="0044547D"/>
    <w:rsid w:val="0044588C"/>
    <w:rsid w:val="00445E48"/>
    <w:rsid w:val="00446762"/>
    <w:rsid w:val="00446F93"/>
    <w:rsid w:val="004476F5"/>
    <w:rsid w:val="00451A74"/>
    <w:rsid w:val="00451C27"/>
    <w:rsid w:val="0045380D"/>
    <w:rsid w:val="00454550"/>
    <w:rsid w:val="004552AB"/>
    <w:rsid w:val="004553FF"/>
    <w:rsid w:val="00455645"/>
    <w:rsid w:val="0045622C"/>
    <w:rsid w:val="004603BB"/>
    <w:rsid w:val="004613D4"/>
    <w:rsid w:val="00461648"/>
    <w:rsid w:val="004624EA"/>
    <w:rsid w:val="00462D61"/>
    <w:rsid w:val="00464B51"/>
    <w:rsid w:val="00464D7F"/>
    <w:rsid w:val="00464FB1"/>
    <w:rsid w:val="00467185"/>
    <w:rsid w:val="00467326"/>
    <w:rsid w:val="00467470"/>
    <w:rsid w:val="00467736"/>
    <w:rsid w:val="0047050C"/>
    <w:rsid w:val="00471319"/>
    <w:rsid w:val="00472A45"/>
    <w:rsid w:val="0047323B"/>
    <w:rsid w:val="00473930"/>
    <w:rsid w:val="00474063"/>
    <w:rsid w:val="00474D25"/>
    <w:rsid w:val="004750DB"/>
    <w:rsid w:val="00475E18"/>
    <w:rsid w:val="004768F8"/>
    <w:rsid w:val="00476C18"/>
    <w:rsid w:val="0047706D"/>
    <w:rsid w:val="004779D8"/>
    <w:rsid w:val="00480F21"/>
    <w:rsid w:val="0048108E"/>
    <w:rsid w:val="004821BA"/>
    <w:rsid w:val="00482F6F"/>
    <w:rsid w:val="004844FC"/>
    <w:rsid w:val="0048537F"/>
    <w:rsid w:val="00485A7E"/>
    <w:rsid w:val="004868D3"/>
    <w:rsid w:val="00486D22"/>
    <w:rsid w:val="004874E5"/>
    <w:rsid w:val="00487885"/>
    <w:rsid w:val="00490A65"/>
    <w:rsid w:val="0049116C"/>
    <w:rsid w:val="0049195A"/>
    <w:rsid w:val="00491968"/>
    <w:rsid w:val="00491C3C"/>
    <w:rsid w:val="004923C2"/>
    <w:rsid w:val="00492711"/>
    <w:rsid w:val="004930C9"/>
    <w:rsid w:val="00493D3C"/>
    <w:rsid w:val="00493F62"/>
    <w:rsid w:val="00494832"/>
    <w:rsid w:val="004957C2"/>
    <w:rsid w:val="00495AF1"/>
    <w:rsid w:val="00495C85"/>
    <w:rsid w:val="00496C3E"/>
    <w:rsid w:val="004975F9"/>
    <w:rsid w:val="00497A4E"/>
    <w:rsid w:val="00497A89"/>
    <w:rsid w:val="004A2437"/>
    <w:rsid w:val="004A2899"/>
    <w:rsid w:val="004A42B2"/>
    <w:rsid w:val="004A46D5"/>
    <w:rsid w:val="004A4CED"/>
    <w:rsid w:val="004A4D74"/>
    <w:rsid w:val="004A6337"/>
    <w:rsid w:val="004A6BE6"/>
    <w:rsid w:val="004B047F"/>
    <w:rsid w:val="004B0828"/>
    <w:rsid w:val="004B1837"/>
    <w:rsid w:val="004B3304"/>
    <w:rsid w:val="004B3DF1"/>
    <w:rsid w:val="004B4771"/>
    <w:rsid w:val="004B4BC0"/>
    <w:rsid w:val="004B51DB"/>
    <w:rsid w:val="004B5378"/>
    <w:rsid w:val="004B5555"/>
    <w:rsid w:val="004C0484"/>
    <w:rsid w:val="004C1534"/>
    <w:rsid w:val="004C259B"/>
    <w:rsid w:val="004C44E6"/>
    <w:rsid w:val="004C46A6"/>
    <w:rsid w:val="004C4960"/>
    <w:rsid w:val="004C6B91"/>
    <w:rsid w:val="004C731C"/>
    <w:rsid w:val="004C777E"/>
    <w:rsid w:val="004D0982"/>
    <w:rsid w:val="004D0C54"/>
    <w:rsid w:val="004D16A4"/>
    <w:rsid w:val="004D532C"/>
    <w:rsid w:val="004D57DD"/>
    <w:rsid w:val="004D7FC1"/>
    <w:rsid w:val="004E2632"/>
    <w:rsid w:val="004E3312"/>
    <w:rsid w:val="004E3FC0"/>
    <w:rsid w:val="004E40A6"/>
    <w:rsid w:val="004E4426"/>
    <w:rsid w:val="004E5BBB"/>
    <w:rsid w:val="004E6682"/>
    <w:rsid w:val="004E6D8A"/>
    <w:rsid w:val="004E7876"/>
    <w:rsid w:val="004F0411"/>
    <w:rsid w:val="004F0423"/>
    <w:rsid w:val="004F13F2"/>
    <w:rsid w:val="004F1443"/>
    <w:rsid w:val="004F14F9"/>
    <w:rsid w:val="004F15EF"/>
    <w:rsid w:val="004F1674"/>
    <w:rsid w:val="004F22FE"/>
    <w:rsid w:val="004F3B80"/>
    <w:rsid w:val="004F4272"/>
    <w:rsid w:val="004F5686"/>
    <w:rsid w:val="004F774D"/>
    <w:rsid w:val="00500CAF"/>
    <w:rsid w:val="005013B0"/>
    <w:rsid w:val="005015E4"/>
    <w:rsid w:val="005017A6"/>
    <w:rsid w:val="0050291D"/>
    <w:rsid w:val="0050514C"/>
    <w:rsid w:val="005064CD"/>
    <w:rsid w:val="005065DD"/>
    <w:rsid w:val="00506C00"/>
    <w:rsid w:val="00506E66"/>
    <w:rsid w:val="00507221"/>
    <w:rsid w:val="005072EF"/>
    <w:rsid w:val="00511016"/>
    <w:rsid w:val="00511A00"/>
    <w:rsid w:val="00512014"/>
    <w:rsid w:val="00513BE4"/>
    <w:rsid w:val="005151FD"/>
    <w:rsid w:val="0051530F"/>
    <w:rsid w:val="005159B3"/>
    <w:rsid w:val="00520565"/>
    <w:rsid w:val="0052273B"/>
    <w:rsid w:val="00522C03"/>
    <w:rsid w:val="00522E95"/>
    <w:rsid w:val="00523110"/>
    <w:rsid w:val="005235C3"/>
    <w:rsid w:val="00523920"/>
    <w:rsid w:val="00524957"/>
    <w:rsid w:val="00525EA4"/>
    <w:rsid w:val="00526095"/>
    <w:rsid w:val="00526CB4"/>
    <w:rsid w:val="00526DFC"/>
    <w:rsid w:val="005276B7"/>
    <w:rsid w:val="0052791F"/>
    <w:rsid w:val="00531AA9"/>
    <w:rsid w:val="00532CFF"/>
    <w:rsid w:val="00533351"/>
    <w:rsid w:val="00534D3D"/>
    <w:rsid w:val="005355CF"/>
    <w:rsid w:val="00535A25"/>
    <w:rsid w:val="00536880"/>
    <w:rsid w:val="00536F81"/>
    <w:rsid w:val="005378DD"/>
    <w:rsid w:val="00540AD0"/>
    <w:rsid w:val="00540C48"/>
    <w:rsid w:val="00541745"/>
    <w:rsid w:val="00543132"/>
    <w:rsid w:val="00543A76"/>
    <w:rsid w:val="005440F4"/>
    <w:rsid w:val="00544D75"/>
    <w:rsid w:val="00545715"/>
    <w:rsid w:val="00545E5C"/>
    <w:rsid w:val="00546A7B"/>
    <w:rsid w:val="0054701C"/>
    <w:rsid w:val="00547738"/>
    <w:rsid w:val="00550B31"/>
    <w:rsid w:val="00550E97"/>
    <w:rsid w:val="00551B02"/>
    <w:rsid w:val="005522F3"/>
    <w:rsid w:val="005523D1"/>
    <w:rsid w:val="00553991"/>
    <w:rsid w:val="0055532E"/>
    <w:rsid w:val="00555BC3"/>
    <w:rsid w:val="0055690F"/>
    <w:rsid w:val="00556D67"/>
    <w:rsid w:val="0055746D"/>
    <w:rsid w:val="00557C8E"/>
    <w:rsid w:val="00561B2B"/>
    <w:rsid w:val="0056357E"/>
    <w:rsid w:val="00564952"/>
    <w:rsid w:val="0056645F"/>
    <w:rsid w:val="00567960"/>
    <w:rsid w:val="00570DFA"/>
    <w:rsid w:val="005717C1"/>
    <w:rsid w:val="00571AB1"/>
    <w:rsid w:val="00571D55"/>
    <w:rsid w:val="005734F2"/>
    <w:rsid w:val="00573712"/>
    <w:rsid w:val="00573AD4"/>
    <w:rsid w:val="00574D61"/>
    <w:rsid w:val="005750C6"/>
    <w:rsid w:val="00577141"/>
    <w:rsid w:val="00577E1C"/>
    <w:rsid w:val="00580DB1"/>
    <w:rsid w:val="005814AC"/>
    <w:rsid w:val="005822C7"/>
    <w:rsid w:val="00583254"/>
    <w:rsid w:val="00584676"/>
    <w:rsid w:val="00584923"/>
    <w:rsid w:val="005854B7"/>
    <w:rsid w:val="00585A99"/>
    <w:rsid w:val="00585C01"/>
    <w:rsid w:val="005869B1"/>
    <w:rsid w:val="00586BB4"/>
    <w:rsid w:val="00586BB6"/>
    <w:rsid w:val="00586CE7"/>
    <w:rsid w:val="00587AB1"/>
    <w:rsid w:val="0059070B"/>
    <w:rsid w:val="00591C7D"/>
    <w:rsid w:val="00591E46"/>
    <w:rsid w:val="0059283C"/>
    <w:rsid w:val="00594E6F"/>
    <w:rsid w:val="00595082"/>
    <w:rsid w:val="00595EF7"/>
    <w:rsid w:val="0059691A"/>
    <w:rsid w:val="00597824"/>
    <w:rsid w:val="005A0330"/>
    <w:rsid w:val="005A0D95"/>
    <w:rsid w:val="005A1CA1"/>
    <w:rsid w:val="005A224B"/>
    <w:rsid w:val="005A27FB"/>
    <w:rsid w:val="005A2A67"/>
    <w:rsid w:val="005A3CB7"/>
    <w:rsid w:val="005A51F7"/>
    <w:rsid w:val="005A5772"/>
    <w:rsid w:val="005A5EAE"/>
    <w:rsid w:val="005A6779"/>
    <w:rsid w:val="005A763B"/>
    <w:rsid w:val="005B04C6"/>
    <w:rsid w:val="005B1225"/>
    <w:rsid w:val="005B17D8"/>
    <w:rsid w:val="005B1CB2"/>
    <w:rsid w:val="005B1D82"/>
    <w:rsid w:val="005B4077"/>
    <w:rsid w:val="005B4D66"/>
    <w:rsid w:val="005B5267"/>
    <w:rsid w:val="005B5A0D"/>
    <w:rsid w:val="005B64ED"/>
    <w:rsid w:val="005B65E5"/>
    <w:rsid w:val="005B71B8"/>
    <w:rsid w:val="005C08F0"/>
    <w:rsid w:val="005C10B9"/>
    <w:rsid w:val="005C11B2"/>
    <w:rsid w:val="005C21E4"/>
    <w:rsid w:val="005C28B0"/>
    <w:rsid w:val="005C2F01"/>
    <w:rsid w:val="005C5D34"/>
    <w:rsid w:val="005C5F3C"/>
    <w:rsid w:val="005C66C1"/>
    <w:rsid w:val="005C73F3"/>
    <w:rsid w:val="005D01BE"/>
    <w:rsid w:val="005D0412"/>
    <w:rsid w:val="005D0856"/>
    <w:rsid w:val="005D1177"/>
    <w:rsid w:val="005D1A43"/>
    <w:rsid w:val="005D1C11"/>
    <w:rsid w:val="005D1D13"/>
    <w:rsid w:val="005D254A"/>
    <w:rsid w:val="005D5460"/>
    <w:rsid w:val="005D5D62"/>
    <w:rsid w:val="005D6BD0"/>
    <w:rsid w:val="005E0320"/>
    <w:rsid w:val="005E08CD"/>
    <w:rsid w:val="005E1211"/>
    <w:rsid w:val="005E1C89"/>
    <w:rsid w:val="005E37E8"/>
    <w:rsid w:val="005E629B"/>
    <w:rsid w:val="005E74C5"/>
    <w:rsid w:val="005E7503"/>
    <w:rsid w:val="005E7D4E"/>
    <w:rsid w:val="005F0B11"/>
    <w:rsid w:val="005F219D"/>
    <w:rsid w:val="005F2437"/>
    <w:rsid w:val="005F2B5A"/>
    <w:rsid w:val="005F318A"/>
    <w:rsid w:val="005F545A"/>
    <w:rsid w:val="005F5639"/>
    <w:rsid w:val="005F7377"/>
    <w:rsid w:val="005F7710"/>
    <w:rsid w:val="005F7AB1"/>
    <w:rsid w:val="005F7FA9"/>
    <w:rsid w:val="006004F7"/>
    <w:rsid w:val="00601024"/>
    <w:rsid w:val="006016A6"/>
    <w:rsid w:val="00602949"/>
    <w:rsid w:val="00602A0F"/>
    <w:rsid w:val="00603261"/>
    <w:rsid w:val="00603381"/>
    <w:rsid w:val="00603551"/>
    <w:rsid w:val="0060589B"/>
    <w:rsid w:val="00606454"/>
    <w:rsid w:val="006064CA"/>
    <w:rsid w:val="00606542"/>
    <w:rsid w:val="00606934"/>
    <w:rsid w:val="00606BB9"/>
    <w:rsid w:val="00607597"/>
    <w:rsid w:val="00610F93"/>
    <w:rsid w:val="006110E8"/>
    <w:rsid w:val="006113CD"/>
    <w:rsid w:val="006116D6"/>
    <w:rsid w:val="006127CC"/>
    <w:rsid w:val="00612B7D"/>
    <w:rsid w:val="006144F1"/>
    <w:rsid w:val="00614661"/>
    <w:rsid w:val="00614AF5"/>
    <w:rsid w:val="00614DA8"/>
    <w:rsid w:val="006159AE"/>
    <w:rsid w:val="0061631D"/>
    <w:rsid w:val="006174F8"/>
    <w:rsid w:val="0062063F"/>
    <w:rsid w:val="0062070D"/>
    <w:rsid w:val="00620952"/>
    <w:rsid w:val="00622850"/>
    <w:rsid w:val="00622B53"/>
    <w:rsid w:val="00624059"/>
    <w:rsid w:val="006242FE"/>
    <w:rsid w:val="006243C6"/>
    <w:rsid w:val="00624665"/>
    <w:rsid w:val="00624B7E"/>
    <w:rsid w:val="00625548"/>
    <w:rsid w:val="006273BC"/>
    <w:rsid w:val="00627A03"/>
    <w:rsid w:val="00627B6F"/>
    <w:rsid w:val="00627C90"/>
    <w:rsid w:val="00631B31"/>
    <w:rsid w:val="00632009"/>
    <w:rsid w:val="00632D70"/>
    <w:rsid w:val="00633CF1"/>
    <w:rsid w:val="00634C0D"/>
    <w:rsid w:val="00635A6C"/>
    <w:rsid w:val="00637091"/>
    <w:rsid w:val="006412BF"/>
    <w:rsid w:val="00642839"/>
    <w:rsid w:val="00642846"/>
    <w:rsid w:val="00642AEC"/>
    <w:rsid w:val="006457F8"/>
    <w:rsid w:val="00645CCB"/>
    <w:rsid w:val="0064700E"/>
    <w:rsid w:val="006471F2"/>
    <w:rsid w:val="006472A3"/>
    <w:rsid w:val="006474E0"/>
    <w:rsid w:val="006478CB"/>
    <w:rsid w:val="00650B88"/>
    <w:rsid w:val="00652C58"/>
    <w:rsid w:val="006530EF"/>
    <w:rsid w:val="00654AB7"/>
    <w:rsid w:val="00654EC6"/>
    <w:rsid w:val="006551F7"/>
    <w:rsid w:val="006554DD"/>
    <w:rsid w:val="00655D89"/>
    <w:rsid w:val="006572F8"/>
    <w:rsid w:val="006574D3"/>
    <w:rsid w:val="00660818"/>
    <w:rsid w:val="00660951"/>
    <w:rsid w:val="00661244"/>
    <w:rsid w:val="006636E2"/>
    <w:rsid w:val="00663A7E"/>
    <w:rsid w:val="0066452E"/>
    <w:rsid w:val="006648A7"/>
    <w:rsid w:val="00664C4E"/>
    <w:rsid w:val="006661E7"/>
    <w:rsid w:val="00666273"/>
    <w:rsid w:val="00666AD5"/>
    <w:rsid w:val="00667249"/>
    <w:rsid w:val="00667E75"/>
    <w:rsid w:val="00667FA9"/>
    <w:rsid w:val="00670EF0"/>
    <w:rsid w:val="00671337"/>
    <w:rsid w:val="0067233D"/>
    <w:rsid w:val="00672B2E"/>
    <w:rsid w:val="00673236"/>
    <w:rsid w:val="00673D2A"/>
    <w:rsid w:val="006745AE"/>
    <w:rsid w:val="00674FF3"/>
    <w:rsid w:val="00676870"/>
    <w:rsid w:val="00676AF3"/>
    <w:rsid w:val="00676C78"/>
    <w:rsid w:val="00676CF3"/>
    <w:rsid w:val="00677895"/>
    <w:rsid w:val="006779BE"/>
    <w:rsid w:val="00677BEF"/>
    <w:rsid w:val="00680559"/>
    <w:rsid w:val="006814A3"/>
    <w:rsid w:val="00682AFC"/>
    <w:rsid w:val="00683344"/>
    <w:rsid w:val="0068436C"/>
    <w:rsid w:val="00684544"/>
    <w:rsid w:val="00684EE6"/>
    <w:rsid w:val="00684FC9"/>
    <w:rsid w:val="00686E4C"/>
    <w:rsid w:val="0068755B"/>
    <w:rsid w:val="00687F5C"/>
    <w:rsid w:val="0069072B"/>
    <w:rsid w:val="00690EAD"/>
    <w:rsid w:val="0069174B"/>
    <w:rsid w:val="00691B1F"/>
    <w:rsid w:val="0069270A"/>
    <w:rsid w:val="00693340"/>
    <w:rsid w:val="00693D50"/>
    <w:rsid w:val="00694C92"/>
    <w:rsid w:val="0069528B"/>
    <w:rsid w:val="006963CE"/>
    <w:rsid w:val="00696826"/>
    <w:rsid w:val="006A04C7"/>
    <w:rsid w:val="006A0837"/>
    <w:rsid w:val="006A0CC6"/>
    <w:rsid w:val="006A23A0"/>
    <w:rsid w:val="006A2E5B"/>
    <w:rsid w:val="006A3CF7"/>
    <w:rsid w:val="006A4287"/>
    <w:rsid w:val="006A4D16"/>
    <w:rsid w:val="006A60EF"/>
    <w:rsid w:val="006A667E"/>
    <w:rsid w:val="006A6BEC"/>
    <w:rsid w:val="006B05E3"/>
    <w:rsid w:val="006B09BC"/>
    <w:rsid w:val="006B46B0"/>
    <w:rsid w:val="006B4AA7"/>
    <w:rsid w:val="006B58A1"/>
    <w:rsid w:val="006B6349"/>
    <w:rsid w:val="006B6D5D"/>
    <w:rsid w:val="006B7B5A"/>
    <w:rsid w:val="006C0801"/>
    <w:rsid w:val="006C0C2C"/>
    <w:rsid w:val="006C1A8C"/>
    <w:rsid w:val="006C1EAA"/>
    <w:rsid w:val="006C216F"/>
    <w:rsid w:val="006C2D95"/>
    <w:rsid w:val="006C394E"/>
    <w:rsid w:val="006C45D4"/>
    <w:rsid w:val="006C6384"/>
    <w:rsid w:val="006D08CF"/>
    <w:rsid w:val="006D11BD"/>
    <w:rsid w:val="006D2042"/>
    <w:rsid w:val="006D3EAF"/>
    <w:rsid w:val="006D5A5B"/>
    <w:rsid w:val="006D66E3"/>
    <w:rsid w:val="006D75BA"/>
    <w:rsid w:val="006D7855"/>
    <w:rsid w:val="006E010C"/>
    <w:rsid w:val="006E1003"/>
    <w:rsid w:val="006E151A"/>
    <w:rsid w:val="006E16BF"/>
    <w:rsid w:val="006E18F0"/>
    <w:rsid w:val="006E2166"/>
    <w:rsid w:val="006E2BFF"/>
    <w:rsid w:val="006E2C89"/>
    <w:rsid w:val="006E31E7"/>
    <w:rsid w:val="006E3758"/>
    <w:rsid w:val="006E38AF"/>
    <w:rsid w:val="006E4785"/>
    <w:rsid w:val="006E4F93"/>
    <w:rsid w:val="006E6F76"/>
    <w:rsid w:val="006E75B4"/>
    <w:rsid w:val="006F10FE"/>
    <w:rsid w:val="006F1174"/>
    <w:rsid w:val="006F1435"/>
    <w:rsid w:val="006F179D"/>
    <w:rsid w:val="006F1CF2"/>
    <w:rsid w:val="006F1D2E"/>
    <w:rsid w:val="006F38FC"/>
    <w:rsid w:val="006F4632"/>
    <w:rsid w:val="006F5783"/>
    <w:rsid w:val="006F6B6C"/>
    <w:rsid w:val="006F7EDB"/>
    <w:rsid w:val="00700135"/>
    <w:rsid w:val="00700926"/>
    <w:rsid w:val="00701548"/>
    <w:rsid w:val="0070212F"/>
    <w:rsid w:val="007028D6"/>
    <w:rsid w:val="00702AD1"/>
    <w:rsid w:val="007034D5"/>
    <w:rsid w:val="007037CB"/>
    <w:rsid w:val="00704C40"/>
    <w:rsid w:val="00705180"/>
    <w:rsid w:val="00710A39"/>
    <w:rsid w:val="007111CF"/>
    <w:rsid w:val="00711605"/>
    <w:rsid w:val="0071162B"/>
    <w:rsid w:val="007116A4"/>
    <w:rsid w:val="00711DF6"/>
    <w:rsid w:val="00712187"/>
    <w:rsid w:val="0071356D"/>
    <w:rsid w:val="00716FBC"/>
    <w:rsid w:val="00717090"/>
    <w:rsid w:val="00720006"/>
    <w:rsid w:val="007206BA"/>
    <w:rsid w:val="00720739"/>
    <w:rsid w:val="00720D76"/>
    <w:rsid w:val="0072253E"/>
    <w:rsid w:val="00723C2A"/>
    <w:rsid w:val="00723E1F"/>
    <w:rsid w:val="0072443D"/>
    <w:rsid w:val="007247CF"/>
    <w:rsid w:val="007247E5"/>
    <w:rsid w:val="007248B7"/>
    <w:rsid w:val="007254CA"/>
    <w:rsid w:val="007255E6"/>
    <w:rsid w:val="007267D2"/>
    <w:rsid w:val="007306CC"/>
    <w:rsid w:val="00730CF8"/>
    <w:rsid w:val="00731A90"/>
    <w:rsid w:val="00731FA4"/>
    <w:rsid w:val="00732608"/>
    <w:rsid w:val="007326C3"/>
    <w:rsid w:val="00733251"/>
    <w:rsid w:val="00734083"/>
    <w:rsid w:val="00736555"/>
    <w:rsid w:val="007366ED"/>
    <w:rsid w:val="00736DCA"/>
    <w:rsid w:val="0074145A"/>
    <w:rsid w:val="00742BFC"/>
    <w:rsid w:val="00744A90"/>
    <w:rsid w:val="00745C47"/>
    <w:rsid w:val="00745E49"/>
    <w:rsid w:val="00747B25"/>
    <w:rsid w:val="0075003D"/>
    <w:rsid w:val="00751D97"/>
    <w:rsid w:val="00752C55"/>
    <w:rsid w:val="0075442D"/>
    <w:rsid w:val="00754C69"/>
    <w:rsid w:val="007557EC"/>
    <w:rsid w:val="007562D4"/>
    <w:rsid w:val="00756727"/>
    <w:rsid w:val="00756800"/>
    <w:rsid w:val="00756942"/>
    <w:rsid w:val="007573FA"/>
    <w:rsid w:val="00757EF9"/>
    <w:rsid w:val="007602DD"/>
    <w:rsid w:val="00760597"/>
    <w:rsid w:val="00760E06"/>
    <w:rsid w:val="00761DBF"/>
    <w:rsid w:val="00761FCF"/>
    <w:rsid w:val="00763229"/>
    <w:rsid w:val="00765503"/>
    <w:rsid w:val="00766D6D"/>
    <w:rsid w:val="00767A22"/>
    <w:rsid w:val="00767B7E"/>
    <w:rsid w:val="0077041A"/>
    <w:rsid w:val="007705E9"/>
    <w:rsid w:val="00771D7D"/>
    <w:rsid w:val="00772F24"/>
    <w:rsid w:val="00774184"/>
    <w:rsid w:val="007745B7"/>
    <w:rsid w:val="007750C8"/>
    <w:rsid w:val="007758CC"/>
    <w:rsid w:val="00776538"/>
    <w:rsid w:val="00777046"/>
    <w:rsid w:val="00777F10"/>
    <w:rsid w:val="007802BE"/>
    <w:rsid w:val="00780389"/>
    <w:rsid w:val="0078069A"/>
    <w:rsid w:val="00780EEF"/>
    <w:rsid w:val="0078134C"/>
    <w:rsid w:val="0078190C"/>
    <w:rsid w:val="00781C47"/>
    <w:rsid w:val="007837C7"/>
    <w:rsid w:val="00783E16"/>
    <w:rsid w:val="00784A54"/>
    <w:rsid w:val="00784B44"/>
    <w:rsid w:val="00785431"/>
    <w:rsid w:val="00785465"/>
    <w:rsid w:val="0078629A"/>
    <w:rsid w:val="0078666C"/>
    <w:rsid w:val="00786A9F"/>
    <w:rsid w:val="007875B8"/>
    <w:rsid w:val="00787656"/>
    <w:rsid w:val="00787A9D"/>
    <w:rsid w:val="00790825"/>
    <w:rsid w:val="00790F7F"/>
    <w:rsid w:val="00791767"/>
    <w:rsid w:val="0079268A"/>
    <w:rsid w:val="00794859"/>
    <w:rsid w:val="007973D7"/>
    <w:rsid w:val="00797C88"/>
    <w:rsid w:val="007A0328"/>
    <w:rsid w:val="007A098B"/>
    <w:rsid w:val="007A1013"/>
    <w:rsid w:val="007A1A9F"/>
    <w:rsid w:val="007A2242"/>
    <w:rsid w:val="007A235B"/>
    <w:rsid w:val="007A2501"/>
    <w:rsid w:val="007A3700"/>
    <w:rsid w:val="007A3ED2"/>
    <w:rsid w:val="007A4CA9"/>
    <w:rsid w:val="007A60B4"/>
    <w:rsid w:val="007A623C"/>
    <w:rsid w:val="007A76BD"/>
    <w:rsid w:val="007A7D19"/>
    <w:rsid w:val="007A7EC2"/>
    <w:rsid w:val="007B042D"/>
    <w:rsid w:val="007B05BB"/>
    <w:rsid w:val="007B133B"/>
    <w:rsid w:val="007B3777"/>
    <w:rsid w:val="007B42E6"/>
    <w:rsid w:val="007B4466"/>
    <w:rsid w:val="007B5B0C"/>
    <w:rsid w:val="007B6E0A"/>
    <w:rsid w:val="007B764C"/>
    <w:rsid w:val="007C07B0"/>
    <w:rsid w:val="007C085E"/>
    <w:rsid w:val="007C118A"/>
    <w:rsid w:val="007C1F60"/>
    <w:rsid w:val="007C3612"/>
    <w:rsid w:val="007C48F6"/>
    <w:rsid w:val="007C636F"/>
    <w:rsid w:val="007C63A3"/>
    <w:rsid w:val="007D0DC1"/>
    <w:rsid w:val="007D0FC7"/>
    <w:rsid w:val="007D1E80"/>
    <w:rsid w:val="007D2F2A"/>
    <w:rsid w:val="007D33D4"/>
    <w:rsid w:val="007D39EB"/>
    <w:rsid w:val="007D4C60"/>
    <w:rsid w:val="007E178F"/>
    <w:rsid w:val="007E1CC5"/>
    <w:rsid w:val="007E2CBE"/>
    <w:rsid w:val="007E350A"/>
    <w:rsid w:val="007E5B1B"/>
    <w:rsid w:val="007E696B"/>
    <w:rsid w:val="007E7319"/>
    <w:rsid w:val="007E74E1"/>
    <w:rsid w:val="007E77A8"/>
    <w:rsid w:val="007F093D"/>
    <w:rsid w:val="007F0A4A"/>
    <w:rsid w:val="007F185D"/>
    <w:rsid w:val="007F20F7"/>
    <w:rsid w:val="007F4082"/>
    <w:rsid w:val="007F491C"/>
    <w:rsid w:val="007F4FEC"/>
    <w:rsid w:val="007F51D0"/>
    <w:rsid w:val="007F6094"/>
    <w:rsid w:val="007F688E"/>
    <w:rsid w:val="00800D07"/>
    <w:rsid w:val="00801ACD"/>
    <w:rsid w:val="00801FBB"/>
    <w:rsid w:val="008025F3"/>
    <w:rsid w:val="008029B4"/>
    <w:rsid w:val="0080395C"/>
    <w:rsid w:val="00803BF8"/>
    <w:rsid w:val="008043E6"/>
    <w:rsid w:val="00804E3A"/>
    <w:rsid w:val="0080615C"/>
    <w:rsid w:val="008061C9"/>
    <w:rsid w:val="0080663A"/>
    <w:rsid w:val="008066D8"/>
    <w:rsid w:val="0080686E"/>
    <w:rsid w:val="0080687B"/>
    <w:rsid w:val="008074BB"/>
    <w:rsid w:val="00807784"/>
    <w:rsid w:val="00811A18"/>
    <w:rsid w:val="008121AF"/>
    <w:rsid w:val="00812E18"/>
    <w:rsid w:val="00813422"/>
    <w:rsid w:val="00813711"/>
    <w:rsid w:val="00821B5A"/>
    <w:rsid w:val="00821E64"/>
    <w:rsid w:val="00822AF0"/>
    <w:rsid w:val="00823575"/>
    <w:rsid w:val="0082369A"/>
    <w:rsid w:val="008240C0"/>
    <w:rsid w:val="008247F7"/>
    <w:rsid w:val="00824ECC"/>
    <w:rsid w:val="008253C4"/>
    <w:rsid w:val="008263C2"/>
    <w:rsid w:val="00827567"/>
    <w:rsid w:val="008307DB"/>
    <w:rsid w:val="00831A7E"/>
    <w:rsid w:val="00831D4C"/>
    <w:rsid w:val="0083281B"/>
    <w:rsid w:val="00833398"/>
    <w:rsid w:val="008335AC"/>
    <w:rsid w:val="00833862"/>
    <w:rsid w:val="00835D9D"/>
    <w:rsid w:val="00835FC9"/>
    <w:rsid w:val="008365D5"/>
    <w:rsid w:val="008368F8"/>
    <w:rsid w:val="008370E3"/>
    <w:rsid w:val="00840C8E"/>
    <w:rsid w:val="00840DC1"/>
    <w:rsid w:val="008410E2"/>
    <w:rsid w:val="00841475"/>
    <w:rsid w:val="0084149D"/>
    <w:rsid w:val="008418FA"/>
    <w:rsid w:val="0084193E"/>
    <w:rsid w:val="008424B3"/>
    <w:rsid w:val="00842959"/>
    <w:rsid w:val="00843390"/>
    <w:rsid w:val="00846B6F"/>
    <w:rsid w:val="008472BA"/>
    <w:rsid w:val="008502A6"/>
    <w:rsid w:val="0085235A"/>
    <w:rsid w:val="00853C3C"/>
    <w:rsid w:val="00854138"/>
    <w:rsid w:val="00854410"/>
    <w:rsid w:val="008544A8"/>
    <w:rsid w:val="008544DF"/>
    <w:rsid w:val="008562B0"/>
    <w:rsid w:val="008602B6"/>
    <w:rsid w:val="00860AAD"/>
    <w:rsid w:val="00861581"/>
    <w:rsid w:val="00861AA6"/>
    <w:rsid w:val="00861BC2"/>
    <w:rsid w:val="008636F8"/>
    <w:rsid w:val="008653FC"/>
    <w:rsid w:val="008654AC"/>
    <w:rsid w:val="008655B7"/>
    <w:rsid w:val="0086735A"/>
    <w:rsid w:val="0087050F"/>
    <w:rsid w:val="008706EF"/>
    <w:rsid w:val="008708F3"/>
    <w:rsid w:val="00871354"/>
    <w:rsid w:val="00873611"/>
    <w:rsid w:val="00873964"/>
    <w:rsid w:val="00873B46"/>
    <w:rsid w:val="00873C8F"/>
    <w:rsid w:val="008745FE"/>
    <w:rsid w:val="00874FB3"/>
    <w:rsid w:val="0087643A"/>
    <w:rsid w:val="00877F7C"/>
    <w:rsid w:val="008800FA"/>
    <w:rsid w:val="00880325"/>
    <w:rsid w:val="00880BE3"/>
    <w:rsid w:val="00880F8D"/>
    <w:rsid w:val="00881359"/>
    <w:rsid w:val="00882093"/>
    <w:rsid w:val="00882588"/>
    <w:rsid w:val="008844DA"/>
    <w:rsid w:val="00884ADE"/>
    <w:rsid w:val="008856CF"/>
    <w:rsid w:val="00885864"/>
    <w:rsid w:val="008860EA"/>
    <w:rsid w:val="00887C80"/>
    <w:rsid w:val="00890A1D"/>
    <w:rsid w:val="00892306"/>
    <w:rsid w:val="0089383B"/>
    <w:rsid w:val="00894E81"/>
    <w:rsid w:val="0089534B"/>
    <w:rsid w:val="0089616F"/>
    <w:rsid w:val="008969CD"/>
    <w:rsid w:val="00896F2B"/>
    <w:rsid w:val="00897BD1"/>
    <w:rsid w:val="008A0232"/>
    <w:rsid w:val="008A067B"/>
    <w:rsid w:val="008A1470"/>
    <w:rsid w:val="008A1AD1"/>
    <w:rsid w:val="008A2FA4"/>
    <w:rsid w:val="008A3400"/>
    <w:rsid w:val="008A44CF"/>
    <w:rsid w:val="008A661F"/>
    <w:rsid w:val="008A6E37"/>
    <w:rsid w:val="008A7097"/>
    <w:rsid w:val="008A71D8"/>
    <w:rsid w:val="008B0470"/>
    <w:rsid w:val="008B05E7"/>
    <w:rsid w:val="008B06C5"/>
    <w:rsid w:val="008B0E49"/>
    <w:rsid w:val="008B164E"/>
    <w:rsid w:val="008B19DE"/>
    <w:rsid w:val="008B27B4"/>
    <w:rsid w:val="008B459E"/>
    <w:rsid w:val="008B4F06"/>
    <w:rsid w:val="008B502A"/>
    <w:rsid w:val="008B5320"/>
    <w:rsid w:val="008B57D8"/>
    <w:rsid w:val="008B634B"/>
    <w:rsid w:val="008B65CF"/>
    <w:rsid w:val="008B6E5F"/>
    <w:rsid w:val="008B6F7E"/>
    <w:rsid w:val="008B7A65"/>
    <w:rsid w:val="008B7A88"/>
    <w:rsid w:val="008C051A"/>
    <w:rsid w:val="008C083D"/>
    <w:rsid w:val="008C1219"/>
    <w:rsid w:val="008C123E"/>
    <w:rsid w:val="008C137D"/>
    <w:rsid w:val="008C22DD"/>
    <w:rsid w:val="008C3DFD"/>
    <w:rsid w:val="008C3ED0"/>
    <w:rsid w:val="008C5DA5"/>
    <w:rsid w:val="008C5E94"/>
    <w:rsid w:val="008C6044"/>
    <w:rsid w:val="008D196A"/>
    <w:rsid w:val="008D2435"/>
    <w:rsid w:val="008D27BC"/>
    <w:rsid w:val="008D6C45"/>
    <w:rsid w:val="008D6E99"/>
    <w:rsid w:val="008D7DCF"/>
    <w:rsid w:val="008E1B9E"/>
    <w:rsid w:val="008E1BE3"/>
    <w:rsid w:val="008E1C86"/>
    <w:rsid w:val="008E37A7"/>
    <w:rsid w:val="008E39FD"/>
    <w:rsid w:val="008E3EF2"/>
    <w:rsid w:val="008E492A"/>
    <w:rsid w:val="008E51C9"/>
    <w:rsid w:val="008E5BEB"/>
    <w:rsid w:val="008E6306"/>
    <w:rsid w:val="008E71B3"/>
    <w:rsid w:val="008F09C6"/>
    <w:rsid w:val="008F2705"/>
    <w:rsid w:val="008F27AC"/>
    <w:rsid w:val="008F4A14"/>
    <w:rsid w:val="008F5E77"/>
    <w:rsid w:val="008F6355"/>
    <w:rsid w:val="008F6659"/>
    <w:rsid w:val="008F68F7"/>
    <w:rsid w:val="008F78A9"/>
    <w:rsid w:val="009005A6"/>
    <w:rsid w:val="009006CF"/>
    <w:rsid w:val="00900C71"/>
    <w:rsid w:val="00900DA9"/>
    <w:rsid w:val="00902A1C"/>
    <w:rsid w:val="009037B6"/>
    <w:rsid w:val="009047BD"/>
    <w:rsid w:val="00905058"/>
    <w:rsid w:val="00905796"/>
    <w:rsid w:val="00906CBE"/>
    <w:rsid w:val="00910024"/>
    <w:rsid w:val="00910384"/>
    <w:rsid w:val="00911758"/>
    <w:rsid w:val="009140A1"/>
    <w:rsid w:val="009146DB"/>
    <w:rsid w:val="00914C7A"/>
    <w:rsid w:val="0091643D"/>
    <w:rsid w:val="00916771"/>
    <w:rsid w:val="00916E33"/>
    <w:rsid w:val="00917919"/>
    <w:rsid w:val="00917AC1"/>
    <w:rsid w:val="00917FE2"/>
    <w:rsid w:val="0092093B"/>
    <w:rsid w:val="00921078"/>
    <w:rsid w:val="00926A9B"/>
    <w:rsid w:val="0092738E"/>
    <w:rsid w:val="00930669"/>
    <w:rsid w:val="009314F2"/>
    <w:rsid w:val="00931910"/>
    <w:rsid w:val="009325DB"/>
    <w:rsid w:val="00932753"/>
    <w:rsid w:val="00932C33"/>
    <w:rsid w:val="00935197"/>
    <w:rsid w:val="00936029"/>
    <w:rsid w:val="00936140"/>
    <w:rsid w:val="0093640F"/>
    <w:rsid w:val="00937C63"/>
    <w:rsid w:val="00937F51"/>
    <w:rsid w:val="00940F99"/>
    <w:rsid w:val="00941F5D"/>
    <w:rsid w:val="009427A1"/>
    <w:rsid w:val="00942FFE"/>
    <w:rsid w:val="00943001"/>
    <w:rsid w:val="00943A94"/>
    <w:rsid w:val="00944315"/>
    <w:rsid w:val="009457B9"/>
    <w:rsid w:val="009460D7"/>
    <w:rsid w:val="00950DE6"/>
    <w:rsid w:val="009522C2"/>
    <w:rsid w:val="009525C3"/>
    <w:rsid w:val="009525D0"/>
    <w:rsid w:val="009530B7"/>
    <w:rsid w:val="0095332F"/>
    <w:rsid w:val="00953516"/>
    <w:rsid w:val="009551E0"/>
    <w:rsid w:val="009564B1"/>
    <w:rsid w:val="0095654E"/>
    <w:rsid w:val="00956F3C"/>
    <w:rsid w:val="00957643"/>
    <w:rsid w:val="00960613"/>
    <w:rsid w:val="0096069C"/>
    <w:rsid w:val="00961E43"/>
    <w:rsid w:val="00962C89"/>
    <w:rsid w:val="00964257"/>
    <w:rsid w:val="009657C4"/>
    <w:rsid w:val="0096671C"/>
    <w:rsid w:val="00966AF1"/>
    <w:rsid w:val="00966C9C"/>
    <w:rsid w:val="00970578"/>
    <w:rsid w:val="00970678"/>
    <w:rsid w:val="00971C34"/>
    <w:rsid w:val="00972488"/>
    <w:rsid w:val="009726D0"/>
    <w:rsid w:val="0097361C"/>
    <w:rsid w:val="0097421D"/>
    <w:rsid w:val="009746AE"/>
    <w:rsid w:val="009757A5"/>
    <w:rsid w:val="00975934"/>
    <w:rsid w:val="00975FF5"/>
    <w:rsid w:val="00976117"/>
    <w:rsid w:val="00976A23"/>
    <w:rsid w:val="009800BC"/>
    <w:rsid w:val="00980BBD"/>
    <w:rsid w:val="00981216"/>
    <w:rsid w:val="009816F6"/>
    <w:rsid w:val="00981C78"/>
    <w:rsid w:val="009843BA"/>
    <w:rsid w:val="0098517F"/>
    <w:rsid w:val="00985969"/>
    <w:rsid w:val="009900F0"/>
    <w:rsid w:val="009905EE"/>
    <w:rsid w:val="00990A2D"/>
    <w:rsid w:val="00990B9B"/>
    <w:rsid w:val="00991370"/>
    <w:rsid w:val="00991664"/>
    <w:rsid w:val="00991721"/>
    <w:rsid w:val="00991769"/>
    <w:rsid w:val="00991ACA"/>
    <w:rsid w:val="009928B5"/>
    <w:rsid w:val="00993236"/>
    <w:rsid w:val="00993D8C"/>
    <w:rsid w:val="00994E3D"/>
    <w:rsid w:val="009957AE"/>
    <w:rsid w:val="00996739"/>
    <w:rsid w:val="00997B1D"/>
    <w:rsid w:val="009A0459"/>
    <w:rsid w:val="009A1846"/>
    <w:rsid w:val="009A297E"/>
    <w:rsid w:val="009A2EA9"/>
    <w:rsid w:val="009A33A9"/>
    <w:rsid w:val="009A42CD"/>
    <w:rsid w:val="009A6127"/>
    <w:rsid w:val="009A67D9"/>
    <w:rsid w:val="009A698F"/>
    <w:rsid w:val="009A7C50"/>
    <w:rsid w:val="009B0CC1"/>
    <w:rsid w:val="009B2736"/>
    <w:rsid w:val="009B2760"/>
    <w:rsid w:val="009B2DB8"/>
    <w:rsid w:val="009B317C"/>
    <w:rsid w:val="009B3D17"/>
    <w:rsid w:val="009B6155"/>
    <w:rsid w:val="009B69F0"/>
    <w:rsid w:val="009B713C"/>
    <w:rsid w:val="009C0F18"/>
    <w:rsid w:val="009C1040"/>
    <w:rsid w:val="009C12C6"/>
    <w:rsid w:val="009C245D"/>
    <w:rsid w:val="009C2555"/>
    <w:rsid w:val="009C3419"/>
    <w:rsid w:val="009C4F29"/>
    <w:rsid w:val="009C62CC"/>
    <w:rsid w:val="009C705A"/>
    <w:rsid w:val="009C7778"/>
    <w:rsid w:val="009C7EE6"/>
    <w:rsid w:val="009D06AE"/>
    <w:rsid w:val="009D09E2"/>
    <w:rsid w:val="009D1B4B"/>
    <w:rsid w:val="009D1E42"/>
    <w:rsid w:val="009D23F1"/>
    <w:rsid w:val="009D282B"/>
    <w:rsid w:val="009D536B"/>
    <w:rsid w:val="009D568F"/>
    <w:rsid w:val="009D6B16"/>
    <w:rsid w:val="009D7148"/>
    <w:rsid w:val="009D7DE5"/>
    <w:rsid w:val="009E02FD"/>
    <w:rsid w:val="009E1FC9"/>
    <w:rsid w:val="009E4B24"/>
    <w:rsid w:val="009E4B99"/>
    <w:rsid w:val="009E4C74"/>
    <w:rsid w:val="009E5559"/>
    <w:rsid w:val="009E56CC"/>
    <w:rsid w:val="009E59F1"/>
    <w:rsid w:val="009E62B6"/>
    <w:rsid w:val="009E62B9"/>
    <w:rsid w:val="009F0184"/>
    <w:rsid w:val="009F07CB"/>
    <w:rsid w:val="009F0A1A"/>
    <w:rsid w:val="009F12DC"/>
    <w:rsid w:val="009F1FFC"/>
    <w:rsid w:val="009F26CA"/>
    <w:rsid w:val="009F2DB9"/>
    <w:rsid w:val="009F35DA"/>
    <w:rsid w:val="009F4034"/>
    <w:rsid w:val="009F43D0"/>
    <w:rsid w:val="009F5144"/>
    <w:rsid w:val="009F5A77"/>
    <w:rsid w:val="009F5B4E"/>
    <w:rsid w:val="009F7F09"/>
    <w:rsid w:val="00A000F0"/>
    <w:rsid w:val="00A00268"/>
    <w:rsid w:val="00A00568"/>
    <w:rsid w:val="00A00884"/>
    <w:rsid w:val="00A00EEB"/>
    <w:rsid w:val="00A020CE"/>
    <w:rsid w:val="00A02F62"/>
    <w:rsid w:val="00A02FA3"/>
    <w:rsid w:val="00A030C3"/>
    <w:rsid w:val="00A03B6A"/>
    <w:rsid w:val="00A04803"/>
    <w:rsid w:val="00A10147"/>
    <w:rsid w:val="00A10263"/>
    <w:rsid w:val="00A10932"/>
    <w:rsid w:val="00A10EDE"/>
    <w:rsid w:val="00A11331"/>
    <w:rsid w:val="00A11B95"/>
    <w:rsid w:val="00A12348"/>
    <w:rsid w:val="00A131E6"/>
    <w:rsid w:val="00A13815"/>
    <w:rsid w:val="00A13843"/>
    <w:rsid w:val="00A13B7E"/>
    <w:rsid w:val="00A142DA"/>
    <w:rsid w:val="00A146A5"/>
    <w:rsid w:val="00A16EBB"/>
    <w:rsid w:val="00A17466"/>
    <w:rsid w:val="00A174D5"/>
    <w:rsid w:val="00A1786F"/>
    <w:rsid w:val="00A204B3"/>
    <w:rsid w:val="00A20576"/>
    <w:rsid w:val="00A20F8B"/>
    <w:rsid w:val="00A21593"/>
    <w:rsid w:val="00A221F7"/>
    <w:rsid w:val="00A22C21"/>
    <w:rsid w:val="00A232DA"/>
    <w:rsid w:val="00A24AA0"/>
    <w:rsid w:val="00A2604E"/>
    <w:rsid w:val="00A260A2"/>
    <w:rsid w:val="00A263D9"/>
    <w:rsid w:val="00A2764B"/>
    <w:rsid w:val="00A27BFB"/>
    <w:rsid w:val="00A27C72"/>
    <w:rsid w:val="00A302B1"/>
    <w:rsid w:val="00A308CE"/>
    <w:rsid w:val="00A31CCE"/>
    <w:rsid w:val="00A32367"/>
    <w:rsid w:val="00A337DA"/>
    <w:rsid w:val="00A33C95"/>
    <w:rsid w:val="00A34FF3"/>
    <w:rsid w:val="00A35351"/>
    <w:rsid w:val="00A361C7"/>
    <w:rsid w:val="00A3653F"/>
    <w:rsid w:val="00A36723"/>
    <w:rsid w:val="00A37B3B"/>
    <w:rsid w:val="00A4030C"/>
    <w:rsid w:val="00A41E36"/>
    <w:rsid w:val="00A42E0C"/>
    <w:rsid w:val="00A43140"/>
    <w:rsid w:val="00A4374F"/>
    <w:rsid w:val="00A43C36"/>
    <w:rsid w:val="00A441C9"/>
    <w:rsid w:val="00A442CB"/>
    <w:rsid w:val="00A445ED"/>
    <w:rsid w:val="00A45584"/>
    <w:rsid w:val="00A457AB"/>
    <w:rsid w:val="00A46DF5"/>
    <w:rsid w:val="00A4736E"/>
    <w:rsid w:val="00A50179"/>
    <w:rsid w:val="00A50939"/>
    <w:rsid w:val="00A50AE4"/>
    <w:rsid w:val="00A50BE0"/>
    <w:rsid w:val="00A5149A"/>
    <w:rsid w:val="00A52660"/>
    <w:rsid w:val="00A53164"/>
    <w:rsid w:val="00A53650"/>
    <w:rsid w:val="00A53E51"/>
    <w:rsid w:val="00A5533D"/>
    <w:rsid w:val="00A55B0E"/>
    <w:rsid w:val="00A55CAD"/>
    <w:rsid w:val="00A57183"/>
    <w:rsid w:val="00A577AA"/>
    <w:rsid w:val="00A60693"/>
    <w:rsid w:val="00A612E8"/>
    <w:rsid w:val="00A6196D"/>
    <w:rsid w:val="00A619C0"/>
    <w:rsid w:val="00A61ADF"/>
    <w:rsid w:val="00A62012"/>
    <w:rsid w:val="00A624CB"/>
    <w:rsid w:val="00A62AC0"/>
    <w:rsid w:val="00A62C86"/>
    <w:rsid w:val="00A67387"/>
    <w:rsid w:val="00A6794E"/>
    <w:rsid w:val="00A70277"/>
    <w:rsid w:val="00A71E14"/>
    <w:rsid w:val="00A71E1D"/>
    <w:rsid w:val="00A723EC"/>
    <w:rsid w:val="00A75118"/>
    <w:rsid w:val="00A75BA4"/>
    <w:rsid w:val="00A765A3"/>
    <w:rsid w:val="00A76BD2"/>
    <w:rsid w:val="00A80AFB"/>
    <w:rsid w:val="00A80C5C"/>
    <w:rsid w:val="00A8267D"/>
    <w:rsid w:val="00A82E14"/>
    <w:rsid w:val="00A83670"/>
    <w:rsid w:val="00A8381B"/>
    <w:rsid w:val="00A83D56"/>
    <w:rsid w:val="00A84B4B"/>
    <w:rsid w:val="00A8516A"/>
    <w:rsid w:val="00A8688E"/>
    <w:rsid w:val="00A8698D"/>
    <w:rsid w:val="00A86C17"/>
    <w:rsid w:val="00A8722B"/>
    <w:rsid w:val="00A901E9"/>
    <w:rsid w:val="00A917B6"/>
    <w:rsid w:val="00A91831"/>
    <w:rsid w:val="00A91B3B"/>
    <w:rsid w:val="00A92042"/>
    <w:rsid w:val="00A930D4"/>
    <w:rsid w:val="00A93B4F"/>
    <w:rsid w:val="00A93E87"/>
    <w:rsid w:val="00A942BA"/>
    <w:rsid w:val="00A94F7A"/>
    <w:rsid w:val="00A95D3B"/>
    <w:rsid w:val="00A97171"/>
    <w:rsid w:val="00A97341"/>
    <w:rsid w:val="00AA0081"/>
    <w:rsid w:val="00AA03ED"/>
    <w:rsid w:val="00AA221E"/>
    <w:rsid w:val="00AA28B4"/>
    <w:rsid w:val="00AA4E4D"/>
    <w:rsid w:val="00AA5E38"/>
    <w:rsid w:val="00AA6E85"/>
    <w:rsid w:val="00AA6F02"/>
    <w:rsid w:val="00AA7A9E"/>
    <w:rsid w:val="00AB09ED"/>
    <w:rsid w:val="00AB1FC7"/>
    <w:rsid w:val="00AB23F0"/>
    <w:rsid w:val="00AB2C01"/>
    <w:rsid w:val="00AB3DC0"/>
    <w:rsid w:val="00AB4646"/>
    <w:rsid w:val="00AB4CBB"/>
    <w:rsid w:val="00AB68ED"/>
    <w:rsid w:val="00AB7F22"/>
    <w:rsid w:val="00AC0233"/>
    <w:rsid w:val="00AC125E"/>
    <w:rsid w:val="00AC1486"/>
    <w:rsid w:val="00AC1B47"/>
    <w:rsid w:val="00AC27BC"/>
    <w:rsid w:val="00AC2B38"/>
    <w:rsid w:val="00AC3B4F"/>
    <w:rsid w:val="00AC45DF"/>
    <w:rsid w:val="00AC474D"/>
    <w:rsid w:val="00AC484C"/>
    <w:rsid w:val="00AC4DFD"/>
    <w:rsid w:val="00AC4F47"/>
    <w:rsid w:val="00AC5663"/>
    <w:rsid w:val="00AC58FD"/>
    <w:rsid w:val="00AC7B94"/>
    <w:rsid w:val="00AD0F6D"/>
    <w:rsid w:val="00AD1166"/>
    <w:rsid w:val="00AD15F0"/>
    <w:rsid w:val="00AD19D2"/>
    <w:rsid w:val="00AD1A96"/>
    <w:rsid w:val="00AD3042"/>
    <w:rsid w:val="00AD3536"/>
    <w:rsid w:val="00AD5535"/>
    <w:rsid w:val="00AD5808"/>
    <w:rsid w:val="00AD5A3F"/>
    <w:rsid w:val="00AD5A91"/>
    <w:rsid w:val="00AD6068"/>
    <w:rsid w:val="00AD7373"/>
    <w:rsid w:val="00AD793A"/>
    <w:rsid w:val="00AD7F28"/>
    <w:rsid w:val="00AE0120"/>
    <w:rsid w:val="00AE03BE"/>
    <w:rsid w:val="00AE12A4"/>
    <w:rsid w:val="00AE2383"/>
    <w:rsid w:val="00AE3038"/>
    <w:rsid w:val="00AE3D4A"/>
    <w:rsid w:val="00AE423D"/>
    <w:rsid w:val="00AE4379"/>
    <w:rsid w:val="00AE5956"/>
    <w:rsid w:val="00AE619F"/>
    <w:rsid w:val="00AE7A88"/>
    <w:rsid w:val="00AF060F"/>
    <w:rsid w:val="00AF0A41"/>
    <w:rsid w:val="00AF13D2"/>
    <w:rsid w:val="00AF2A56"/>
    <w:rsid w:val="00AF4E49"/>
    <w:rsid w:val="00AF51D1"/>
    <w:rsid w:val="00AF63AB"/>
    <w:rsid w:val="00AF6645"/>
    <w:rsid w:val="00AF688D"/>
    <w:rsid w:val="00AF729C"/>
    <w:rsid w:val="00AF7380"/>
    <w:rsid w:val="00B01439"/>
    <w:rsid w:val="00B01784"/>
    <w:rsid w:val="00B01953"/>
    <w:rsid w:val="00B01D9C"/>
    <w:rsid w:val="00B02C34"/>
    <w:rsid w:val="00B0388B"/>
    <w:rsid w:val="00B03BEE"/>
    <w:rsid w:val="00B04A76"/>
    <w:rsid w:val="00B04C79"/>
    <w:rsid w:val="00B0517E"/>
    <w:rsid w:val="00B054F6"/>
    <w:rsid w:val="00B06B65"/>
    <w:rsid w:val="00B111FC"/>
    <w:rsid w:val="00B11314"/>
    <w:rsid w:val="00B113E3"/>
    <w:rsid w:val="00B1140C"/>
    <w:rsid w:val="00B1156A"/>
    <w:rsid w:val="00B128F3"/>
    <w:rsid w:val="00B138E3"/>
    <w:rsid w:val="00B13FB5"/>
    <w:rsid w:val="00B16142"/>
    <w:rsid w:val="00B16ED9"/>
    <w:rsid w:val="00B17076"/>
    <w:rsid w:val="00B17719"/>
    <w:rsid w:val="00B178FA"/>
    <w:rsid w:val="00B17D8E"/>
    <w:rsid w:val="00B20429"/>
    <w:rsid w:val="00B207C3"/>
    <w:rsid w:val="00B20BB0"/>
    <w:rsid w:val="00B21443"/>
    <w:rsid w:val="00B22468"/>
    <w:rsid w:val="00B23267"/>
    <w:rsid w:val="00B23734"/>
    <w:rsid w:val="00B23906"/>
    <w:rsid w:val="00B23F96"/>
    <w:rsid w:val="00B257BF"/>
    <w:rsid w:val="00B27149"/>
    <w:rsid w:val="00B27623"/>
    <w:rsid w:val="00B27B54"/>
    <w:rsid w:val="00B30578"/>
    <w:rsid w:val="00B33399"/>
    <w:rsid w:val="00B34BB7"/>
    <w:rsid w:val="00B35B4D"/>
    <w:rsid w:val="00B35BC3"/>
    <w:rsid w:val="00B35D41"/>
    <w:rsid w:val="00B35E9F"/>
    <w:rsid w:val="00B362F0"/>
    <w:rsid w:val="00B36652"/>
    <w:rsid w:val="00B40F2A"/>
    <w:rsid w:val="00B425AB"/>
    <w:rsid w:val="00B45279"/>
    <w:rsid w:val="00B46824"/>
    <w:rsid w:val="00B47090"/>
    <w:rsid w:val="00B47B5B"/>
    <w:rsid w:val="00B47BCD"/>
    <w:rsid w:val="00B5050E"/>
    <w:rsid w:val="00B50C90"/>
    <w:rsid w:val="00B5179B"/>
    <w:rsid w:val="00B52690"/>
    <w:rsid w:val="00B532D1"/>
    <w:rsid w:val="00B53B6C"/>
    <w:rsid w:val="00B57925"/>
    <w:rsid w:val="00B601BB"/>
    <w:rsid w:val="00B602A5"/>
    <w:rsid w:val="00B61E3E"/>
    <w:rsid w:val="00B6432A"/>
    <w:rsid w:val="00B65636"/>
    <w:rsid w:val="00B66A4B"/>
    <w:rsid w:val="00B66FC4"/>
    <w:rsid w:val="00B67745"/>
    <w:rsid w:val="00B67A79"/>
    <w:rsid w:val="00B72335"/>
    <w:rsid w:val="00B72D62"/>
    <w:rsid w:val="00B73C37"/>
    <w:rsid w:val="00B750EB"/>
    <w:rsid w:val="00B767AF"/>
    <w:rsid w:val="00B779DF"/>
    <w:rsid w:val="00B77A11"/>
    <w:rsid w:val="00B77EE1"/>
    <w:rsid w:val="00B80511"/>
    <w:rsid w:val="00B80798"/>
    <w:rsid w:val="00B80876"/>
    <w:rsid w:val="00B80E00"/>
    <w:rsid w:val="00B82C3C"/>
    <w:rsid w:val="00B82DE6"/>
    <w:rsid w:val="00B831CD"/>
    <w:rsid w:val="00B8411D"/>
    <w:rsid w:val="00B846F6"/>
    <w:rsid w:val="00B84870"/>
    <w:rsid w:val="00B85329"/>
    <w:rsid w:val="00B86EEC"/>
    <w:rsid w:val="00B87129"/>
    <w:rsid w:val="00B87ACD"/>
    <w:rsid w:val="00B9113C"/>
    <w:rsid w:val="00B91B73"/>
    <w:rsid w:val="00B91B9D"/>
    <w:rsid w:val="00B93F14"/>
    <w:rsid w:val="00B9497F"/>
    <w:rsid w:val="00B9552D"/>
    <w:rsid w:val="00B95A15"/>
    <w:rsid w:val="00B95F1D"/>
    <w:rsid w:val="00B97820"/>
    <w:rsid w:val="00BA0169"/>
    <w:rsid w:val="00BA1B71"/>
    <w:rsid w:val="00BA2708"/>
    <w:rsid w:val="00BA3176"/>
    <w:rsid w:val="00BA424C"/>
    <w:rsid w:val="00BA4D4B"/>
    <w:rsid w:val="00BA5E20"/>
    <w:rsid w:val="00BA607C"/>
    <w:rsid w:val="00BA6734"/>
    <w:rsid w:val="00BA7456"/>
    <w:rsid w:val="00BA74D4"/>
    <w:rsid w:val="00BB0E8D"/>
    <w:rsid w:val="00BB3120"/>
    <w:rsid w:val="00BB3241"/>
    <w:rsid w:val="00BB3286"/>
    <w:rsid w:val="00BB3E2A"/>
    <w:rsid w:val="00BB48A7"/>
    <w:rsid w:val="00BB4B7F"/>
    <w:rsid w:val="00BB7121"/>
    <w:rsid w:val="00BC0479"/>
    <w:rsid w:val="00BC1651"/>
    <w:rsid w:val="00BC16F5"/>
    <w:rsid w:val="00BC18FF"/>
    <w:rsid w:val="00BC287D"/>
    <w:rsid w:val="00BC2A38"/>
    <w:rsid w:val="00BC35F4"/>
    <w:rsid w:val="00BC46EB"/>
    <w:rsid w:val="00BC4E92"/>
    <w:rsid w:val="00BC567B"/>
    <w:rsid w:val="00BC57FE"/>
    <w:rsid w:val="00BC643B"/>
    <w:rsid w:val="00BC6F94"/>
    <w:rsid w:val="00BD009A"/>
    <w:rsid w:val="00BD13D8"/>
    <w:rsid w:val="00BD2A41"/>
    <w:rsid w:val="00BD32E5"/>
    <w:rsid w:val="00BD36C4"/>
    <w:rsid w:val="00BD3DAB"/>
    <w:rsid w:val="00BD4BC6"/>
    <w:rsid w:val="00BD5B50"/>
    <w:rsid w:val="00BD6852"/>
    <w:rsid w:val="00BD6E1A"/>
    <w:rsid w:val="00BD79DE"/>
    <w:rsid w:val="00BE1095"/>
    <w:rsid w:val="00BE1290"/>
    <w:rsid w:val="00BE150A"/>
    <w:rsid w:val="00BE15B4"/>
    <w:rsid w:val="00BE1789"/>
    <w:rsid w:val="00BE2C89"/>
    <w:rsid w:val="00BE3FAA"/>
    <w:rsid w:val="00BE5222"/>
    <w:rsid w:val="00BE5FD9"/>
    <w:rsid w:val="00BE6767"/>
    <w:rsid w:val="00BE686C"/>
    <w:rsid w:val="00BE6A78"/>
    <w:rsid w:val="00BE78EC"/>
    <w:rsid w:val="00BF14E9"/>
    <w:rsid w:val="00BF2232"/>
    <w:rsid w:val="00BF389D"/>
    <w:rsid w:val="00BF46EE"/>
    <w:rsid w:val="00BF646E"/>
    <w:rsid w:val="00BF68E2"/>
    <w:rsid w:val="00BF6BAF"/>
    <w:rsid w:val="00BF6BD1"/>
    <w:rsid w:val="00C0049C"/>
    <w:rsid w:val="00C02660"/>
    <w:rsid w:val="00C0365C"/>
    <w:rsid w:val="00C0538A"/>
    <w:rsid w:val="00C05954"/>
    <w:rsid w:val="00C0613C"/>
    <w:rsid w:val="00C06F7D"/>
    <w:rsid w:val="00C06F85"/>
    <w:rsid w:val="00C10D05"/>
    <w:rsid w:val="00C121CD"/>
    <w:rsid w:val="00C12311"/>
    <w:rsid w:val="00C12B02"/>
    <w:rsid w:val="00C12D39"/>
    <w:rsid w:val="00C1389A"/>
    <w:rsid w:val="00C13970"/>
    <w:rsid w:val="00C13DF9"/>
    <w:rsid w:val="00C144BF"/>
    <w:rsid w:val="00C14FBA"/>
    <w:rsid w:val="00C15484"/>
    <w:rsid w:val="00C15EA1"/>
    <w:rsid w:val="00C1616C"/>
    <w:rsid w:val="00C164CD"/>
    <w:rsid w:val="00C16998"/>
    <w:rsid w:val="00C16C87"/>
    <w:rsid w:val="00C16D12"/>
    <w:rsid w:val="00C174DB"/>
    <w:rsid w:val="00C176B7"/>
    <w:rsid w:val="00C17A8E"/>
    <w:rsid w:val="00C17FFC"/>
    <w:rsid w:val="00C2228E"/>
    <w:rsid w:val="00C2378F"/>
    <w:rsid w:val="00C23F98"/>
    <w:rsid w:val="00C24F70"/>
    <w:rsid w:val="00C25615"/>
    <w:rsid w:val="00C25DC2"/>
    <w:rsid w:val="00C2637F"/>
    <w:rsid w:val="00C26A06"/>
    <w:rsid w:val="00C27DD4"/>
    <w:rsid w:val="00C31DE2"/>
    <w:rsid w:val="00C31E24"/>
    <w:rsid w:val="00C33479"/>
    <w:rsid w:val="00C340DB"/>
    <w:rsid w:val="00C34DF2"/>
    <w:rsid w:val="00C40136"/>
    <w:rsid w:val="00C404CE"/>
    <w:rsid w:val="00C40ED2"/>
    <w:rsid w:val="00C41073"/>
    <w:rsid w:val="00C416AE"/>
    <w:rsid w:val="00C41F10"/>
    <w:rsid w:val="00C420E6"/>
    <w:rsid w:val="00C42C08"/>
    <w:rsid w:val="00C432DD"/>
    <w:rsid w:val="00C4423A"/>
    <w:rsid w:val="00C4437D"/>
    <w:rsid w:val="00C47451"/>
    <w:rsid w:val="00C47CB9"/>
    <w:rsid w:val="00C47F20"/>
    <w:rsid w:val="00C501FE"/>
    <w:rsid w:val="00C513A9"/>
    <w:rsid w:val="00C51BB0"/>
    <w:rsid w:val="00C52552"/>
    <w:rsid w:val="00C52A19"/>
    <w:rsid w:val="00C54FDB"/>
    <w:rsid w:val="00C56957"/>
    <w:rsid w:val="00C56CCC"/>
    <w:rsid w:val="00C571C6"/>
    <w:rsid w:val="00C575E5"/>
    <w:rsid w:val="00C5784B"/>
    <w:rsid w:val="00C57963"/>
    <w:rsid w:val="00C6182F"/>
    <w:rsid w:val="00C63515"/>
    <w:rsid w:val="00C6390D"/>
    <w:rsid w:val="00C639FF"/>
    <w:rsid w:val="00C63A53"/>
    <w:rsid w:val="00C63CB4"/>
    <w:rsid w:val="00C63EBE"/>
    <w:rsid w:val="00C6442A"/>
    <w:rsid w:val="00C644FA"/>
    <w:rsid w:val="00C64A75"/>
    <w:rsid w:val="00C64D15"/>
    <w:rsid w:val="00C64D21"/>
    <w:rsid w:val="00C65502"/>
    <w:rsid w:val="00C66088"/>
    <w:rsid w:val="00C66B6E"/>
    <w:rsid w:val="00C67C4C"/>
    <w:rsid w:val="00C708EB"/>
    <w:rsid w:val="00C71161"/>
    <w:rsid w:val="00C72AE7"/>
    <w:rsid w:val="00C739D8"/>
    <w:rsid w:val="00C74B5D"/>
    <w:rsid w:val="00C74C48"/>
    <w:rsid w:val="00C74F05"/>
    <w:rsid w:val="00C74F74"/>
    <w:rsid w:val="00C7554B"/>
    <w:rsid w:val="00C76CA7"/>
    <w:rsid w:val="00C80951"/>
    <w:rsid w:val="00C81251"/>
    <w:rsid w:val="00C8205E"/>
    <w:rsid w:val="00C8223A"/>
    <w:rsid w:val="00C82EB5"/>
    <w:rsid w:val="00C8359D"/>
    <w:rsid w:val="00C8623B"/>
    <w:rsid w:val="00C8759D"/>
    <w:rsid w:val="00C87966"/>
    <w:rsid w:val="00C87F03"/>
    <w:rsid w:val="00C902DE"/>
    <w:rsid w:val="00C913C3"/>
    <w:rsid w:val="00C916AE"/>
    <w:rsid w:val="00C93AAA"/>
    <w:rsid w:val="00C94DFC"/>
    <w:rsid w:val="00C95301"/>
    <w:rsid w:val="00C95304"/>
    <w:rsid w:val="00C95FCD"/>
    <w:rsid w:val="00C97188"/>
    <w:rsid w:val="00CA0639"/>
    <w:rsid w:val="00CA11D0"/>
    <w:rsid w:val="00CA20BC"/>
    <w:rsid w:val="00CA2E02"/>
    <w:rsid w:val="00CA3324"/>
    <w:rsid w:val="00CA3814"/>
    <w:rsid w:val="00CA48E0"/>
    <w:rsid w:val="00CA4E0B"/>
    <w:rsid w:val="00CA583A"/>
    <w:rsid w:val="00CA5EC6"/>
    <w:rsid w:val="00CA6B4E"/>
    <w:rsid w:val="00CA7BBD"/>
    <w:rsid w:val="00CB0A2A"/>
    <w:rsid w:val="00CB0CBD"/>
    <w:rsid w:val="00CB2412"/>
    <w:rsid w:val="00CB34B8"/>
    <w:rsid w:val="00CB5744"/>
    <w:rsid w:val="00CB641F"/>
    <w:rsid w:val="00CB7022"/>
    <w:rsid w:val="00CB75DB"/>
    <w:rsid w:val="00CB7BC5"/>
    <w:rsid w:val="00CB7F0A"/>
    <w:rsid w:val="00CC141E"/>
    <w:rsid w:val="00CC2EE6"/>
    <w:rsid w:val="00CC3195"/>
    <w:rsid w:val="00CC4C2F"/>
    <w:rsid w:val="00CC586D"/>
    <w:rsid w:val="00CC5C43"/>
    <w:rsid w:val="00CC6096"/>
    <w:rsid w:val="00CC7DBC"/>
    <w:rsid w:val="00CD1BA3"/>
    <w:rsid w:val="00CD1D23"/>
    <w:rsid w:val="00CD33B1"/>
    <w:rsid w:val="00CD3612"/>
    <w:rsid w:val="00CD3E69"/>
    <w:rsid w:val="00CD3F2F"/>
    <w:rsid w:val="00CD3FC5"/>
    <w:rsid w:val="00CD4224"/>
    <w:rsid w:val="00CD61B7"/>
    <w:rsid w:val="00CD65ED"/>
    <w:rsid w:val="00CD6B7D"/>
    <w:rsid w:val="00CD7D29"/>
    <w:rsid w:val="00CD7F9E"/>
    <w:rsid w:val="00CD7FE5"/>
    <w:rsid w:val="00CE0847"/>
    <w:rsid w:val="00CE0B6C"/>
    <w:rsid w:val="00CE0BE9"/>
    <w:rsid w:val="00CE11D0"/>
    <w:rsid w:val="00CE3687"/>
    <w:rsid w:val="00CE3925"/>
    <w:rsid w:val="00CE4708"/>
    <w:rsid w:val="00CE4C50"/>
    <w:rsid w:val="00CE589D"/>
    <w:rsid w:val="00CE6858"/>
    <w:rsid w:val="00CE7450"/>
    <w:rsid w:val="00CE770C"/>
    <w:rsid w:val="00CE7C1F"/>
    <w:rsid w:val="00CF0EFF"/>
    <w:rsid w:val="00CF1524"/>
    <w:rsid w:val="00CF15B3"/>
    <w:rsid w:val="00CF343C"/>
    <w:rsid w:val="00CF50BE"/>
    <w:rsid w:val="00CF538C"/>
    <w:rsid w:val="00CF5A21"/>
    <w:rsid w:val="00CF6522"/>
    <w:rsid w:val="00CF745C"/>
    <w:rsid w:val="00CF749F"/>
    <w:rsid w:val="00CF7625"/>
    <w:rsid w:val="00CF7798"/>
    <w:rsid w:val="00D00CF3"/>
    <w:rsid w:val="00D0110F"/>
    <w:rsid w:val="00D03749"/>
    <w:rsid w:val="00D03B0E"/>
    <w:rsid w:val="00D03BC7"/>
    <w:rsid w:val="00D048B7"/>
    <w:rsid w:val="00D04D8E"/>
    <w:rsid w:val="00D04F2F"/>
    <w:rsid w:val="00D0506A"/>
    <w:rsid w:val="00D0561E"/>
    <w:rsid w:val="00D05900"/>
    <w:rsid w:val="00D062CA"/>
    <w:rsid w:val="00D062E7"/>
    <w:rsid w:val="00D06A75"/>
    <w:rsid w:val="00D06B20"/>
    <w:rsid w:val="00D06BAD"/>
    <w:rsid w:val="00D0753E"/>
    <w:rsid w:val="00D10FA1"/>
    <w:rsid w:val="00D113FD"/>
    <w:rsid w:val="00D1289C"/>
    <w:rsid w:val="00D1494A"/>
    <w:rsid w:val="00D1527C"/>
    <w:rsid w:val="00D1666F"/>
    <w:rsid w:val="00D1762A"/>
    <w:rsid w:val="00D2071A"/>
    <w:rsid w:val="00D207F8"/>
    <w:rsid w:val="00D20BD1"/>
    <w:rsid w:val="00D22234"/>
    <w:rsid w:val="00D22F44"/>
    <w:rsid w:val="00D25177"/>
    <w:rsid w:val="00D25512"/>
    <w:rsid w:val="00D25C08"/>
    <w:rsid w:val="00D26AEE"/>
    <w:rsid w:val="00D30EEC"/>
    <w:rsid w:val="00D30F73"/>
    <w:rsid w:val="00D30F97"/>
    <w:rsid w:val="00D313A0"/>
    <w:rsid w:val="00D32299"/>
    <w:rsid w:val="00D33213"/>
    <w:rsid w:val="00D333FF"/>
    <w:rsid w:val="00D33B96"/>
    <w:rsid w:val="00D33ED3"/>
    <w:rsid w:val="00D3490E"/>
    <w:rsid w:val="00D34F7C"/>
    <w:rsid w:val="00D36FE0"/>
    <w:rsid w:val="00D373AB"/>
    <w:rsid w:val="00D40799"/>
    <w:rsid w:val="00D40CB7"/>
    <w:rsid w:val="00D40CC3"/>
    <w:rsid w:val="00D41A06"/>
    <w:rsid w:val="00D42654"/>
    <w:rsid w:val="00D42ABF"/>
    <w:rsid w:val="00D42F40"/>
    <w:rsid w:val="00D43278"/>
    <w:rsid w:val="00D43513"/>
    <w:rsid w:val="00D435E5"/>
    <w:rsid w:val="00D45B67"/>
    <w:rsid w:val="00D45D49"/>
    <w:rsid w:val="00D46116"/>
    <w:rsid w:val="00D4691D"/>
    <w:rsid w:val="00D5034A"/>
    <w:rsid w:val="00D50BDD"/>
    <w:rsid w:val="00D51523"/>
    <w:rsid w:val="00D518B1"/>
    <w:rsid w:val="00D51F49"/>
    <w:rsid w:val="00D52009"/>
    <w:rsid w:val="00D548E8"/>
    <w:rsid w:val="00D55627"/>
    <w:rsid w:val="00D55EE8"/>
    <w:rsid w:val="00D562CB"/>
    <w:rsid w:val="00D5669A"/>
    <w:rsid w:val="00D569D1"/>
    <w:rsid w:val="00D56AD8"/>
    <w:rsid w:val="00D56C05"/>
    <w:rsid w:val="00D56FCB"/>
    <w:rsid w:val="00D5785A"/>
    <w:rsid w:val="00D615B7"/>
    <w:rsid w:val="00D61C96"/>
    <w:rsid w:val="00D63293"/>
    <w:rsid w:val="00D6375F"/>
    <w:rsid w:val="00D64A5A"/>
    <w:rsid w:val="00D64C48"/>
    <w:rsid w:val="00D64D0A"/>
    <w:rsid w:val="00D64E5C"/>
    <w:rsid w:val="00D6680B"/>
    <w:rsid w:val="00D7188C"/>
    <w:rsid w:val="00D72121"/>
    <w:rsid w:val="00D72F4F"/>
    <w:rsid w:val="00D731C4"/>
    <w:rsid w:val="00D734E2"/>
    <w:rsid w:val="00D74EB4"/>
    <w:rsid w:val="00D76122"/>
    <w:rsid w:val="00D76FCE"/>
    <w:rsid w:val="00D776DF"/>
    <w:rsid w:val="00D77C13"/>
    <w:rsid w:val="00D801FC"/>
    <w:rsid w:val="00D80D4A"/>
    <w:rsid w:val="00D81B18"/>
    <w:rsid w:val="00D84762"/>
    <w:rsid w:val="00D85387"/>
    <w:rsid w:val="00D85A2A"/>
    <w:rsid w:val="00D85BE0"/>
    <w:rsid w:val="00D86D2E"/>
    <w:rsid w:val="00D87A1F"/>
    <w:rsid w:val="00D87FD7"/>
    <w:rsid w:val="00D90945"/>
    <w:rsid w:val="00D91466"/>
    <w:rsid w:val="00D915ED"/>
    <w:rsid w:val="00D91DE4"/>
    <w:rsid w:val="00D92300"/>
    <w:rsid w:val="00D94AFC"/>
    <w:rsid w:val="00D94BDA"/>
    <w:rsid w:val="00D94D5B"/>
    <w:rsid w:val="00D94DFA"/>
    <w:rsid w:val="00D950E6"/>
    <w:rsid w:val="00D95EF9"/>
    <w:rsid w:val="00D96541"/>
    <w:rsid w:val="00D97047"/>
    <w:rsid w:val="00DA0856"/>
    <w:rsid w:val="00DA0A2B"/>
    <w:rsid w:val="00DA0E9A"/>
    <w:rsid w:val="00DA1ACB"/>
    <w:rsid w:val="00DA2C0B"/>
    <w:rsid w:val="00DA35A9"/>
    <w:rsid w:val="00DA3619"/>
    <w:rsid w:val="00DA515E"/>
    <w:rsid w:val="00DA5E31"/>
    <w:rsid w:val="00DA5FD0"/>
    <w:rsid w:val="00DA69F5"/>
    <w:rsid w:val="00DA7FCC"/>
    <w:rsid w:val="00DB0B88"/>
    <w:rsid w:val="00DB1652"/>
    <w:rsid w:val="00DB3886"/>
    <w:rsid w:val="00DB45DC"/>
    <w:rsid w:val="00DB4C49"/>
    <w:rsid w:val="00DB4CA9"/>
    <w:rsid w:val="00DB5773"/>
    <w:rsid w:val="00DB58A6"/>
    <w:rsid w:val="00DB5B5D"/>
    <w:rsid w:val="00DB6B99"/>
    <w:rsid w:val="00DB7242"/>
    <w:rsid w:val="00DC001A"/>
    <w:rsid w:val="00DC0449"/>
    <w:rsid w:val="00DC1BB6"/>
    <w:rsid w:val="00DC2F23"/>
    <w:rsid w:val="00DC6AF8"/>
    <w:rsid w:val="00DD1307"/>
    <w:rsid w:val="00DD1C0C"/>
    <w:rsid w:val="00DD22BB"/>
    <w:rsid w:val="00DD2741"/>
    <w:rsid w:val="00DD3AE0"/>
    <w:rsid w:val="00DD432F"/>
    <w:rsid w:val="00DD4F44"/>
    <w:rsid w:val="00DD686C"/>
    <w:rsid w:val="00DD777A"/>
    <w:rsid w:val="00DD7E0C"/>
    <w:rsid w:val="00DE2AC3"/>
    <w:rsid w:val="00DE2DCD"/>
    <w:rsid w:val="00DE2E40"/>
    <w:rsid w:val="00DE3598"/>
    <w:rsid w:val="00DE3874"/>
    <w:rsid w:val="00DE3FBD"/>
    <w:rsid w:val="00DE43F5"/>
    <w:rsid w:val="00DE4E52"/>
    <w:rsid w:val="00DE5759"/>
    <w:rsid w:val="00DE65FB"/>
    <w:rsid w:val="00DE703C"/>
    <w:rsid w:val="00DE78A8"/>
    <w:rsid w:val="00DF06F3"/>
    <w:rsid w:val="00DF0EA7"/>
    <w:rsid w:val="00DF234F"/>
    <w:rsid w:val="00DF25E3"/>
    <w:rsid w:val="00DF3094"/>
    <w:rsid w:val="00DF3271"/>
    <w:rsid w:val="00DF41C9"/>
    <w:rsid w:val="00DF420A"/>
    <w:rsid w:val="00DF4AF7"/>
    <w:rsid w:val="00DF51E3"/>
    <w:rsid w:val="00DF6FCA"/>
    <w:rsid w:val="00DF737E"/>
    <w:rsid w:val="00DF7F70"/>
    <w:rsid w:val="00E02472"/>
    <w:rsid w:val="00E02DE4"/>
    <w:rsid w:val="00E0324B"/>
    <w:rsid w:val="00E03371"/>
    <w:rsid w:val="00E041F0"/>
    <w:rsid w:val="00E050C5"/>
    <w:rsid w:val="00E0639C"/>
    <w:rsid w:val="00E128D8"/>
    <w:rsid w:val="00E130C3"/>
    <w:rsid w:val="00E13C39"/>
    <w:rsid w:val="00E14C08"/>
    <w:rsid w:val="00E15DA5"/>
    <w:rsid w:val="00E16CD7"/>
    <w:rsid w:val="00E17EDF"/>
    <w:rsid w:val="00E2082D"/>
    <w:rsid w:val="00E20E91"/>
    <w:rsid w:val="00E21513"/>
    <w:rsid w:val="00E21A3D"/>
    <w:rsid w:val="00E221E2"/>
    <w:rsid w:val="00E2330D"/>
    <w:rsid w:val="00E24303"/>
    <w:rsid w:val="00E2628D"/>
    <w:rsid w:val="00E27A16"/>
    <w:rsid w:val="00E27A5D"/>
    <w:rsid w:val="00E30638"/>
    <w:rsid w:val="00E31CA8"/>
    <w:rsid w:val="00E320C4"/>
    <w:rsid w:val="00E32588"/>
    <w:rsid w:val="00E333E7"/>
    <w:rsid w:val="00E338C2"/>
    <w:rsid w:val="00E33D34"/>
    <w:rsid w:val="00E33F7D"/>
    <w:rsid w:val="00E35E01"/>
    <w:rsid w:val="00E3737C"/>
    <w:rsid w:val="00E40F7B"/>
    <w:rsid w:val="00E43823"/>
    <w:rsid w:val="00E43E48"/>
    <w:rsid w:val="00E45461"/>
    <w:rsid w:val="00E456C3"/>
    <w:rsid w:val="00E46D60"/>
    <w:rsid w:val="00E47C33"/>
    <w:rsid w:val="00E47D20"/>
    <w:rsid w:val="00E47F58"/>
    <w:rsid w:val="00E51964"/>
    <w:rsid w:val="00E54BFC"/>
    <w:rsid w:val="00E55248"/>
    <w:rsid w:val="00E56D9D"/>
    <w:rsid w:val="00E60E2E"/>
    <w:rsid w:val="00E617EF"/>
    <w:rsid w:val="00E62F2F"/>
    <w:rsid w:val="00E634B0"/>
    <w:rsid w:val="00E643FC"/>
    <w:rsid w:val="00E65DBF"/>
    <w:rsid w:val="00E702A3"/>
    <w:rsid w:val="00E702C3"/>
    <w:rsid w:val="00E70E91"/>
    <w:rsid w:val="00E71090"/>
    <w:rsid w:val="00E71A2D"/>
    <w:rsid w:val="00E72446"/>
    <w:rsid w:val="00E72A02"/>
    <w:rsid w:val="00E72B8A"/>
    <w:rsid w:val="00E72FB3"/>
    <w:rsid w:val="00E72FF3"/>
    <w:rsid w:val="00E730BF"/>
    <w:rsid w:val="00E74558"/>
    <w:rsid w:val="00E74A73"/>
    <w:rsid w:val="00E754BE"/>
    <w:rsid w:val="00E75E64"/>
    <w:rsid w:val="00E76845"/>
    <w:rsid w:val="00E816FD"/>
    <w:rsid w:val="00E82199"/>
    <w:rsid w:val="00E823C1"/>
    <w:rsid w:val="00E82DB7"/>
    <w:rsid w:val="00E83C85"/>
    <w:rsid w:val="00E840FB"/>
    <w:rsid w:val="00E8579C"/>
    <w:rsid w:val="00E865FE"/>
    <w:rsid w:val="00E8673D"/>
    <w:rsid w:val="00E875BF"/>
    <w:rsid w:val="00E87DDB"/>
    <w:rsid w:val="00E908AC"/>
    <w:rsid w:val="00E91408"/>
    <w:rsid w:val="00E91759"/>
    <w:rsid w:val="00E94AEE"/>
    <w:rsid w:val="00E95E4E"/>
    <w:rsid w:val="00E9617B"/>
    <w:rsid w:val="00E9654B"/>
    <w:rsid w:val="00EA13E4"/>
    <w:rsid w:val="00EA18DB"/>
    <w:rsid w:val="00EA1C90"/>
    <w:rsid w:val="00EA24CB"/>
    <w:rsid w:val="00EA2FBA"/>
    <w:rsid w:val="00EA31C6"/>
    <w:rsid w:val="00EA3856"/>
    <w:rsid w:val="00EA450A"/>
    <w:rsid w:val="00EA4DC5"/>
    <w:rsid w:val="00EA5664"/>
    <w:rsid w:val="00EA5ACD"/>
    <w:rsid w:val="00EA66DF"/>
    <w:rsid w:val="00EA6ADC"/>
    <w:rsid w:val="00EB0222"/>
    <w:rsid w:val="00EB04A5"/>
    <w:rsid w:val="00EB13A7"/>
    <w:rsid w:val="00EB14DF"/>
    <w:rsid w:val="00EB1971"/>
    <w:rsid w:val="00EB1A4D"/>
    <w:rsid w:val="00EB1FC3"/>
    <w:rsid w:val="00EB2154"/>
    <w:rsid w:val="00EB3A07"/>
    <w:rsid w:val="00EB5539"/>
    <w:rsid w:val="00EB6B12"/>
    <w:rsid w:val="00EB6F29"/>
    <w:rsid w:val="00EB779F"/>
    <w:rsid w:val="00EC3491"/>
    <w:rsid w:val="00EC3F31"/>
    <w:rsid w:val="00EC3FBC"/>
    <w:rsid w:val="00EC4850"/>
    <w:rsid w:val="00EC4EFD"/>
    <w:rsid w:val="00EC52E7"/>
    <w:rsid w:val="00EC67A7"/>
    <w:rsid w:val="00EC7718"/>
    <w:rsid w:val="00EC7E0E"/>
    <w:rsid w:val="00ED0364"/>
    <w:rsid w:val="00ED0DD8"/>
    <w:rsid w:val="00ED13CD"/>
    <w:rsid w:val="00ED22CF"/>
    <w:rsid w:val="00ED3698"/>
    <w:rsid w:val="00ED3F75"/>
    <w:rsid w:val="00ED4441"/>
    <w:rsid w:val="00ED4794"/>
    <w:rsid w:val="00ED4FD2"/>
    <w:rsid w:val="00ED57AA"/>
    <w:rsid w:val="00ED6262"/>
    <w:rsid w:val="00ED71F8"/>
    <w:rsid w:val="00ED7306"/>
    <w:rsid w:val="00ED7B59"/>
    <w:rsid w:val="00EE008F"/>
    <w:rsid w:val="00EE045A"/>
    <w:rsid w:val="00EE265C"/>
    <w:rsid w:val="00EE28DB"/>
    <w:rsid w:val="00EE3CFB"/>
    <w:rsid w:val="00EE5C63"/>
    <w:rsid w:val="00EF24EB"/>
    <w:rsid w:val="00EF2E02"/>
    <w:rsid w:val="00EF3D06"/>
    <w:rsid w:val="00EF416F"/>
    <w:rsid w:val="00EF598D"/>
    <w:rsid w:val="00EF741B"/>
    <w:rsid w:val="00EF7FD5"/>
    <w:rsid w:val="00F00449"/>
    <w:rsid w:val="00F00955"/>
    <w:rsid w:val="00F0095C"/>
    <w:rsid w:val="00F00AC1"/>
    <w:rsid w:val="00F01129"/>
    <w:rsid w:val="00F01292"/>
    <w:rsid w:val="00F01CCA"/>
    <w:rsid w:val="00F01F2C"/>
    <w:rsid w:val="00F02104"/>
    <w:rsid w:val="00F0397D"/>
    <w:rsid w:val="00F03D1F"/>
    <w:rsid w:val="00F048F9"/>
    <w:rsid w:val="00F04EF6"/>
    <w:rsid w:val="00F0502B"/>
    <w:rsid w:val="00F06B1A"/>
    <w:rsid w:val="00F06C17"/>
    <w:rsid w:val="00F079E7"/>
    <w:rsid w:val="00F121B2"/>
    <w:rsid w:val="00F12B02"/>
    <w:rsid w:val="00F1339D"/>
    <w:rsid w:val="00F138B4"/>
    <w:rsid w:val="00F13BDB"/>
    <w:rsid w:val="00F13C82"/>
    <w:rsid w:val="00F15249"/>
    <w:rsid w:val="00F15CC4"/>
    <w:rsid w:val="00F1632B"/>
    <w:rsid w:val="00F16473"/>
    <w:rsid w:val="00F17DD8"/>
    <w:rsid w:val="00F202CA"/>
    <w:rsid w:val="00F20346"/>
    <w:rsid w:val="00F2078F"/>
    <w:rsid w:val="00F223A7"/>
    <w:rsid w:val="00F22548"/>
    <w:rsid w:val="00F227C6"/>
    <w:rsid w:val="00F22919"/>
    <w:rsid w:val="00F2368A"/>
    <w:rsid w:val="00F2382C"/>
    <w:rsid w:val="00F24160"/>
    <w:rsid w:val="00F24B0F"/>
    <w:rsid w:val="00F25696"/>
    <w:rsid w:val="00F26A64"/>
    <w:rsid w:val="00F302A2"/>
    <w:rsid w:val="00F305AE"/>
    <w:rsid w:val="00F3152C"/>
    <w:rsid w:val="00F32BF4"/>
    <w:rsid w:val="00F334CB"/>
    <w:rsid w:val="00F3495A"/>
    <w:rsid w:val="00F34E2C"/>
    <w:rsid w:val="00F370BC"/>
    <w:rsid w:val="00F37143"/>
    <w:rsid w:val="00F43E95"/>
    <w:rsid w:val="00F43FA9"/>
    <w:rsid w:val="00F45ACE"/>
    <w:rsid w:val="00F473EC"/>
    <w:rsid w:val="00F47918"/>
    <w:rsid w:val="00F50562"/>
    <w:rsid w:val="00F50A92"/>
    <w:rsid w:val="00F50B0B"/>
    <w:rsid w:val="00F50D01"/>
    <w:rsid w:val="00F51E6A"/>
    <w:rsid w:val="00F53FD0"/>
    <w:rsid w:val="00F5472B"/>
    <w:rsid w:val="00F562E4"/>
    <w:rsid w:val="00F56BC1"/>
    <w:rsid w:val="00F618C4"/>
    <w:rsid w:val="00F61913"/>
    <w:rsid w:val="00F631BC"/>
    <w:rsid w:val="00F64057"/>
    <w:rsid w:val="00F645DC"/>
    <w:rsid w:val="00F6489B"/>
    <w:rsid w:val="00F64C67"/>
    <w:rsid w:val="00F6549C"/>
    <w:rsid w:val="00F65774"/>
    <w:rsid w:val="00F6582C"/>
    <w:rsid w:val="00F65A34"/>
    <w:rsid w:val="00F65EC0"/>
    <w:rsid w:val="00F65F4C"/>
    <w:rsid w:val="00F660CC"/>
    <w:rsid w:val="00F66AB0"/>
    <w:rsid w:val="00F70F7A"/>
    <w:rsid w:val="00F71A60"/>
    <w:rsid w:val="00F72374"/>
    <w:rsid w:val="00F725DA"/>
    <w:rsid w:val="00F73239"/>
    <w:rsid w:val="00F74186"/>
    <w:rsid w:val="00F7536E"/>
    <w:rsid w:val="00F75652"/>
    <w:rsid w:val="00F757E4"/>
    <w:rsid w:val="00F75842"/>
    <w:rsid w:val="00F76137"/>
    <w:rsid w:val="00F7782D"/>
    <w:rsid w:val="00F8168B"/>
    <w:rsid w:val="00F819B3"/>
    <w:rsid w:val="00F81CF2"/>
    <w:rsid w:val="00F81F93"/>
    <w:rsid w:val="00F83489"/>
    <w:rsid w:val="00F8454C"/>
    <w:rsid w:val="00F857D1"/>
    <w:rsid w:val="00F86FD9"/>
    <w:rsid w:val="00F8781C"/>
    <w:rsid w:val="00F90C83"/>
    <w:rsid w:val="00F90D24"/>
    <w:rsid w:val="00F91A5C"/>
    <w:rsid w:val="00F91DCC"/>
    <w:rsid w:val="00F91F61"/>
    <w:rsid w:val="00F92C79"/>
    <w:rsid w:val="00F9323F"/>
    <w:rsid w:val="00F94364"/>
    <w:rsid w:val="00F943FE"/>
    <w:rsid w:val="00F94F74"/>
    <w:rsid w:val="00F9517C"/>
    <w:rsid w:val="00F95814"/>
    <w:rsid w:val="00F95CE9"/>
    <w:rsid w:val="00F96A1E"/>
    <w:rsid w:val="00F97100"/>
    <w:rsid w:val="00F97823"/>
    <w:rsid w:val="00FA0155"/>
    <w:rsid w:val="00FA01D9"/>
    <w:rsid w:val="00FA207C"/>
    <w:rsid w:val="00FA20C9"/>
    <w:rsid w:val="00FA2304"/>
    <w:rsid w:val="00FA27B8"/>
    <w:rsid w:val="00FA2C3C"/>
    <w:rsid w:val="00FA42F4"/>
    <w:rsid w:val="00FA5104"/>
    <w:rsid w:val="00FA59A7"/>
    <w:rsid w:val="00FA64CB"/>
    <w:rsid w:val="00FA6938"/>
    <w:rsid w:val="00FA7239"/>
    <w:rsid w:val="00FA77E8"/>
    <w:rsid w:val="00FB019C"/>
    <w:rsid w:val="00FB0401"/>
    <w:rsid w:val="00FB0A87"/>
    <w:rsid w:val="00FB0FC3"/>
    <w:rsid w:val="00FB2A47"/>
    <w:rsid w:val="00FB2E54"/>
    <w:rsid w:val="00FB33A2"/>
    <w:rsid w:val="00FB5E6E"/>
    <w:rsid w:val="00FB74B0"/>
    <w:rsid w:val="00FB7BFD"/>
    <w:rsid w:val="00FC1748"/>
    <w:rsid w:val="00FC1C8B"/>
    <w:rsid w:val="00FC1DFB"/>
    <w:rsid w:val="00FC1EF2"/>
    <w:rsid w:val="00FC2C48"/>
    <w:rsid w:val="00FC3343"/>
    <w:rsid w:val="00FC33BA"/>
    <w:rsid w:val="00FC35AB"/>
    <w:rsid w:val="00FC3BFF"/>
    <w:rsid w:val="00FC6134"/>
    <w:rsid w:val="00FC654D"/>
    <w:rsid w:val="00FC754F"/>
    <w:rsid w:val="00FC77CF"/>
    <w:rsid w:val="00FD0555"/>
    <w:rsid w:val="00FD0684"/>
    <w:rsid w:val="00FD06F5"/>
    <w:rsid w:val="00FD0F35"/>
    <w:rsid w:val="00FD4A9F"/>
    <w:rsid w:val="00FD5961"/>
    <w:rsid w:val="00FD5DB0"/>
    <w:rsid w:val="00FD624F"/>
    <w:rsid w:val="00FD6FCE"/>
    <w:rsid w:val="00FE0024"/>
    <w:rsid w:val="00FE173E"/>
    <w:rsid w:val="00FE3EFA"/>
    <w:rsid w:val="00FE5C4F"/>
    <w:rsid w:val="00FE5C56"/>
    <w:rsid w:val="00FE5E20"/>
    <w:rsid w:val="00FE6CD2"/>
    <w:rsid w:val="00FE7AAC"/>
    <w:rsid w:val="00FE7B06"/>
    <w:rsid w:val="00FE7E98"/>
    <w:rsid w:val="00FF0138"/>
    <w:rsid w:val="00FF06BC"/>
    <w:rsid w:val="00FF1508"/>
    <w:rsid w:val="00FF20AC"/>
    <w:rsid w:val="00FF2E08"/>
    <w:rsid w:val="00FF2E0E"/>
    <w:rsid w:val="00FF3801"/>
    <w:rsid w:val="00FF3A27"/>
    <w:rsid w:val="00FF3B27"/>
    <w:rsid w:val="00FF4E8D"/>
    <w:rsid w:val="00FF5CFA"/>
    <w:rsid w:val="00FF6BE2"/>
    <w:rsid w:val="00FF726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422ABE6C"/>
  <w15:docId w15:val="{E7E96332-6F1E-47F0-915B-E88A9DB83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2" w:qFormat="1"/>
    <w:lsdException w:name="heading 2" w:uiPriority="3" w:qFormat="1"/>
    <w:lsdException w:name="heading 3" w:uiPriority="3" w:qFormat="1"/>
    <w:lsdException w:name="heading 4" w:uiPriority="3"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nhideWhenUsed="1"/>
    <w:lsdException w:name="List Bullet" w:semiHidden="1" w:uiPriority="5" w:unhideWhenUsed="1" w:qFormat="1"/>
    <w:lsdException w:name="List Number" w:uiPriority="5" w:qFormat="1"/>
    <w:lsdException w:name="List 2" w:semiHidden="1" w:unhideWhenUsed="1"/>
    <w:lsdException w:name="List 3" w:semiHidden="1" w:unhideWhenUsed="1"/>
    <w:lsdException w:name="List 4" w:semiHidden="1"/>
    <w:lsdException w:name="List 5" w:semiHidden="1"/>
    <w:lsdException w:name="List Bullet 2" w:semiHidden="1" w:uiPriority="5" w:unhideWhenUsed="1"/>
    <w:lsdException w:name="List Bullet 3" w:semiHidden="1" w:uiPriority="5" w:unhideWhenUsed="1"/>
    <w:lsdException w:name="List Bullet 4" w:semiHidden="1" w:uiPriority="5" w:unhideWhenUsed="1"/>
    <w:lsdException w:name="List Bullet 5" w:semiHidden="1" w:uiPriority="5" w:unhideWhenUsed="1"/>
    <w:lsdException w:name="List Number 2" w:semiHidden="1" w:uiPriority="5" w:unhideWhenUsed="1"/>
    <w:lsdException w:name="List Number 3" w:semiHidden="1" w:uiPriority="5" w:unhideWhenUsed="1"/>
    <w:lsdException w:name="List Number 4" w:semiHidden="1" w:uiPriority="5" w:unhideWhenUsed="1"/>
    <w:lsdException w:name="List Number 5" w:semiHidden="1" w:uiPriority="5"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1"/>
    <w:lsdException w:name="Salutation" w:semiHidden="1" w:uiPriority="0"/>
    <w:lsdException w:name="Date" w:uiPriority="42"/>
    <w:lsdException w:name="Body Text First Indent" w:semiHidden="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070D"/>
    <w:pPr>
      <w:keepLines/>
      <w:spacing w:before="100" w:after="100" w:line="260" w:lineRule="atLeast"/>
    </w:pPr>
    <w:rPr>
      <w:rFonts w:asciiTheme="minorHAnsi" w:hAnsiTheme="minorHAnsi"/>
      <w:color w:val="3F3F3F" w:themeColor="text1"/>
    </w:rPr>
  </w:style>
  <w:style w:type="paragraph" w:styleId="Heading1">
    <w:name w:val="heading 1"/>
    <w:aliases w:val="- TOC"/>
    <w:basedOn w:val="Normal"/>
    <w:next w:val="Normal"/>
    <w:link w:val="Heading1Char"/>
    <w:uiPriority w:val="2"/>
    <w:qFormat/>
    <w:rsid w:val="00896F2B"/>
    <w:pPr>
      <w:keepNext/>
      <w:spacing w:after="720" w:line="228" w:lineRule="auto"/>
      <w:contextualSpacing/>
      <w:outlineLvl w:val="0"/>
    </w:pPr>
    <w:rPr>
      <w:rFonts w:asciiTheme="majorHAnsi" w:eastAsia="Helvetica" w:hAnsiTheme="majorHAnsi"/>
      <w:b/>
      <w:color w:val="117479"/>
      <w:sz w:val="72"/>
      <w:szCs w:val="44"/>
    </w:rPr>
  </w:style>
  <w:style w:type="paragraph" w:styleId="Heading2">
    <w:name w:val="heading 2"/>
    <w:basedOn w:val="LargeH1"/>
    <w:next w:val="Normal"/>
    <w:link w:val="Heading2Char"/>
    <w:uiPriority w:val="3"/>
    <w:qFormat/>
    <w:rsid w:val="000C7425"/>
    <w:pPr>
      <w:outlineLvl w:val="1"/>
    </w:pPr>
  </w:style>
  <w:style w:type="paragraph" w:styleId="Heading3">
    <w:name w:val="heading 3"/>
    <w:basedOn w:val="Heading1"/>
    <w:next w:val="Normal"/>
    <w:link w:val="Heading3Char"/>
    <w:uiPriority w:val="3"/>
    <w:qFormat/>
    <w:rsid w:val="000C7425"/>
    <w:pPr>
      <w:framePr w:hSpace="180" w:wrap="around" w:vAnchor="page" w:hAnchor="page" w:x="1423" w:y="1625"/>
      <w:outlineLvl w:val="2"/>
    </w:pPr>
  </w:style>
  <w:style w:type="paragraph" w:styleId="Heading4">
    <w:name w:val="heading 4"/>
    <w:aliases w:val="Pullout text"/>
    <w:basedOn w:val="Normal"/>
    <w:next w:val="Normal"/>
    <w:link w:val="Heading4Char"/>
    <w:uiPriority w:val="3"/>
    <w:qFormat/>
    <w:rsid w:val="001C7413"/>
    <w:pPr>
      <w:keepNext/>
      <w:pBdr>
        <w:top w:val="single" w:sz="8" w:space="4" w:color="000000" w:themeColor="text2"/>
        <w:bottom w:val="single" w:sz="8" w:space="4" w:color="000000" w:themeColor="text2"/>
      </w:pBdr>
      <w:shd w:val="clear" w:color="auto" w:fill="F2F2F2" w:themeFill="background1" w:themeFillShade="F2"/>
      <w:spacing w:before="240" w:after="180" w:line="288" w:lineRule="auto"/>
      <w:contextualSpacing/>
      <w:outlineLvl w:val="3"/>
    </w:pPr>
    <w:rPr>
      <w:b/>
      <w:i/>
      <w:color w:val="000000" w:themeColor="text2"/>
      <w:lang w:val="en-US"/>
    </w:rPr>
  </w:style>
  <w:style w:type="paragraph" w:styleId="Heading5">
    <w:name w:val="heading 5"/>
    <w:basedOn w:val="Normal"/>
    <w:next w:val="Normal"/>
    <w:link w:val="Heading5Char"/>
    <w:uiPriority w:val="99"/>
    <w:semiHidden/>
    <w:rsid w:val="002672F1"/>
    <w:pPr>
      <w:keepNext/>
      <w:spacing w:before="240"/>
      <w:contextualSpacing/>
      <w:outlineLvl w:val="4"/>
    </w:pPr>
    <w:rPr>
      <w:b/>
      <w:szCs w:val="22"/>
    </w:rPr>
  </w:style>
  <w:style w:type="paragraph" w:styleId="Heading6">
    <w:name w:val="heading 6"/>
    <w:basedOn w:val="Normal"/>
    <w:next w:val="Normal"/>
    <w:link w:val="Heading6Char"/>
    <w:uiPriority w:val="99"/>
    <w:semiHidden/>
    <w:rsid w:val="002672F1"/>
    <w:pPr>
      <w:keepNext/>
      <w:spacing w:before="240"/>
      <w:contextualSpacing/>
      <w:outlineLvl w:val="5"/>
    </w:pPr>
    <w:rPr>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95834"/>
    <w:pPr>
      <w:pBdr>
        <w:bottom w:val="single" w:sz="8" w:space="6" w:color="20B9A3" w:themeColor="background2"/>
      </w:pBdr>
      <w:tabs>
        <w:tab w:val="right" w:pos="10319"/>
      </w:tabs>
      <w:spacing w:before="0" w:after="0" w:line="240" w:lineRule="auto"/>
    </w:pPr>
    <w:rPr>
      <w:sz w:val="16"/>
    </w:rPr>
  </w:style>
  <w:style w:type="paragraph" w:styleId="Title">
    <w:name w:val="Title"/>
    <w:aliases w:val="Small Title"/>
    <w:basedOn w:val="Normal"/>
    <w:link w:val="TitleChar"/>
    <w:uiPriority w:val="10"/>
    <w:qFormat/>
    <w:rsid w:val="009C705A"/>
    <w:pPr>
      <w:spacing w:before="0" w:after="360" w:line="240" w:lineRule="auto"/>
      <w:contextualSpacing/>
      <w:outlineLvl w:val="0"/>
    </w:pPr>
    <w:rPr>
      <w:rFonts w:asciiTheme="majorHAnsi" w:hAnsiTheme="majorHAnsi" w:cs="Arial"/>
      <w:b/>
      <w:bCs/>
      <w:color w:val="auto"/>
      <w:kern w:val="28"/>
      <w:sz w:val="70"/>
      <w:szCs w:val="32"/>
    </w:rPr>
  </w:style>
  <w:style w:type="paragraph" w:styleId="ListBullet">
    <w:name w:val="List Bullet"/>
    <w:basedOn w:val="Normal"/>
    <w:uiPriority w:val="5"/>
    <w:qFormat/>
    <w:rsid w:val="00BA3176"/>
    <w:pPr>
      <w:numPr>
        <w:numId w:val="1"/>
      </w:numPr>
    </w:pPr>
  </w:style>
  <w:style w:type="paragraph" w:styleId="Footer">
    <w:name w:val="footer"/>
    <w:basedOn w:val="Header"/>
    <w:link w:val="FooterChar"/>
    <w:uiPriority w:val="99"/>
    <w:rsid w:val="00395834"/>
    <w:pPr>
      <w:pBdr>
        <w:top w:val="single" w:sz="8" w:space="4" w:color="2158A8" w:themeColor="accent1"/>
        <w:bottom w:val="none" w:sz="0" w:space="0" w:color="auto"/>
      </w:pBdr>
      <w:tabs>
        <w:tab w:val="clear" w:pos="10319"/>
        <w:tab w:val="right" w:pos="9940"/>
      </w:tabs>
      <w:ind w:right="-18"/>
    </w:pPr>
  </w:style>
  <w:style w:type="character" w:styleId="Hyperlink">
    <w:name w:val="Hyperlink"/>
    <w:uiPriority w:val="99"/>
    <w:rsid w:val="00512014"/>
    <w:rPr>
      <w:color w:val="2158A8" w:themeColor="accent1"/>
    </w:rPr>
  </w:style>
  <w:style w:type="character" w:customStyle="1" w:styleId="Heading5Char">
    <w:name w:val="Heading 5 Char"/>
    <w:basedOn w:val="DefaultParagraphFont"/>
    <w:link w:val="Heading5"/>
    <w:uiPriority w:val="99"/>
    <w:semiHidden/>
    <w:rsid w:val="00160B66"/>
    <w:rPr>
      <w:rFonts w:ascii="Arial" w:hAnsi="Arial"/>
      <w:b/>
      <w:color w:val="3F3F3F" w:themeColor="text1"/>
      <w:sz w:val="22"/>
      <w:szCs w:val="22"/>
    </w:rPr>
  </w:style>
  <w:style w:type="table" w:styleId="TableGrid">
    <w:name w:val="Table Grid"/>
    <w:basedOn w:val="TableNormal"/>
    <w:uiPriority w:val="39"/>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437FF9"/>
    <w:pPr>
      <w:spacing w:before="0" w:after="0" w:line="240" w:lineRule="auto"/>
      <w:ind w:left="113" w:hanging="113"/>
    </w:pPr>
    <w:rPr>
      <w:sz w:val="16"/>
      <w:szCs w:val="16"/>
      <w:lang w:val="en-US"/>
    </w:rPr>
  </w:style>
  <w:style w:type="character" w:customStyle="1" w:styleId="FootnoteTextChar">
    <w:name w:val="Footnote Text Char"/>
    <w:basedOn w:val="DefaultParagraphFont"/>
    <w:link w:val="FootnoteText"/>
    <w:rsid w:val="00437FF9"/>
    <w:rPr>
      <w:rFonts w:asciiTheme="minorHAnsi" w:hAnsiTheme="minorHAnsi"/>
      <w:color w:val="3F3F3F" w:themeColor="text1"/>
      <w:sz w:val="16"/>
      <w:szCs w:val="16"/>
      <w:lang w:val="en-US"/>
    </w:rPr>
  </w:style>
  <w:style w:type="character" w:styleId="FootnoteReference">
    <w:name w:val="footnote reference"/>
    <w:basedOn w:val="DefaultParagraphFont"/>
    <w:rsid w:val="00694C92"/>
    <w:rPr>
      <w:rFonts w:asciiTheme="minorHAnsi" w:hAnsiTheme="minorHAnsi"/>
      <w:sz w:val="18"/>
      <w:vertAlign w:val="superscript"/>
    </w:rPr>
  </w:style>
  <w:style w:type="paragraph" w:styleId="ListParagraph">
    <w:name w:val="List Paragraph"/>
    <w:aliases w:val="List Paragraph1,List Paragraph11,Recommendation,Bullet point,L,Bullet points,Content descriptions,Bullet Point,NFP GP Bulleted List,Body Bullets 1,CV text,Dot pt,F5 List Paragraph,List Paragraph111,Main,Medium Grid 1 - Accent 21"/>
    <w:basedOn w:val="Normal"/>
    <w:link w:val="ListParagraphChar"/>
    <w:uiPriority w:val="34"/>
    <w:qFormat/>
    <w:rsid w:val="00010D84"/>
    <w:pPr>
      <w:ind w:left="720"/>
    </w:pPr>
  </w:style>
  <w:style w:type="character" w:customStyle="1" w:styleId="Heading2Char">
    <w:name w:val="Heading 2 Char"/>
    <w:basedOn w:val="DefaultParagraphFont"/>
    <w:link w:val="Heading2"/>
    <w:uiPriority w:val="3"/>
    <w:rsid w:val="000C7425"/>
    <w:rPr>
      <w:rFonts w:asciiTheme="majorHAnsi" w:eastAsia="Helvetica" w:hAnsiTheme="majorHAnsi"/>
      <w:b/>
      <w:color w:val="FFFFFF" w:themeColor="background1"/>
      <w:spacing w:val="-20"/>
      <w:sz w:val="100"/>
      <w:szCs w:val="186"/>
    </w:rPr>
  </w:style>
  <w:style w:type="paragraph" w:styleId="TOC1">
    <w:name w:val="toc 1"/>
    <w:basedOn w:val="Normal"/>
    <w:next w:val="Normal"/>
    <w:autoRedefine/>
    <w:uiPriority w:val="39"/>
    <w:rsid w:val="00395834"/>
    <w:pPr>
      <w:pBdr>
        <w:top w:val="single" w:sz="8" w:space="4" w:color="auto"/>
      </w:pBdr>
      <w:tabs>
        <w:tab w:val="center" w:pos="9637"/>
      </w:tabs>
      <w:spacing w:before="240" w:after="0"/>
      <w:ind w:right="-17"/>
    </w:pPr>
    <w:rPr>
      <w:rFonts w:eastAsia="Helvetica"/>
      <w:b/>
      <w:noProof/>
      <w:color w:val="20B9A3" w:themeColor="background2"/>
      <w:sz w:val="24"/>
    </w:rPr>
  </w:style>
  <w:style w:type="paragraph" w:styleId="TOC2">
    <w:name w:val="toc 2"/>
    <w:basedOn w:val="Normal"/>
    <w:next w:val="Normal"/>
    <w:autoRedefine/>
    <w:uiPriority w:val="39"/>
    <w:rsid w:val="00D04F2F"/>
    <w:pPr>
      <w:tabs>
        <w:tab w:val="right" w:leader="dot" w:pos="10206"/>
      </w:tabs>
      <w:spacing w:before="60" w:after="60" w:line="240" w:lineRule="auto"/>
      <w:ind w:right="-19"/>
    </w:pPr>
    <w:rPr>
      <w:noProof/>
    </w:rPr>
  </w:style>
  <w:style w:type="paragraph" w:customStyle="1" w:styleId="TableText">
    <w:name w:val="Table Text"/>
    <w:basedOn w:val="Normal"/>
    <w:uiPriority w:val="49"/>
    <w:qFormat/>
    <w:rsid w:val="00DB5773"/>
    <w:pPr>
      <w:spacing w:after="80" w:line="240" w:lineRule="auto"/>
    </w:pPr>
  </w:style>
  <w:style w:type="character" w:styleId="Emphasis">
    <w:name w:val="Emphasis"/>
    <w:basedOn w:val="DefaultParagraphFont"/>
    <w:uiPriority w:val="20"/>
    <w:qFormat/>
    <w:rsid w:val="00D92300"/>
    <w:rPr>
      <w:i/>
      <w:iCs/>
    </w:rPr>
  </w:style>
  <w:style w:type="character" w:customStyle="1" w:styleId="Heading6Char">
    <w:name w:val="Heading 6 Char"/>
    <w:basedOn w:val="DefaultParagraphFont"/>
    <w:link w:val="Heading6"/>
    <w:uiPriority w:val="99"/>
    <w:semiHidden/>
    <w:rsid w:val="00160B66"/>
    <w:rPr>
      <w:rFonts w:ascii="Arial" w:hAnsi="Arial"/>
      <w:b/>
      <w:color w:val="3F3F3F" w:themeColor="text1"/>
      <w:szCs w:val="22"/>
    </w:rPr>
  </w:style>
  <w:style w:type="table" w:customStyle="1" w:styleId="DefaultTable">
    <w:name w:val="Default Table"/>
    <w:basedOn w:val="TableNormal"/>
    <w:uiPriority w:val="99"/>
    <w:rsid w:val="001B743F"/>
    <w:tblPr>
      <w:tblStyleRowBandSize w:val="1"/>
      <w:tblBorders>
        <w:bottom w:val="single" w:sz="4" w:space="0" w:color="808080" w:themeColor="background1" w:themeShade="80"/>
        <w:insideH w:val="single" w:sz="4" w:space="0" w:color="808080" w:themeColor="background1" w:themeShade="80"/>
      </w:tblBorders>
      <w:tblCellMar>
        <w:left w:w="113" w:type="dxa"/>
        <w:bottom w:w="85" w:type="dxa"/>
        <w:right w:w="113" w:type="dxa"/>
      </w:tblCellMar>
    </w:tblPr>
    <w:trPr>
      <w:cantSplit/>
    </w:trPr>
    <w:tcPr>
      <w:shd w:val="clear" w:color="auto" w:fill="F2F2F2" w:themeFill="background1" w:themeFillShade="F2"/>
    </w:tcPr>
    <w:tblStylePr w:type="firstRow">
      <w:pPr>
        <w:jc w:val="left"/>
      </w:pPr>
      <w:rPr>
        <w:b/>
        <w:caps w:val="0"/>
        <w:smallCaps w:val="0"/>
        <w:color w:val="FFFFFF" w:themeColor="background1"/>
        <w:sz w:val="14"/>
      </w:rPr>
      <w:tblPr/>
      <w:tcPr>
        <w:shd w:val="clear" w:color="auto" w:fill="2158A8" w:themeFill="accent1"/>
      </w:tcPr>
    </w:tblStylePr>
    <w:tblStylePr w:type="firstCol">
      <w:rPr>
        <w:b w:val="0"/>
      </w:rPr>
      <w:tblPr/>
      <w:tcPr>
        <w:tcBorders>
          <w:top w:val="nil"/>
          <w:left w:val="nil"/>
          <w:bottom w:val="single" w:sz="4" w:space="0" w:color="808080" w:themeColor="background1" w:themeShade="80"/>
          <w:right w:val="nil"/>
          <w:insideH w:val="single" w:sz="4" w:space="0" w:color="808080" w:themeColor="background1" w:themeShade="80"/>
          <w:insideV w:val="nil"/>
          <w:tl2br w:val="nil"/>
          <w:tr2bl w:val="nil"/>
        </w:tcBorders>
        <w:shd w:val="clear" w:color="auto" w:fill="F2F2F2" w:themeFill="background1" w:themeFillShade="F2"/>
      </w:tcPr>
    </w:tblStylePr>
  </w:style>
  <w:style w:type="paragraph" w:styleId="TOCHeading">
    <w:name w:val="TOC Heading"/>
    <w:basedOn w:val="Heading1"/>
    <w:next w:val="Normal"/>
    <w:uiPriority w:val="39"/>
    <w:qFormat/>
    <w:rsid w:val="00A10EDE"/>
    <w:pPr>
      <w:outlineLvl w:val="9"/>
    </w:pPr>
    <w:rPr>
      <w:rFonts w:eastAsiaTheme="majorEastAsia" w:cstheme="majorBidi"/>
      <w:bCs/>
      <w:color w:val="FFFFFF" w:themeColor="background1"/>
      <w:szCs w:val="28"/>
    </w:rPr>
  </w:style>
  <w:style w:type="paragraph" w:customStyle="1" w:styleId="SourceNotesText">
    <w:name w:val="Source/Notes Text"/>
    <w:basedOn w:val="Normal"/>
    <w:uiPriority w:val="50"/>
    <w:qFormat/>
    <w:rsid w:val="00BC57FE"/>
    <w:pPr>
      <w:spacing w:line="240" w:lineRule="auto"/>
    </w:pPr>
    <w:rPr>
      <w:sz w:val="18"/>
      <w:szCs w:val="16"/>
    </w:rPr>
  </w:style>
  <w:style w:type="character" w:styleId="Strong">
    <w:name w:val="Strong"/>
    <w:basedOn w:val="DefaultParagraphFont"/>
    <w:uiPriority w:val="22"/>
    <w:qFormat/>
    <w:rsid w:val="00D45B67"/>
    <w:rPr>
      <w:b/>
      <w:bCs/>
    </w:rPr>
  </w:style>
  <w:style w:type="paragraph" w:customStyle="1" w:styleId="Intro">
    <w:name w:val="Intro"/>
    <w:basedOn w:val="Normal"/>
    <w:next w:val="Normal"/>
    <w:uiPriority w:val="4"/>
    <w:qFormat/>
    <w:rsid w:val="00991ACA"/>
    <w:pPr>
      <w:spacing w:after="240" w:line="360" w:lineRule="atLeast"/>
      <w:contextualSpacing/>
    </w:pPr>
    <w:rPr>
      <w:b/>
      <w:color w:val="auto"/>
      <w:sz w:val="28"/>
      <w:szCs w:val="30"/>
    </w:rPr>
  </w:style>
  <w:style w:type="paragraph" w:styleId="BalloonText">
    <w:name w:val="Balloon Text"/>
    <w:basedOn w:val="Normal"/>
    <w:link w:val="BalloonTextChar"/>
    <w:uiPriority w:val="99"/>
    <w:semiHidden/>
    <w:rsid w:val="001B5259"/>
    <w:rPr>
      <w:rFonts w:ascii="Tahoma" w:hAnsi="Tahoma" w:cs="Tahoma"/>
      <w:sz w:val="16"/>
      <w:szCs w:val="16"/>
    </w:rPr>
  </w:style>
  <w:style w:type="character" w:customStyle="1" w:styleId="BalloonTextChar">
    <w:name w:val="Balloon Text Char"/>
    <w:basedOn w:val="DefaultParagraphFont"/>
    <w:link w:val="BalloonText"/>
    <w:uiPriority w:val="99"/>
    <w:semiHidden/>
    <w:rsid w:val="00160B66"/>
    <w:rPr>
      <w:rFonts w:ascii="Tahoma" w:hAnsi="Tahoma" w:cs="Tahoma"/>
      <w:color w:val="3F3F3F" w:themeColor="text1"/>
      <w:sz w:val="16"/>
      <w:szCs w:val="16"/>
    </w:rPr>
  </w:style>
  <w:style w:type="paragraph" w:styleId="NoSpacing">
    <w:name w:val="No Spacing"/>
    <w:uiPriority w:val="1"/>
    <w:rsid w:val="00406578"/>
    <w:rPr>
      <w:rFonts w:ascii="Arial" w:hAnsi="Arial"/>
      <w:sz w:val="22"/>
      <w:szCs w:val="24"/>
    </w:rPr>
  </w:style>
  <w:style w:type="paragraph" w:styleId="EndnoteText">
    <w:name w:val="endnote text"/>
    <w:basedOn w:val="Normal"/>
    <w:link w:val="EndnoteTextChar"/>
    <w:uiPriority w:val="99"/>
    <w:semiHidden/>
    <w:rsid w:val="00EE265C"/>
  </w:style>
  <w:style w:type="character" w:customStyle="1" w:styleId="EndnoteTextChar">
    <w:name w:val="Endnote Text Char"/>
    <w:basedOn w:val="DefaultParagraphFont"/>
    <w:link w:val="EndnoteText"/>
    <w:uiPriority w:val="99"/>
    <w:semiHidden/>
    <w:rsid w:val="00160B66"/>
    <w:rPr>
      <w:rFonts w:ascii="Arial" w:hAnsi="Arial"/>
      <w:color w:val="3F3F3F" w:themeColor="text1"/>
    </w:rPr>
  </w:style>
  <w:style w:type="character" w:styleId="EndnoteReference">
    <w:name w:val="endnote reference"/>
    <w:basedOn w:val="DefaultParagraphFont"/>
    <w:uiPriority w:val="99"/>
    <w:semiHidden/>
    <w:rsid w:val="00EE265C"/>
    <w:rPr>
      <w:vertAlign w:val="superscript"/>
    </w:rPr>
  </w:style>
  <w:style w:type="character" w:styleId="FollowedHyperlink">
    <w:name w:val="FollowedHyperlink"/>
    <w:basedOn w:val="DefaultParagraphFont"/>
    <w:uiPriority w:val="99"/>
    <w:semiHidden/>
    <w:rsid w:val="000E39EF"/>
    <w:rPr>
      <w:color w:val="117479" w:themeColor="followedHyperlink"/>
      <w:u w:val="single"/>
    </w:rPr>
  </w:style>
  <w:style w:type="paragraph" w:styleId="Subtitle">
    <w:name w:val="Subtitle"/>
    <w:basedOn w:val="Normal"/>
    <w:link w:val="SubtitleChar"/>
    <w:uiPriority w:val="41"/>
    <w:rsid w:val="00F76137"/>
    <w:pPr>
      <w:numPr>
        <w:ilvl w:val="1"/>
      </w:numPr>
      <w:spacing w:before="0" w:after="0" w:line="240" w:lineRule="auto"/>
    </w:pPr>
    <w:rPr>
      <w:rFonts w:asciiTheme="majorHAnsi" w:eastAsiaTheme="majorEastAsia" w:hAnsiTheme="majorHAnsi" w:cstheme="majorBidi"/>
      <w:iCs/>
      <w:sz w:val="32"/>
    </w:rPr>
  </w:style>
  <w:style w:type="character" w:customStyle="1" w:styleId="SubtitleChar">
    <w:name w:val="Subtitle Char"/>
    <w:basedOn w:val="DefaultParagraphFont"/>
    <w:link w:val="Subtitle"/>
    <w:uiPriority w:val="41"/>
    <w:rsid w:val="00F76137"/>
    <w:rPr>
      <w:rFonts w:asciiTheme="majorHAnsi" w:eastAsiaTheme="majorEastAsia" w:hAnsiTheme="majorHAnsi" w:cstheme="majorBidi"/>
      <w:iCs/>
      <w:color w:val="3F3F3F" w:themeColor="text1"/>
      <w:sz w:val="32"/>
      <w:szCs w:val="24"/>
    </w:rPr>
  </w:style>
  <w:style w:type="paragraph" w:customStyle="1" w:styleId="TableHeading">
    <w:name w:val="Table Heading"/>
    <w:basedOn w:val="Normal"/>
    <w:uiPriority w:val="49"/>
    <w:qFormat/>
    <w:rsid w:val="00E43E48"/>
    <w:pPr>
      <w:spacing w:after="80" w:line="240" w:lineRule="auto"/>
    </w:pPr>
    <w:rPr>
      <w:color w:val="FFFFFF" w:themeColor="background1"/>
    </w:rPr>
  </w:style>
  <w:style w:type="paragraph" w:customStyle="1" w:styleId="FigureHeading">
    <w:name w:val="Figure Heading"/>
    <w:basedOn w:val="Normal"/>
    <w:next w:val="Normal"/>
    <w:uiPriority w:val="48"/>
    <w:qFormat/>
    <w:rsid w:val="004061B4"/>
    <w:pPr>
      <w:keepNext/>
      <w:numPr>
        <w:numId w:val="3"/>
      </w:numPr>
      <w:tabs>
        <w:tab w:val="left" w:pos="907"/>
      </w:tabs>
      <w:spacing w:before="240"/>
      <w:contextualSpacing/>
    </w:pPr>
    <w:rPr>
      <w:b/>
      <w:color w:val="auto"/>
      <w:sz w:val="24"/>
    </w:rPr>
  </w:style>
  <w:style w:type="character" w:customStyle="1" w:styleId="UnresolvedMention1">
    <w:name w:val="Unresolved Mention1"/>
    <w:basedOn w:val="DefaultParagraphFont"/>
    <w:uiPriority w:val="99"/>
    <w:semiHidden/>
    <w:unhideWhenUsed/>
    <w:rsid w:val="00B23F96"/>
    <w:rPr>
      <w:color w:val="808080"/>
      <w:shd w:val="clear" w:color="auto" w:fill="E6E6E6"/>
    </w:rPr>
  </w:style>
  <w:style w:type="paragraph" w:customStyle="1" w:styleId="DisclaimerH1">
    <w:name w:val="Disclaimer H1"/>
    <w:next w:val="Normal"/>
    <w:uiPriority w:val="99"/>
    <w:rsid w:val="001936A7"/>
    <w:pPr>
      <w:pBdr>
        <w:bottom w:val="single" w:sz="24" w:space="31" w:color="20B9A3" w:themeColor="background2"/>
      </w:pBdr>
      <w:spacing w:after="360"/>
      <w:contextualSpacing/>
    </w:pPr>
    <w:rPr>
      <w:rFonts w:asciiTheme="majorHAnsi" w:hAnsiTheme="majorHAnsi"/>
      <w:b/>
      <w:color w:val="F2F2F2" w:themeColor="background1" w:themeShade="F2"/>
      <w:sz w:val="186"/>
      <w:szCs w:val="186"/>
    </w:rPr>
  </w:style>
  <w:style w:type="paragraph" w:customStyle="1" w:styleId="DisclaimerH2">
    <w:name w:val="Disclaimer H2"/>
    <w:basedOn w:val="Normal"/>
    <w:next w:val="Normal"/>
    <w:uiPriority w:val="99"/>
    <w:rsid w:val="00C26A06"/>
    <w:pPr>
      <w:spacing w:before="240"/>
      <w:contextualSpacing/>
    </w:pPr>
    <w:rPr>
      <w:b/>
      <w:color w:val="117479" w:themeColor="accent2"/>
      <w:sz w:val="24"/>
    </w:rPr>
  </w:style>
  <w:style w:type="paragraph" w:customStyle="1" w:styleId="BackPageH1">
    <w:name w:val="Back Page H1"/>
    <w:basedOn w:val="Normal"/>
    <w:next w:val="Normal"/>
    <w:uiPriority w:val="99"/>
    <w:rsid w:val="00F202CA"/>
    <w:pPr>
      <w:spacing w:before="720" w:after="6000" w:line="240" w:lineRule="auto"/>
      <w:contextualSpacing/>
    </w:pPr>
    <w:rPr>
      <w:sz w:val="48"/>
      <w:szCs w:val="48"/>
    </w:rPr>
  </w:style>
  <w:style w:type="paragraph" w:customStyle="1" w:styleId="BackPageH2">
    <w:name w:val="Back Page H2"/>
    <w:basedOn w:val="Normal"/>
    <w:uiPriority w:val="99"/>
    <w:rsid w:val="004A4D74"/>
    <w:rPr>
      <w:b/>
    </w:rPr>
  </w:style>
  <w:style w:type="character" w:styleId="PageNumber">
    <w:name w:val="page number"/>
    <w:basedOn w:val="DefaultParagraphFont"/>
    <w:semiHidden/>
    <w:unhideWhenUsed/>
    <w:rsid w:val="0007157A"/>
    <w:rPr>
      <w:rFonts w:asciiTheme="minorHAnsi" w:hAnsiTheme="minorHAnsi"/>
      <w:b w:val="0"/>
      <w:color w:val="3F3F3F" w:themeColor="text1"/>
      <w:sz w:val="14"/>
    </w:rPr>
  </w:style>
  <w:style w:type="paragraph" w:customStyle="1" w:styleId="LargeH1">
    <w:name w:val="Large H1"/>
    <w:basedOn w:val="Heading1"/>
    <w:next w:val="Normal"/>
    <w:uiPriority w:val="2"/>
    <w:qFormat/>
    <w:rsid w:val="00BD6852"/>
    <w:pPr>
      <w:spacing w:before="500" w:after="500"/>
      <w:ind w:left="567"/>
    </w:pPr>
    <w:rPr>
      <w:color w:val="FFFFFF" w:themeColor="background1"/>
      <w:spacing w:val="-20"/>
      <w:sz w:val="100"/>
      <w:szCs w:val="186"/>
    </w:rPr>
  </w:style>
  <w:style w:type="paragraph" w:styleId="ListNumber">
    <w:name w:val="List Number"/>
    <w:basedOn w:val="Normal"/>
    <w:uiPriority w:val="5"/>
    <w:qFormat/>
    <w:rsid w:val="00BA3176"/>
    <w:pPr>
      <w:numPr>
        <w:numId w:val="2"/>
      </w:numPr>
      <w:ind w:left="357" w:hanging="357"/>
    </w:pPr>
  </w:style>
  <w:style w:type="paragraph" w:customStyle="1" w:styleId="LargeTitle">
    <w:name w:val="Large Title"/>
    <w:basedOn w:val="Title"/>
    <w:uiPriority w:val="40"/>
    <w:qFormat/>
    <w:rsid w:val="00F76137"/>
    <w:pPr>
      <w:spacing w:after="480"/>
    </w:pPr>
    <w:rPr>
      <w:sz w:val="130"/>
      <w:szCs w:val="130"/>
    </w:rPr>
  </w:style>
  <w:style w:type="character" w:styleId="CommentReference">
    <w:name w:val="annotation reference"/>
    <w:basedOn w:val="DefaultParagraphFont"/>
    <w:uiPriority w:val="99"/>
    <w:semiHidden/>
    <w:unhideWhenUsed/>
    <w:rsid w:val="009C705A"/>
    <w:rPr>
      <w:sz w:val="16"/>
      <w:szCs w:val="16"/>
    </w:rPr>
  </w:style>
  <w:style w:type="paragraph" w:styleId="Date">
    <w:name w:val="Date"/>
    <w:aliases w:val="Date &amp; Web"/>
    <w:basedOn w:val="Normal"/>
    <w:next w:val="Normal"/>
    <w:link w:val="DateChar"/>
    <w:uiPriority w:val="42"/>
    <w:rsid w:val="006E2C89"/>
    <w:pPr>
      <w:spacing w:line="240" w:lineRule="auto"/>
      <w:contextualSpacing/>
    </w:pPr>
    <w:rPr>
      <w:b/>
      <w:color w:val="000000" w:themeColor="text2"/>
    </w:rPr>
  </w:style>
  <w:style w:type="character" w:customStyle="1" w:styleId="DateChar">
    <w:name w:val="Date Char"/>
    <w:aliases w:val="Date &amp; Web Char"/>
    <w:basedOn w:val="DefaultParagraphFont"/>
    <w:link w:val="Date"/>
    <w:uiPriority w:val="42"/>
    <w:rsid w:val="006E2C89"/>
    <w:rPr>
      <w:rFonts w:asciiTheme="minorHAnsi" w:hAnsiTheme="minorHAnsi"/>
      <w:b/>
      <w:color w:val="000000" w:themeColor="text2"/>
      <w:sz w:val="22"/>
      <w:szCs w:val="24"/>
    </w:rPr>
  </w:style>
  <w:style w:type="paragraph" w:styleId="CommentText">
    <w:name w:val="annotation text"/>
    <w:basedOn w:val="Normal"/>
    <w:link w:val="CommentTextChar"/>
    <w:uiPriority w:val="99"/>
    <w:unhideWhenUsed/>
    <w:rsid w:val="009C705A"/>
    <w:pPr>
      <w:spacing w:line="240" w:lineRule="auto"/>
    </w:pPr>
  </w:style>
  <w:style w:type="character" w:customStyle="1" w:styleId="CommentTextChar">
    <w:name w:val="Comment Text Char"/>
    <w:basedOn w:val="DefaultParagraphFont"/>
    <w:link w:val="CommentText"/>
    <w:uiPriority w:val="99"/>
    <w:rsid w:val="009C705A"/>
    <w:rPr>
      <w:rFonts w:asciiTheme="minorHAnsi" w:hAnsiTheme="minorHAnsi"/>
      <w:color w:val="3F3F3F" w:themeColor="text1"/>
    </w:rPr>
  </w:style>
  <w:style w:type="paragraph" w:styleId="CommentSubject">
    <w:name w:val="annotation subject"/>
    <w:basedOn w:val="CommentText"/>
    <w:next w:val="CommentText"/>
    <w:link w:val="CommentSubjectChar"/>
    <w:uiPriority w:val="99"/>
    <w:semiHidden/>
    <w:unhideWhenUsed/>
    <w:rsid w:val="009C705A"/>
    <w:rPr>
      <w:b/>
      <w:bCs/>
    </w:rPr>
  </w:style>
  <w:style w:type="character" w:customStyle="1" w:styleId="CommentSubjectChar">
    <w:name w:val="Comment Subject Char"/>
    <w:basedOn w:val="CommentTextChar"/>
    <w:link w:val="CommentSubject"/>
    <w:uiPriority w:val="99"/>
    <w:semiHidden/>
    <w:rsid w:val="009C705A"/>
    <w:rPr>
      <w:rFonts w:asciiTheme="minorHAnsi" w:hAnsiTheme="minorHAnsi"/>
      <w:b/>
      <w:bCs/>
      <w:color w:val="3F3F3F" w:themeColor="text1"/>
    </w:rPr>
  </w:style>
  <w:style w:type="character" w:customStyle="1" w:styleId="TitleChar">
    <w:name w:val="Title Char"/>
    <w:aliases w:val="Small Title Char"/>
    <w:basedOn w:val="DefaultParagraphFont"/>
    <w:link w:val="Title"/>
    <w:uiPriority w:val="10"/>
    <w:rsid w:val="007D0FC7"/>
    <w:rPr>
      <w:rFonts w:asciiTheme="majorHAnsi" w:hAnsiTheme="majorHAnsi" w:cs="Arial"/>
      <w:b/>
      <w:bCs/>
      <w:kern w:val="28"/>
      <w:sz w:val="70"/>
      <w:szCs w:val="32"/>
    </w:rPr>
  </w:style>
  <w:style w:type="character" w:customStyle="1" w:styleId="ListParagraphChar">
    <w:name w:val="List Paragraph Char"/>
    <w:aliases w:val="List Paragraph1 Char,List Paragraph11 Char,Recommendation Char,Bullet point Char,L Char,Bullet points Char,Content descriptions Char,Bullet Point Char,NFP GP Bulleted List Char,Body Bullets 1 Char,CV text Char,Dot pt Char,Main Char"/>
    <w:basedOn w:val="DefaultParagraphFont"/>
    <w:link w:val="ListParagraph"/>
    <w:uiPriority w:val="34"/>
    <w:rsid w:val="00177EA5"/>
    <w:rPr>
      <w:rFonts w:asciiTheme="minorHAnsi" w:hAnsiTheme="minorHAnsi"/>
      <w:color w:val="3F3F3F" w:themeColor="text1"/>
      <w:sz w:val="22"/>
      <w:szCs w:val="24"/>
    </w:rPr>
  </w:style>
  <w:style w:type="paragraph" w:customStyle="1" w:styleId="Default">
    <w:name w:val="Default"/>
    <w:rsid w:val="00177EA5"/>
    <w:pPr>
      <w:autoSpaceDE w:val="0"/>
      <w:autoSpaceDN w:val="0"/>
      <w:adjustRightInd w:val="0"/>
    </w:pPr>
    <w:rPr>
      <w:rFonts w:ascii="AvantGarde CondBook" w:eastAsiaTheme="minorHAnsi" w:hAnsi="AvantGarde CondBook" w:cs="AvantGarde CondBook"/>
      <w:color w:val="000000"/>
      <w:sz w:val="24"/>
      <w:szCs w:val="24"/>
      <w:lang w:eastAsia="en-US"/>
    </w:rPr>
  </w:style>
  <w:style w:type="paragraph" w:styleId="Caption">
    <w:name w:val="caption"/>
    <w:basedOn w:val="Normal"/>
    <w:next w:val="Normal"/>
    <w:uiPriority w:val="35"/>
    <w:unhideWhenUsed/>
    <w:qFormat/>
    <w:rsid w:val="00AC0233"/>
    <w:pPr>
      <w:keepNext/>
      <w:spacing w:before="240" w:after="200" w:line="240" w:lineRule="auto"/>
    </w:pPr>
    <w:rPr>
      <w:rFonts w:cs="Arial"/>
      <w:bCs/>
      <w:color w:val="117479" w:themeColor="accent2"/>
      <w:szCs w:val="22"/>
    </w:rPr>
  </w:style>
  <w:style w:type="character" w:customStyle="1" w:styleId="Heading3Char">
    <w:name w:val="Heading 3 Char"/>
    <w:basedOn w:val="DefaultParagraphFont"/>
    <w:link w:val="Heading3"/>
    <w:uiPriority w:val="3"/>
    <w:rsid w:val="000C7425"/>
    <w:rPr>
      <w:rFonts w:asciiTheme="majorHAnsi" w:eastAsia="Helvetica" w:hAnsiTheme="majorHAnsi"/>
      <w:b/>
      <w:color w:val="117479"/>
      <w:sz w:val="72"/>
      <w:szCs w:val="44"/>
    </w:rPr>
  </w:style>
  <w:style w:type="paragraph" w:styleId="NormalWeb">
    <w:name w:val="Normal (Web)"/>
    <w:basedOn w:val="Normal"/>
    <w:uiPriority w:val="99"/>
    <w:unhideWhenUsed/>
    <w:rsid w:val="0023309E"/>
    <w:pPr>
      <w:spacing w:beforeAutospacing="1" w:afterAutospacing="1" w:line="240" w:lineRule="auto"/>
    </w:pPr>
    <w:rPr>
      <w:rFonts w:ascii="Times New Roman" w:hAnsi="Times New Roman"/>
      <w:color w:val="auto"/>
      <w:sz w:val="24"/>
    </w:rPr>
  </w:style>
  <w:style w:type="paragraph" w:styleId="Revision">
    <w:name w:val="Revision"/>
    <w:hidden/>
    <w:uiPriority w:val="99"/>
    <w:semiHidden/>
    <w:rsid w:val="00B5179B"/>
    <w:rPr>
      <w:rFonts w:asciiTheme="minorHAnsi" w:hAnsiTheme="minorHAnsi"/>
      <w:color w:val="3F3F3F" w:themeColor="text1"/>
      <w:sz w:val="22"/>
      <w:szCs w:val="24"/>
    </w:rPr>
  </w:style>
  <w:style w:type="character" w:customStyle="1" w:styleId="FooterChar">
    <w:name w:val="Footer Char"/>
    <w:basedOn w:val="DefaultParagraphFont"/>
    <w:link w:val="Footer"/>
    <w:uiPriority w:val="99"/>
    <w:rsid w:val="00395834"/>
    <w:rPr>
      <w:rFonts w:asciiTheme="minorHAnsi" w:hAnsiTheme="minorHAnsi"/>
      <w:color w:val="3F3F3F" w:themeColor="text1"/>
      <w:sz w:val="16"/>
    </w:rPr>
  </w:style>
  <w:style w:type="paragraph" w:customStyle="1" w:styleId="Paragraph">
    <w:name w:val="# Paragraph"/>
    <w:basedOn w:val="Normal"/>
    <w:link w:val="ParagraphChar"/>
    <w:uiPriority w:val="99"/>
    <w:qFormat/>
    <w:rsid w:val="0084149D"/>
    <w:pPr>
      <w:numPr>
        <w:numId w:val="4"/>
      </w:numPr>
      <w:spacing w:before="0" w:after="200" w:line="276" w:lineRule="auto"/>
    </w:pPr>
    <w:rPr>
      <w:rFonts w:eastAsiaTheme="minorEastAsia" w:cstheme="minorBidi"/>
      <w:color w:val="auto"/>
      <w:szCs w:val="22"/>
    </w:rPr>
  </w:style>
  <w:style w:type="character" w:customStyle="1" w:styleId="ParagraphChar">
    <w:name w:val="# Paragraph Char"/>
    <w:basedOn w:val="DefaultParagraphFont"/>
    <w:link w:val="Paragraph"/>
    <w:uiPriority w:val="99"/>
    <w:rsid w:val="0084149D"/>
    <w:rPr>
      <w:rFonts w:asciiTheme="minorHAnsi" w:eastAsiaTheme="minorEastAsia" w:hAnsiTheme="minorHAnsi" w:cstheme="minorBidi"/>
      <w:szCs w:val="22"/>
    </w:rPr>
  </w:style>
  <w:style w:type="character" w:customStyle="1" w:styleId="Heading1Char">
    <w:name w:val="Heading 1 Char"/>
    <w:aliases w:val="- TOC Char"/>
    <w:basedOn w:val="DefaultParagraphFont"/>
    <w:link w:val="Heading1"/>
    <w:uiPriority w:val="2"/>
    <w:rsid w:val="00896F2B"/>
    <w:rPr>
      <w:rFonts w:asciiTheme="majorHAnsi" w:eastAsia="Helvetica" w:hAnsiTheme="majorHAnsi"/>
      <w:b/>
      <w:color w:val="117479"/>
      <w:sz w:val="72"/>
      <w:szCs w:val="44"/>
    </w:rPr>
  </w:style>
  <w:style w:type="numbering" w:customStyle="1" w:styleId="KeyPoints">
    <w:name w:val="Key Points"/>
    <w:basedOn w:val="NoList"/>
    <w:uiPriority w:val="99"/>
    <w:rsid w:val="0084149D"/>
    <w:pPr>
      <w:numPr>
        <w:numId w:val="5"/>
      </w:numPr>
    </w:pPr>
  </w:style>
  <w:style w:type="paragraph" w:customStyle="1" w:styleId="1NumberPointsStyle">
    <w:name w:val="1. Number Points Style"/>
    <w:basedOn w:val="Normal"/>
    <w:link w:val="1NumberPointsStyleChar"/>
    <w:uiPriority w:val="99"/>
    <w:qFormat/>
    <w:rsid w:val="0084149D"/>
    <w:pPr>
      <w:numPr>
        <w:numId w:val="6"/>
      </w:numPr>
      <w:spacing w:before="0" w:after="200" w:line="240" w:lineRule="auto"/>
    </w:pPr>
    <w:rPr>
      <w:rFonts w:ascii="Times New Roman" w:hAnsi="Times New Roman"/>
      <w:color w:val="auto"/>
      <w:sz w:val="24"/>
    </w:rPr>
  </w:style>
  <w:style w:type="character" w:customStyle="1" w:styleId="1NumberPointsStyleChar">
    <w:name w:val="1. Number Points Style Char"/>
    <w:basedOn w:val="DefaultParagraphFont"/>
    <w:link w:val="1NumberPointsStyle"/>
    <w:uiPriority w:val="99"/>
    <w:rsid w:val="0084149D"/>
    <w:rPr>
      <w:sz w:val="24"/>
    </w:rPr>
  </w:style>
  <w:style w:type="character" w:customStyle="1" w:styleId="Heading4Char">
    <w:name w:val="Heading 4 Char"/>
    <w:aliases w:val="Pullout text Char"/>
    <w:basedOn w:val="DefaultParagraphFont"/>
    <w:link w:val="Heading4"/>
    <w:uiPriority w:val="3"/>
    <w:rsid w:val="001C7413"/>
    <w:rPr>
      <w:rFonts w:asciiTheme="minorHAnsi" w:hAnsiTheme="minorHAnsi"/>
      <w:b/>
      <w:i/>
      <w:color w:val="000000" w:themeColor="text2"/>
      <w:shd w:val="clear" w:color="auto" w:fill="F2F2F2" w:themeFill="background1" w:themeFillShade="F2"/>
      <w:lang w:val="en-US"/>
    </w:rPr>
  </w:style>
  <w:style w:type="character" w:customStyle="1" w:styleId="HeaderChar">
    <w:name w:val="Header Char"/>
    <w:basedOn w:val="DefaultParagraphFont"/>
    <w:link w:val="Header"/>
    <w:uiPriority w:val="99"/>
    <w:rsid w:val="00395834"/>
    <w:rPr>
      <w:rFonts w:asciiTheme="minorHAnsi" w:hAnsiTheme="minorHAnsi"/>
      <w:color w:val="3F3F3F" w:themeColor="text1"/>
      <w:sz w:val="16"/>
    </w:rPr>
  </w:style>
  <w:style w:type="paragraph" w:styleId="TOC3">
    <w:name w:val="toc 3"/>
    <w:basedOn w:val="Normal"/>
    <w:next w:val="Normal"/>
    <w:autoRedefine/>
    <w:uiPriority w:val="39"/>
    <w:rsid w:val="001C53A8"/>
    <w:pPr>
      <w:ind w:left="440"/>
    </w:pPr>
  </w:style>
  <w:style w:type="paragraph" w:styleId="Quote">
    <w:name w:val="Quote"/>
    <w:basedOn w:val="Normal"/>
    <w:next w:val="Normal"/>
    <w:link w:val="QuoteChar"/>
    <w:uiPriority w:val="29"/>
    <w:qFormat/>
    <w:rsid w:val="002528D9"/>
    <w:pPr>
      <w:pBdr>
        <w:left w:val="single" w:sz="24" w:space="12" w:color="2F6C8B" w:themeColor="accent6" w:themeTint="BF"/>
      </w:pBdr>
      <w:spacing w:before="0" w:after="0" w:line="240" w:lineRule="auto"/>
      <w:ind w:left="284" w:right="284"/>
    </w:pPr>
    <w:rPr>
      <w:i/>
      <w:iCs/>
      <w:color w:val="auto"/>
    </w:rPr>
  </w:style>
  <w:style w:type="character" w:customStyle="1" w:styleId="QuoteChar">
    <w:name w:val="Quote Char"/>
    <w:basedOn w:val="DefaultParagraphFont"/>
    <w:link w:val="Quote"/>
    <w:uiPriority w:val="29"/>
    <w:rsid w:val="002528D9"/>
    <w:rPr>
      <w:rFonts w:asciiTheme="minorHAnsi" w:hAnsiTheme="minorHAnsi"/>
      <w:i/>
      <w:iCs/>
      <w:sz w:val="21"/>
      <w:szCs w:val="24"/>
    </w:rPr>
  </w:style>
  <w:style w:type="paragraph" w:styleId="BodyText">
    <w:name w:val="Body Text"/>
    <w:basedOn w:val="Normal"/>
    <w:link w:val="BodyTextChar"/>
    <w:uiPriority w:val="1"/>
    <w:qFormat/>
    <w:rsid w:val="00694C92"/>
    <w:pPr>
      <w:widowControl w:val="0"/>
      <w:spacing w:before="60" w:after="160" w:line="312" w:lineRule="auto"/>
    </w:pPr>
    <w:rPr>
      <w:rFonts w:ascii="Calibri Light" w:eastAsia="Calibri Light" w:hAnsi="Calibri Light" w:cstheme="minorBidi"/>
      <w:color w:val="082E28" w:themeColor="background2" w:themeShade="40"/>
      <w:lang w:val="en-US" w:eastAsia="en-US"/>
    </w:rPr>
  </w:style>
  <w:style w:type="character" w:customStyle="1" w:styleId="BodyTextChar">
    <w:name w:val="Body Text Char"/>
    <w:basedOn w:val="DefaultParagraphFont"/>
    <w:link w:val="BodyText"/>
    <w:uiPriority w:val="1"/>
    <w:rsid w:val="00694C92"/>
    <w:rPr>
      <w:rFonts w:ascii="Calibri Light" w:eastAsia="Calibri Light" w:hAnsi="Calibri Light" w:cstheme="minorBidi"/>
      <w:color w:val="082E28" w:themeColor="background2" w:themeShade="40"/>
      <w:lang w:val="en-US" w:eastAsia="en-US"/>
    </w:rPr>
  </w:style>
  <w:style w:type="paragraph" w:customStyle="1" w:styleId="Reference">
    <w:name w:val="Reference"/>
    <w:basedOn w:val="EndnoteText"/>
    <w:link w:val="ReferenceChar"/>
    <w:uiPriority w:val="1"/>
    <w:qFormat/>
    <w:rsid w:val="00694C92"/>
    <w:pPr>
      <w:widowControl w:val="0"/>
      <w:numPr>
        <w:numId w:val="7"/>
      </w:numPr>
      <w:tabs>
        <w:tab w:val="left" w:pos="284"/>
      </w:tabs>
      <w:spacing w:before="60" w:after="200" w:line="240" w:lineRule="auto"/>
      <w:ind w:left="714" w:hanging="357"/>
    </w:pPr>
    <w:rPr>
      <w:rFonts w:ascii="Calibri Light" w:eastAsiaTheme="minorHAnsi" w:hAnsi="Calibri Light" w:cstheme="minorBidi"/>
      <w:color w:val="082E28" w:themeColor="background2" w:themeShade="40"/>
      <w:lang w:val="en-US" w:eastAsia="en-US"/>
    </w:rPr>
  </w:style>
  <w:style w:type="character" w:customStyle="1" w:styleId="ReferenceChar">
    <w:name w:val="Reference Char"/>
    <w:basedOn w:val="EndnoteTextChar"/>
    <w:link w:val="Reference"/>
    <w:uiPriority w:val="1"/>
    <w:rsid w:val="00694C92"/>
    <w:rPr>
      <w:rFonts w:ascii="Calibri Light" w:eastAsiaTheme="minorHAnsi" w:hAnsi="Calibri Light" w:cstheme="minorBidi"/>
      <w:color w:val="082E28" w:themeColor="background2" w:themeShade="40"/>
      <w:lang w:val="en-US" w:eastAsia="en-US"/>
    </w:rPr>
  </w:style>
  <w:style w:type="paragraph" w:customStyle="1" w:styleId="BodyBullet">
    <w:name w:val="Body Bullet"/>
    <w:basedOn w:val="BodyText"/>
    <w:link w:val="BodyBulletChar"/>
    <w:uiPriority w:val="1"/>
    <w:rsid w:val="00694C92"/>
    <w:pPr>
      <w:numPr>
        <w:numId w:val="8"/>
      </w:numPr>
      <w:tabs>
        <w:tab w:val="left" w:pos="1673"/>
      </w:tabs>
      <w:spacing w:after="0"/>
      <w:ind w:left="499" w:hanging="357"/>
    </w:pPr>
    <w:rPr>
      <w:color w:val="342E2A"/>
    </w:rPr>
  </w:style>
  <w:style w:type="paragraph" w:customStyle="1" w:styleId="BodyBulletLastLine">
    <w:name w:val="Body Bullet Last Line"/>
    <w:basedOn w:val="BodyBullet"/>
    <w:link w:val="BodyBulletLastLineChar"/>
    <w:uiPriority w:val="1"/>
    <w:qFormat/>
    <w:rsid w:val="00694C92"/>
    <w:pPr>
      <w:spacing w:after="180"/>
    </w:pPr>
  </w:style>
  <w:style w:type="character" w:customStyle="1" w:styleId="BodyBulletChar">
    <w:name w:val="Body Bullet Char"/>
    <w:basedOn w:val="BodyTextChar"/>
    <w:link w:val="BodyBullet"/>
    <w:uiPriority w:val="1"/>
    <w:rsid w:val="00694C92"/>
    <w:rPr>
      <w:rFonts w:ascii="Calibri Light" w:eastAsia="Calibri Light" w:hAnsi="Calibri Light" w:cstheme="minorBidi"/>
      <w:color w:val="342E2A"/>
      <w:lang w:val="en-US" w:eastAsia="en-US"/>
    </w:rPr>
  </w:style>
  <w:style w:type="character" w:customStyle="1" w:styleId="BodyBulletLastLineChar">
    <w:name w:val="Body Bullet Last Line Char"/>
    <w:basedOn w:val="BodyBulletChar"/>
    <w:link w:val="BodyBulletLastLine"/>
    <w:uiPriority w:val="1"/>
    <w:rsid w:val="00694C92"/>
    <w:rPr>
      <w:rFonts w:ascii="Calibri Light" w:eastAsia="Calibri Light" w:hAnsi="Calibri Light" w:cstheme="minorBidi"/>
      <w:color w:val="342E2A"/>
      <w:lang w:val="en-US" w:eastAsia="en-US"/>
    </w:rPr>
  </w:style>
  <w:style w:type="paragraph" w:styleId="TOC4">
    <w:name w:val="toc 4"/>
    <w:basedOn w:val="Normal"/>
    <w:next w:val="Normal"/>
    <w:autoRedefine/>
    <w:uiPriority w:val="39"/>
    <w:unhideWhenUsed/>
    <w:rsid w:val="00F22919"/>
    <w:pPr>
      <w:spacing w:before="0" w:line="259" w:lineRule="auto"/>
      <w:ind w:left="660"/>
    </w:pPr>
    <w:rPr>
      <w:rFonts w:eastAsiaTheme="minorEastAsia" w:cstheme="minorBidi"/>
      <w:color w:val="auto"/>
      <w:sz w:val="22"/>
      <w:szCs w:val="22"/>
    </w:rPr>
  </w:style>
  <w:style w:type="paragraph" w:styleId="TOC5">
    <w:name w:val="toc 5"/>
    <w:basedOn w:val="Normal"/>
    <w:next w:val="Normal"/>
    <w:autoRedefine/>
    <w:uiPriority w:val="39"/>
    <w:unhideWhenUsed/>
    <w:rsid w:val="00F22919"/>
    <w:pPr>
      <w:spacing w:before="0" w:line="259" w:lineRule="auto"/>
      <w:ind w:left="880"/>
    </w:pPr>
    <w:rPr>
      <w:rFonts w:eastAsiaTheme="minorEastAsia" w:cstheme="minorBidi"/>
      <w:color w:val="auto"/>
      <w:sz w:val="22"/>
      <w:szCs w:val="22"/>
    </w:rPr>
  </w:style>
  <w:style w:type="paragraph" w:styleId="TOC6">
    <w:name w:val="toc 6"/>
    <w:basedOn w:val="Normal"/>
    <w:next w:val="Normal"/>
    <w:autoRedefine/>
    <w:uiPriority w:val="39"/>
    <w:unhideWhenUsed/>
    <w:rsid w:val="00F22919"/>
    <w:pPr>
      <w:spacing w:before="0" w:line="259" w:lineRule="auto"/>
      <w:ind w:left="1100"/>
    </w:pPr>
    <w:rPr>
      <w:rFonts w:eastAsiaTheme="minorEastAsia" w:cstheme="minorBidi"/>
      <w:color w:val="auto"/>
      <w:sz w:val="22"/>
      <w:szCs w:val="22"/>
    </w:rPr>
  </w:style>
  <w:style w:type="paragraph" w:styleId="TOC7">
    <w:name w:val="toc 7"/>
    <w:basedOn w:val="Normal"/>
    <w:next w:val="Normal"/>
    <w:autoRedefine/>
    <w:uiPriority w:val="39"/>
    <w:unhideWhenUsed/>
    <w:rsid w:val="00F22919"/>
    <w:pPr>
      <w:spacing w:before="0" w:line="259" w:lineRule="auto"/>
      <w:ind w:left="1320"/>
    </w:pPr>
    <w:rPr>
      <w:rFonts w:eastAsiaTheme="minorEastAsia" w:cstheme="minorBidi"/>
      <w:color w:val="auto"/>
      <w:sz w:val="22"/>
      <w:szCs w:val="22"/>
    </w:rPr>
  </w:style>
  <w:style w:type="paragraph" w:styleId="TOC8">
    <w:name w:val="toc 8"/>
    <w:basedOn w:val="Normal"/>
    <w:next w:val="Normal"/>
    <w:autoRedefine/>
    <w:uiPriority w:val="39"/>
    <w:unhideWhenUsed/>
    <w:rsid w:val="00F22919"/>
    <w:pPr>
      <w:spacing w:before="0" w:line="259" w:lineRule="auto"/>
      <w:ind w:left="1540"/>
    </w:pPr>
    <w:rPr>
      <w:rFonts w:eastAsiaTheme="minorEastAsia" w:cstheme="minorBidi"/>
      <w:color w:val="auto"/>
      <w:sz w:val="22"/>
      <w:szCs w:val="22"/>
    </w:rPr>
  </w:style>
  <w:style w:type="paragraph" w:styleId="TOC9">
    <w:name w:val="toc 9"/>
    <w:basedOn w:val="Normal"/>
    <w:next w:val="Normal"/>
    <w:autoRedefine/>
    <w:uiPriority w:val="39"/>
    <w:unhideWhenUsed/>
    <w:rsid w:val="00F22919"/>
    <w:pPr>
      <w:spacing w:before="0" w:line="259" w:lineRule="auto"/>
      <w:ind w:left="1760"/>
    </w:pPr>
    <w:rPr>
      <w:rFonts w:eastAsiaTheme="minorEastAsia" w:cstheme="minorBidi"/>
      <w:color w:val="auto"/>
      <w:sz w:val="22"/>
      <w:szCs w:val="22"/>
    </w:rPr>
  </w:style>
  <w:style w:type="paragraph" w:customStyle="1" w:styleId="p1">
    <w:name w:val="p1"/>
    <w:basedOn w:val="Normal"/>
    <w:rsid w:val="004331E0"/>
    <w:pPr>
      <w:spacing w:before="0" w:after="0" w:line="240" w:lineRule="auto"/>
    </w:pPr>
    <w:rPr>
      <w:rFonts w:ascii="Arial" w:hAnsi="Arial" w:cs="Arial"/>
      <w:color w:val="auto"/>
      <w:sz w:val="27"/>
      <w:szCs w:val="27"/>
      <w:lang w:val="en-US" w:eastAsia="en-US"/>
    </w:rPr>
  </w:style>
  <w:style w:type="paragraph" w:customStyle="1" w:styleId="p2">
    <w:name w:val="p2"/>
    <w:basedOn w:val="Normal"/>
    <w:rsid w:val="0049195A"/>
    <w:pPr>
      <w:spacing w:before="0" w:after="0" w:line="240" w:lineRule="auto"/>
    </w:pPr>
    <w:rPr>
      <w:rFonts w:ascii="Arial" w:hAnsi="Arial" w:cs="Arial"/>
      <w:color w:val="auto"/>
      <w:sz w:val="27"/>
      <w:szCs w:val="27"/>
      <w:lang w:val="en-US" w:eastAsia="en-US"/>
    </w:rPr>
  </w:style>
  <w:style w:type="paragraph" w:customStyle="1" w:styleId="IntroText">
    <w:name w:val="Intro Text"/>
    <w:basedOn w:val="Normal"/>
    <w:qFormat/>
    <w:rsid w:val="00DC0449"/>
    <w:pPr>
      <w:spacing w:before="0" w:after="240" w:line="320" w:lineRule="atLeast"/>
    </w:pPr>
    <w:rPr>
      <w:sz w:val="24"/>
      <w:szCs w:val="24"/>
    </w:rPr>
  </w:style>
  <w:style w:type="paragraph" w:customStyle="1" w:styleId="Note">
    <w:name w:val="Note"/>
    <w:basedOn w:val="Normal"/>
    <w:qFormat/>
    <w:rsid w:val="009D536B"/>
    <w:pPr>
      <w:spacing w:before="0" w:after="300" w:line="180" w:lineRule="exact"/>
    </w:pPr>
    <w:rPr>
      <w:i/>
      <w:sz w:val="18"/>
      <w:szCs w:val="18"/>
    </w:rPr>
  </w:style>
  <w:style w:type="paragraph" w:customStyle="1" w:styleId="Abstract">
    <w:name w:val="Abstract"/>
    <w:basedOn w:val="IntroText"/>
    <w:qFormat/>
    <w:rsid w:val="00365A04"/>
    <w:rPr>
      <w:i/>
    </w:rPr>
  </w:style>
  <w:style w:type="character" w:customStyle="1" w:styleId="1GREEN">
    <w:name w:val="1 GREEN"/>
    <w:basedOn w:val="DefaultParagraphFont"/>
    <w:uiPriority w:val="1"/>
    <w:qFormat/>
    <w:rsid w:val="00A71E1D"/>
    <w:rPr>
      <w:color w:val="117479" w:themeColor="accent2"/>
    </w:rPr>
  </w:style>
  <w:style w:type="paragraph" w:customStyle="1" w:styleId="Heading1NOTOC">
    <w:name w:val="Heading 1 NO TOC"/>
    <w:basedOn w:val="Normal"/>
    <w:qFormat/>
    <w:rsid w:val="00FD0F35"/>
    <w:pPr>
      <w:spacing w:before="0" w:after="170" w:line="228" w:lineRule="auto"/>
      <w:ind w:right="-144"/>
    </w:pPr>
    <w:rPr>
      <w:rFonts w:ascii="Arial" w:hAnsi="Arial" w:cs="Arial"/>
      <w:color w:val="000000" w:themeColor="text2"/>
      <w:sz w:val="96"/>
      <w:szCs w:val="120"/>
      <w:lang w:val="en-US" w:eastAsia="en-US"/>
    </w:rPr>
  </w:style>
  <w:style w:type="character" w:customStyle="1" w:styleId="2RED">
    <w:name w:val="2 RED"/>
    <w:basedOn w:val="DefaultParagraphFont"/>
    <w:uiPriority w:val="1"/>
    <w:qFormat/>
    <w:rsid w:val="00C74F05"/>
    <w:rPr>
      <w:color w:val="9F2234" w:themeColor="accent4"/>
    </w:rPr>
  </w:style>
  <w:style w:type="character" w:customStyle="1" w:styleId="3PURPLE">
    <w:name w:val="3 PURPLE"/>
    <w:basedOn w:val="DefaultParagraphFont"/>
    <w:uiPriority w:val="1"/>
    <w:qFormat/>
    <w:rsid w:val="006B4AA7"/>
    <w:rPr>
      <w:color w:val="7030A0"/>
    </w:rPr>
  </w:style>
  <w:style w:type="character" w:customStyle="1" w:styleId="4TEAL">
    <w:name w:val="4 TEAL"/>
    <w:basedOn w:val="DefaultParagraphFont"/>
    <w:uiPriority w:val="1"/>
    <w:qFormat/>
    <w:rsid w:val="007A2501"/>
    <w:rPr>
      <w:color w:val="428F9A"/>
    </w:rPr>
  </w:style>
  <w:style w:type="character" w:customStyle="1" w:styleId="5ORANGE">
    <w:name w:val="5 ORANGE"/>
    <w:basedOn w:val="DefaultParagraphFont"/>
    <w:uiPriority w:val="1"/>
    <w:qFormat/>
    <w:rsid w:val="007A2501"/>
    <w:rPr>
      <w:color w:val="E28B19"/>
    </w:rPr>
  </w:style>
  <w:style w:type="character" w:customStyle="1" w:styleId="6BLUE">
    <w:name w:val="6 BLUE"/>
    <w:basedOn w:val="DefaultParagraphFont"/>
    <w:uiPriority w:val="1"/>
    <w:qFormat/>
    <w:rsid w:val="00EF24EB"/>
    <w:rPr>
      <w:color w:val="2158A8"/>
    </w:rPr>
  </w:style>
  <w:style w:type="character" w:customStyle="1" w:styleId="refauthors">
    <w:name w:val="refauthors"/>
    <w:basedOn w:val="DefaultParagraphFont"/>
    <w:rsid w:val="008D6E99"/>
  </w:style>
  <w:style w:type="character" w:customStyle="1" w:styleId="reftitle">
    <w:name w:val="reftitle"/>
    <w:basedOn w:val="DefaultParagraphFont"/>
    <w:rsid w:val="008D6E99"/>
  </w:style>
  <w:style w:type="paragraph" w:customStyle="1" w:styleId="StyleCaptionHelveticaNotBoldCustomColorRGB17116121">
    <w:name w:val="Style Caption + Helvetica Not Bold Custom Color(RGB(17116121))"/>
    <w:basedOn w:val="Caption"/>
    <w:rsid w:val="00AC0233"/>
    <w:rPr>
      <w:rFonts w:ascii="Helvetica" w:hAnsi="Helvetica"/>
      <w:bCs w:val="0"/>
      <w:color w:val="117479"/>
    </w:rPr>
  </w:style>
  <w:style w:type="paragraph" w:customStyle="1" w:styleId="GreyBodyFrame">
    <w:name w:val="Grey Body Frame"/>
    <w:basedOn w:val="BodyText"/>
    <w:link w:val="GreyBodyFrameChar"/>
    <w:uiPriority w:val="1"/>
    <w:qFormat/>
    <w:rsid w:val="00BA4D4B"/>
    <w:pPr>
      <w:keepLines w:val="0"/>
      <w:pBdr>
        <w:top w:val="single" w:sz="48" w:space="1" w:color="20B9A3" w:themeColor="background2"/>
        <w:left w:val="single" w:sz="48" w:space="4" w:color="20B9A3" w:themeColor="background2"/>
        <w:bottom w:val="single" w:sz="48" w:space="1" w:color="20B9A3" w:themeColor="background2"/>
        <w:right w:val="single" w:sz="48" w:space="4" w:color="20B9A3" w:themeColor="background2"/>
      </w:pBdr>
      <w:shd w:val="clear" w:color="auto" w:fill="20B9A3" w:themeFill="background2"/>
    </w:pPr>
  </w:style>
  <w:style w:type="character" w:customStyle="1" w:styleId="GreyBodyFrameChar">
    <w:name w:val="Grey Body Frame Char"/>
    <w:basedOn w:val="BodyTextChar"/>
    <w:link w:val="GreyBodyFrame"/>
    <w:uiPriority w:val="1"/>
    <w:rsid w:val="00BA4D4B"/>
    <w:rPr>
      <w:rFonts w:ascii="Calibri Light" w:eastAsia="Calibri Light" w:hAnsi="Calibri Light" w:cstheme="minorBidi"/>
      <w:color w:val="082E28" w:themeColor="background2" w:themeShade="40"/>
      <w:shd w:val="clear" w:color="auto" w:fill="20B9A3" w:themeFill="background2"/>
      <w:lang w:val="en-US" w:eastAsia="en-US"/>
    </w:rPr>
  </w:style>
  <w:style w:type="paragraph" w:customStyle="1" w:styleId="Collaboration">
    <w:name w:val="Collaboration"/>
    <w:basedOn w:val="Normal"/>
    <w:qFormat/>
    <w:rsid w:val="00ED57AA"/>
    <w:pPr>
      <w:spacing w:before="600" w:line="259" w:lineRule="auto"/>
      <w:ind w:right="6237"/>
      <w:jc w:val="right"/>
    </w:pPr>
    <w:rPr>
      <w:rFonts w:ascii="Helvetica" w:eastAsia="Helvetica" w:hAnsi="Helvetica" w:cs="Helvetica"/>
      <w:b/>
      <w:color w:val="3F3F3F"/>
      <w:sz w:val="16"/>
      <w:szCs w:val="16"/>
    </w:rPr>
  </w:style>
  <w:style w:type="paragraph" w:customStyle="1" w:styleId="LargeH1Green">
    <w:name w:val="Large H1 Green"/>
    <w:basedOn w:val="LargeH1"/>
    <w:qFormat/>
    <w:rsid w:val="00691B1F"/>
    <w:pPr>
      <w:spacing w:before="0"/>
      <w:ind w:left="0"/>
    </w:pPr>
    <w:rPr>
      <w:color w:val="117479"/>
    </w:rPr>
  </w:style>
  <w:style w:type="table" w:styleId="GridTable5Dark-Accent2">
    <w:name w:val="Grid Table 5 Dark Accent 2"/>
    <w:basedOn w:val="TableNormal"/>
    <w:uiPriority w:val="50"/>
    <w:rsid w:val="006A083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2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1747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1747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1747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17479" w:themeFill="accent2"/>
      </w:tcPr>
    </w:tblStylePr>
    <w:tblStylePr w:type="band1Vert">
      <w:tblPr/>
      <w:tcPr>
        <w:shd w:val="clear" w:color="auto" w:fill="7CE6EC" w:themeFill="accent2" w:themeFillTint="66"/>
      </w:tcPr>
    </w:tblStylePr>
    <w:tblStylePr w:type="band1Horz">
      <w:tblPr/>
      <w:tcPr>
        <w:shd w:val="clear" w:color="auto" w:fill="7CE6EC" w:themeFill="accent2" w:themeFillTint="66"/>
      </w:tcPr>
    </w:tblStylePr>
  </w:style>
  <w:style w:type="paragraph" w:customStyle="1" w:styleId="FooterLHS">
    <w:name w:val="Footer LHS"/>
    <w:basedOn w:val="Footer"/>
    <w:qFormat/>
    <w:rsid w:val="003D2EC2"/>
    <w:pPr>
      <w:ind w:right="357" w:firstLine="357"/>
      <w:jc w:val="right"/>
    </w:pPr>
  </w:style>
  <w:style w:type="paragraph" w:customStyle="1" w:styleId="h4">
    <w:name w:val="h4"/>
    <w:basedOn w:val="Normal"/>
    <w:link w:val="h4Char"/>
    <w:qFormat/>
    <w:rsid w:val="00D33213"/>
    <w:pPr>
      <w:keepNext/>
      <w:spacing w:before="240" w:after="80" w:line="259" w:lineRule="auto"/>
      <w:jc w:val="both"/>
      <w:outlineLvl w:val="3"/>
    </w:pPr>
    <w:rPr>
      <w:rFonts w:ascii="Helvetica" w:eastAsia="Helvetica" w:hAnsi="Helvetica" w:cs="Helvetica"/>
      <w:b/>
      <w:color w:val="117479"/>
      <w:sz w:val="36"/>
    </w:rPr>
  </w:style>
  <w:style w:type="paragraph" w:customStyle="1" w:styleId="h5">
    <w:name w:val="h5"/>
    <w:basedOn w:val="Normal"/>
    <w:link w:val="h5Char"/>
    <w:qFormat/>
    <w:rsid w:val="00C47451"/>
    <w:pPr>
      <w:keepNext/>
      <w:spacing w:before="240" w:line="259" w:lineRule="auto"/>
      <w:jc w:val="both"/>
      <w:outlineLvl w:val="4"/>
    </w:pPr>
    <w:rPr>
      <w:rFonts w:ascii="Helvetica" w:eastAsia="Helvetica" w:hAnsi="Helvetica" w:cs="Helvetica"/>
      <w:b/>
      <w:color w:val="117479"/>
      <w:sz w:val="24"/>
    </w:rPr>
  </w:style>
  <w:style w:type="character" w:customStyle="1" w:styleId="h4Char">
    <w:name w:val="h4 Char"/>
    <w:basedOn w:val="DefaultParagraphFont"/>
    <w:link w:val="h4"/>
    <w:rsid w:val="00D33213"/>
    <w:rPr>
      <w:rFonts w:ascii="Helvetica" w:eastAsia="Helvetica" w:hAnsi="Helvetica" w:cs="Helvetica"/>
      <w:b/>
      <w:color w:val="117479"/>
      <w:sz w:val="36"/>
    </w:rPr>
  </w:style>
  <w:style w:type="character" w:customStyle="1" w:styleId="h5Char">
    <w:name w:val="h5 Char"/>
    <w:basedOn w:val="DefaultParagraphFont"/>
    <w:link w:val="h5"/>
    <w:rsid w:val="00C47451"/>
    <w:rPr>
      <w:rFonts w:ascii="Helvetica" w:eastAsia="Helvetica" w:hAnsi="Helvetica" w:cs="Helvetica"/>
      <w:b/>
      <w:color w:val="117479"/>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3674">
      <w:bodyDiv w:val="1"/>
      <w:marLeft w:val="0"/>
      <w:marRight w:val="0"/>
      <w:marTop w:val="0"/>
      <w:marBottom w:val="0"/>
      <w:divBdr>
        <w:top w:val="none" w:sz="0" w:space="0" w:color="auto"/>
        <w:left w:val="none" w:sz="0" w:space="0" w:color="auto"/>
        <w:bottom w:val="none" w:sz="0" w:space="0" w:color="auto"/>
        <w:right w:val="none" w:sz="0" w:space="0" w:color="auto"/>
      </w:divBdr>
    </w:div>
    <w:div w:id="16540045">
      <w:bodyDiv w:val="1"/>
      <w:marLeft w:val="0"/>
      <w:marRight w:val="0"/>
      <w:marTop w:val="0"/>
      <w:marBottom w:val="0"/>
      <w:divBdr>
        <w:top w:val="none" w:sz="0" w:space="0" w:color="auto"/>
        <w:left w:val="none" w:sz="0" w:space="0" w:color="auto"/>
        <w:bottom w:val="none" w:sz="0" w:space="0" w:color="auto"/>
        <w:right w:val="none" w:sz="0" w:space="0" w:color="auto"/>
      </w:divBdr>
    </w:div>
    <w:div w:id="16781408">
      <w:bodyDiv w:val="1"/>
      <w:marLeft w:val="0"/>
      <w:marRight w:val="0"/>
      <w:marTop w:val="0"/>
      <w:marBottom w:val="0"/>
      <w:divBdr>
        <w:top w:val="none" w:sz="0" w:space="0" w:color="auto"/>
        <w:left w:val="none" w:sz="0" w:space="0" w:color="auto"/>
        <w:bottom w:val="none" w:sz="0" w:space="0" w:color="auto"/>
        <w:right w:val="none" w:sz="0" w:space="0" w:color="auto"/>
      </w:divBdr>
    </w:div>
    <w:div w:id="18317081">
      <w:bodyDiv w:val="1"/>
      <w:marLeft w:val="0"/>
      <w:marRight w:val="0"/>
      <w:marTop w:val="0"/>
      <w:marBottom w:val="0"/>
      <w:divBdr>
        <w:top w:val="none" w:sz="0" w:space="0" w:color="auto"/>
        <w:left w:val="none" w:sz="0" w:space="0" w:color="auto"/>
        <w:bottom w:val="none" w:sz="0" w:space="0" w:color="auto"/>
        <w:right w:val="none" w:sz="0" w:space="0" w:color="auto"/>
      </w:divBdr>
    </w:div>
    <w:div w:id="22291611">
      <w:bodyDiv w:val="1"/>
      <w:marLeft w:val="0"/>
      <w:marRight w:val="0"/>
      <w:marTop w:val="0"/>
      <w:marBottom w:val="0"/>
      <w:divBdr>
        <w:top w:val="none" w:sz="0" w:space="0" w:color="auto"/>
        <w:left w:val="none" w:sz="0" w:space="0" w:color="auto"/>
        <w:bottom w:val="none" w:sz="0" w:space="0" w:color="auto"/>
        <w:right w:val="none" w:sz="0" w:space="0" w:color="auto"/>
      </w:divBdr>
    </w:div>
    <w:div w:id="22366713">
      <w:bodyDiv w:val="1"/>
      <w:marLeft w:val="0"/>
      <w:marRight w:val="0"/>
      <w:marTop w:val="0"/>
      <w:marBottom w:val="0"/>
      <w:divBdr>
        <w:top w:val="none" w:sz="0" w:space="0" w:color="auto"/>
        <w:left w:val="none" w:sz="0" w:space="0" w:color="auto"/>
        <w:bottom w:val="none" w:sz="0" w:space="0" w:color="auto"/>
        <w:right w:val="none" w:sz="0" w:space="0" w:color="auto"/>
      </w:divBdr>
    </w:div>
    <w:div w:id="41904436">
      <w:bodyDiv w:val="1"/>
      <w:marLeft w:val="0"/>
      <w:marRight w:val="0"/>
      <w:marTop w:val="0"/>
      <w:marBottom w:val="0"/>
      <w:divBdr>
        <w:top w:val="none" w:sz="0" w:space="0" w:color="auto"/>
        <w:left w:val="none" w:sz="0" w:space="0" w:color="auto"/>
        <w:bottom w:val="none" w:sz="0" w:space="0" w:color="auto"/>
        <w:right w:val="none" w:sz="0" w:space="0" w:color="auto"/>
      </w:divBdr>
    </w:div>
    <w:div w:id="44450801">
      <w:bodyDiv w:val="1"/>
      <w:marLeft w:val="0"/>
      <w:marRight w:val="0"/>
      <w:marTop w:val="0"/>
      <w:marBottom w:val="0"/>
      <w:divBdr>
        <w:top w:val="none" w:sz="0" w:space="0" w:color="auto"/>
        <w:left w:val="none" w:sz="0" w:space="0" w:color="auto"/>
        <w:bottom w:val="none" w:sz="0" w:space="0" w:color="auto"/>
        <w:right w:val="none" w:sz="0" w:space="0" w:color="auto"/>
      </w:divBdr>
    </w:div>
    <w:div w:id="45876836">
      <w:bodyDiv w:val="1"/>
      <w:marLeft w:val="0"/>
      <w:marRight w:val="0"/>
      <w:marTop w:val="0"/>
      <w:marBottom w:val="0"/>
      <w:divBdr>
        <w:top w:val="none" w:sz="0" w:space="0" w:color="auto"/>
        <w:left w:val="none" w:sz="0" w:space="0" w:color="auto"/>
        <w:bottom w:val="none" w:sz="0" w:space="0" w:color="auto"/>
        <w:right w:val="none" w:sz="0" w:space="0" w:color="auto"/>
      </w:divBdr>
    </w:div>
    <w:div w:id="46609558">
      <w:bodyDiv w:val="1"/>
      <w:marLeft w:val="0"/>
      <w:marRight w:val="0"/>
      <w:marTop w:val="0"/>
      <w:marBottom w:val="0"/>
      <w:divBdr>
        <w:top w:val="none" w:sz="0" w:space="0" w:color="auto"/>
        <w:left w:val="none" w:sz="0" w:space="0" w:color="auto"/>
        <w:bottom w:val="none" w:sz="0" w:space="0" w:color="auto"/>
        <w:right w:val="none" w:sz="0" w:space="0" w:color="auto"/>
      </w:divBdr>
    </w:div>
    <w:div w:id="49114907">
      <w:bodyDiv w:val="1"/>
      <w:marLeft w:val="0"/>
      <w:marRight w:val="0"/>
      <w:marTop w:val="0"/>
      <w:marBottom w:val="0"/>
      <w:divBdr>
        <w:top w:val="none" w:sz="0" w:space="0" w:color="auto"/>
        <w:left w:val="none" w:sz="0" w:space="0" w:color="auto"/>
        <w:bottom w:val="none" w:sz="0" w:space="0" w:color="auto"/>
        <w:right w:val="none" w:sz="0" w:space="0" w:color="auto"/>
      </w:divBdr>
    </w:div>
    <w:div w:id="54396824">
      <w:bodyDiv w:val="1"/>
      <w:marLeft w:val="0"/>
      <w:marRight w:val="0"/>
      <w:marTop w:val="0"/>
      <w:marBottom w:val="0"/>
      <w:divBdr>
        <w:top w:val="none" w:sz="0" w:space="0" w:color="auto"/>
        <w:left w:val="none" w:sz="0" w:space="0" w:color="auto"/>
        <w:bottom w:val="none" w:sz="0" w:space="0" w:color="auto"/>
        <w:right w:val="none" w:sz="0" w:space="0" w:color="auto"/>
      </w:divBdr>
    </w:div>
    <w:div w:id="56831161">
      <w:bodyDiv w:val="1"/>
      <w:marLeft w:val="0"/>
      <w:marRight w:val="0"/>
      <w:marTop w:val="0"/>
      <w:marBottom w:val="0"/>
      <w:divBdr>
        <w:top w:val="none" w:sz="0" w:space="0" w:color="auto"/>
        <w:left w:val="none" w:sz="0" w:space="0" w:color="auto"/>
        <w:bottom w:val="none" w:sz="0" w:space="0" w:color="auto"/>
        <w:right w:val="none" w:sz="0" w:space="0" w:color="auto"/>
      </w:divBdr>
    </w:div>
    <w:div w:id="65032376">
      <w:bodyDiv w:val="1"/>
      <w:marLeft w:val="0"/>
      <w:marRight w:val="0"/>
      <w:marTop w:val="0"/>
      <w:marBottom w:val="0"/>
      <w:divBdr>
        <w:top w:val="none" w:sz="0" w:space="0" w:color="auto"/>
        <w:left w:val="none" w:sz="0" w:space="0" w:color="auto"/>
        <w:bottom w:val="none" w:sz="0" w:space="0" w:color="auto"/>
        <w:right w:val="none" w:sz="0" w:space="0" w:color="auto"/>
      </w:divBdr>
    </w:div>
    <w:div w:id="73670441">
      <w:bodyDiv w:val="1"/>
      <w:marLeft w:val="0"/>
      <w:marRight w:val="0"/>
      <w:marTop w:val="0"/>
      <w:marBottom w:val="0"/>
      <w:divBdr>
        <w:top w:val="none" w:sz="0" w:space="0" w:color="auto"/>
        <w:left w:val="none" w:sz="0" w:space="0" w:color="auto"/>
        <w:bottom w:val="none" w:sz="0" w:space="0" w:color="auto"/>
        <w:right w:val="none" w:sz="0" w:space="0" w:color="auto"/>
      </w:divBdr>
    </w:div>
    <w:div w:id="75136367">
      <w:bodyDiv w:val="1"/>
      <w:marLeft w:val="0"/>
      <w:marRight w:val="0"/>
      <w:marTop w:val="0"/>
      <w:marBottom w:val="0"/>
      <w:divBdr>
        <w:top w:val="none" w:sz="0" w:space="0" w:color="auto"/>
        <w:left w:val="none" w:sz="0" w:space="0" w:color="auto"/>
        <w:bottom w:val="none" w:sz="0" w:space="0" w:color="auto"/>
        <w:right w:val="none" w:sz="0" w:space="0" w:color="auto"/>
      </w:divBdr>
    </w:div>
    <w:div w:id="90854867">
      <w:bodyDiv w:val="1"/>
      <w:marLeft w:val="0"/>
      <w:marRight w:val="0"/>
      <w:marTop w:val="0"/>
      <w:marBottom w:val="0"/>
      <w:divBdr>
        <w:top w:val="none" w:sz="0" w:space="0" w:color="auto"/>
        <w:left w:val="none" w:sz="0" w:space="0" w:color="auto"/>
        <w:bottom w:val="none" w:sz="0" w:space="0" w:color="auto"/>
        <w:right w:val="none" w:sz="0" w:space="0" w:color="auto"/>
      </w:divBdr>
    </w:div>
    <w:div w:id="95518071">
      <w:bodyDiv w:val="1"/>
      <w:marLeft w:val="0"/>
      <w:marRight w:val="0"/>
      <w:marTop w:val="0"/>
      <w:marBottom w:val="0"/>
      <w:divBdr>
        <w:top w:val="none" w:sz="0" w:space="0" w:color="auto"/>
        <w:left w:val="none" w:sz="0" w:space="0" w:color="auto"/>
        <w:bottom w:val="none" w:sz="0" w:space="0" w:color="auto"/>
        <w:right w:val="none" w:sz="0" w:space="0" w:color="auto"/>
      </w:divBdr>
    </w:div>
    <w:div w:id="96681894">
      <w:bodyDiv w:val="1"/>
      <w:marLeft w:val="0"/>
      <w:marRight w:val="0"/>
      <w:marTop w:val="0"/>
      <w:marBottom w:val="0"/>
      <w:divBdr>
        <w:top w:val="none" w:sz="0" w:space="0" w:color="auto"/>
        <w:left w:val="none" w:sz="0" w:space="0" w:color="auto"/>
        <w:bottom w:val="none" w:sz="0" w:space="0" w:color="auto"/>
        <w:right w:val="none" w:sz="0" w:space="0" w:color="auto"/>
      </w:divBdr>
    </w:div>
    <w:div w:id="103237236">
      <w:bodyDiv w:val="1"/>
      <w:marLeft w:val="0"/>
      <w:marRight w:val="0"/>
      <w:marTop w:val="0"/>
      <w:marBottom w:val="0"/>
      <w:divBdr>
        <w:top w:val="none" w:sz="0" w:space="0" w:color="auto"/>
        <w:left w:val="none" w:sz="0" w:space="0" w:color="auto"/>
        <w:bottom w:val="none" w:sz="0" w:space="0" w:color="auto"/>
        <w:right w:val="none" w:sz="0" w:space="0" w:color="auto"/>
      </w:divBdr>
    </w:div>
    <w:div w:id="119344326">
      <w:bodyDiv w:val="1"/>
      <w:marLeft w:val="0"/>
      <w:marRight w:val="0"/>
      <w:marTop w:val="0"/>
      <w:marBottom w:val="0"/>
      <w:divBdr>
        <w:top w:val="none" w:sz="0" w:space="0" w:color="auto"/>
        <w:left w:val="none" w:sz="0" w:space="0" w:color="auto"/>
        <w:bottom w:val="none" w:sz="0" w:space="0" w:color="auto"/>
        <w:right w:val="none" w:sz="0" w:space="0" w:color="auto"/>
      </w:divBdr>
    </w:div>
    <w:div w:id="124467532">
      <w:bodyDiv w:val="1"/>
      <w:marLeft w:val="0"/>
      <w:marRight w:val="0"/>
      <w:marTop w:val="0"/>
      <w:marBottom w:val="0"/>
      <w:divBdr>
        <w:top w:val="none" w:sz="0" w:space="0" w:color="auto"/>
        <w:left w:val="none" w:sz="0" w:space="0" w:color="auto"/>
        <w:bottom w:val="none" w:sz="0" w:space="0" w:color="auto"/>
        <w:right w:val="none" w:sz="0" w:space="0" w:color="auto"/>
      </w:divBdr>
    </w:div>
    <w:div w:id="124742057">
      <w:bodyDiv w:val="1"/>
      <w:marLeft w:val="0"/>
      <w:marRight w:val="0"/>
      <w:marTop w:val="0"/>
      <w:marBottom w:val="0"/>
      <w:divBdr>
        <w:top w:val="none" w:sz="0" w:space="0" w:color="auto"/>
        <w:left w:val="none" w:sz="0" w:space="0" w:color="auto"/>
        <w:bottom w:val="none" w:sz="0" w:space="0" w:color="auto"/>
        <w:right w:val="none" w:sz="0" w:space="0" w:color="auto"/>
      </w:divBdr>
    </w:div>
    <w:div w:id="136537048">
      <w:bodyDiv w:val="1"/>
      <w:marLeft w:val="0"/>
      <w:marRight w:val="0"/>
      <w:marTop w:val="0"/>
      <w:marBottom w:val="0"/>
      <w:divBdr>
        <w:top w:val="none" w:sz="0" w:space="0" w:color="auto"/>
        <w:left w:val="none" w:sz="0" w:space="0" w:color="auto"/>
        <w:bottom w:val="none" w:sz="0" w:space="0" w:color="auto"/>
        <w:right w:val="none" w:sz="0" w:space="0" w:color="auto"/>
      </w:divBdr>
    </w:div>
    <w:div w:id="144204412">
      <w:bodyDiv w:val="1"/>
      <w:marLeft w:val="0"/>
      <w:marRight w:val="0"/>
      <w:marTop w:val="0"/>
      <w:marBottom w:val="0"/>
      <w:divBdr>
        <w:top w:val="none" w:sz="0" w:space="0" w:color="auto"/>
        <w:left w:val="none" w:sz="0" w:space="0" w:color="auto"/>
        <w:bottom w:val="none" w:sz="0" w:space="0" w:color="auto"/>
        <w:right w:val="none" w:sz="0" w:space="0" w:color="auto"/>
      </w:divBdr>
    </w:div>
    <w:div w:id="149754552">
      <w:bodyDiv w:val="1"/>
      <w:marLeft w:val="0"/>
      <w:marRight w:val="0"/>
      <w:marTop w:val="0"/>
      <w:marBottom w:val="0"/>
      <w:divBdr>
        <w:top w:val="none" w:sz="0" w:space="0" w:color="auto"/>
        <w:left w:val="none" w:sz="0" w:space="0" w:color="auto"/>
        <w:bottom w:val="none" w:sz="0" w:space="0" w:color="auto"/>
        <w:right w:val="none" w:sz="0" w:space="0" w:color="auto"/>
      </w:divBdr>
    </w:div>
    <w:div w:id="169414397">
      <w:bodyDiv w:val="1"/>
      <w:marLeft w:val="0"/>
      <w:marRight w:val="0"/>
      <w:marTop w:val="0"/>
      <w:marBottom w:val="0"/>
      <w:divBdr>
        <w:top w:val="none" w:sz="0" w:space="0" w:color="auto"/>
        <w:left w:val="none" w:sz="0" w:space="0" w:color="auto"/>
        <w:bottom w:val="none" w:sz="0" w:space="0" w:color="auto"/>
        <w:right w:val="none" w:sz="0" w:space="0" w:color="auto"/>
      </w:divBdr>
    </w:div>
    <w:div w:id="171145769">
      <w:bodyDiv w:val="1"/>
      <w:marLeft w:val="0"/>
      <w:marRight w:val="0"/>
      <w:marTop w:val="0"/>
      <w:marBottom w:val="0"/>
      <w:divBdr>
        <w:top w:val="none" w:sz="0" w:space="0" w:color="auto"/>
        <w:left w:val="none" w:sz="0" w:space="0" w:color="auto"/>
        <w:bottom w:val="none" w:sz="0" w:space="0" w:color="auto"/>
        <w:right w:val="none" w:sz="0" w:space="0" w:color="auto"/>
      </w:divBdr>
    </w:div>
    <w:div w:id="174733924">
      <w:bodyDiv w:val="1"/>
      <w:marLeft w:val="0"/>
      <w:marRight w:val="0"/>
      <w:marTop w:val="0"/>
      <w:marBottom w:val="0"/>
      <w:divBdr>
        <w:top w:val="none" w:sz="0" w:space="0" w:color="auto"/>
        <w:left w:val="none" w:sz="0" w:space="0" w:color="auto"/>
        <w:bottom w:val="none" w:sz="0" w:space="0" w:color="auto"/>
        <w:right w:val="none" w:sz="0" w:space="0" w:color="auto"/>
      </w:divBdr>
    </w:div>
    <w:div w:id="178665183">
      <w:bodyDiv w:val="1"/>
      <w:marLeft w:val="0"/>
      <w:marRight w:val="0"/>
      <w:marTop w:val="0"/>
      <w:marBottom w:val="0"/>
      <w:divBdr>
        <w:top w:val="none" w:sz="0" w:space="0" w:color="auto"/>
        <w:left w:val="none" w:sz="0" w:space="0" w:color="auto"/>
        <w:bottom w:val="none" w:sz="0" w:space="0" w:color="auto"/>
        <w:right w:val="none" w:sz="0" w:space="0" w:color="auto"/>
      </w:divBdr>
    </w:div>
    <w:div w:id="189419047">
      <w:bodyDiv w:val="1"/>
      <w:marLeft w:val="0"/>
      <w:marRight w:val="0"/>
      <w:marTop w:val="0"/>
      <w:marBottom w:val="0"/>
      <w:divBdr>
        <w:top w:val="none" w:sz="0" w:space="0" w:color="auto"/>
        <w:left w:val="none" w:sz="0" w:space="0" w:color="auto"/>
        <w:bottom w:val="none" w:sz="0" w:space="0" w:color="auto"/>
        <w:right w:val="none" w:sz="0" w:space="0" w:color="auto"/>
      </w:divBdr>
    </w:div>
    <w:div w:id="190070726">
      <w:bodyDiv w:val="1"/>
      <w:marLeft w:val="0"/>
      <w:marRight w:val="0"/>
      <w:marTop w:val="0"/>
      <w:marBottom w:val="0"/>
      <w:divBdr>
        <w:top w:val="none" w:sz="0" w:space="0" w:color="auto"/>
        <w:left w:val="none" w:sz="0" w:space="0" w:color="auto"/>
        <w:bottom w:val="none" w:sz="0" w:space="0" w:color="auto"/>
        <w:right w:val="none" w:sz="0" w:space="0" w:color="auto"/>
      </w:divBdr>
    </w:div>
    <w:div w:id="190653304">
      <w:bodyDiv w:val="1"/>
      <w:marLeft w:val="0"/>
      <w:marRight w:val="0"/>
      <w:marTop w:val="0"/>
      <w:marBottom w:val="0"/>
      <w:divBdr>
        <w:top w:val="none" w:sz="0" w:space="0" w:color="auto"/>
        <w:left w:val="none" w:sz="0" w:space="0" w:color="auto"/>
        <w:bottom w:val="none" w:sz="0" w:space="0" w:color="auto"/>
        <w:right w:val="none" w:sz="0" w:space="0" w:color="auto"/>
      </w:divBdr>
    </w:div>
    <w:div w:id="191261767">
      <w:bodyDiv w:val="1"/>
      <w:marLeft w:val="0"/>
      <w:marRight w:val="0"/>
      <w:marTop w:val="0"/>
      <w:marBottom w:val="0"/>
      <w:divBdr>
        <w:top w:val="none" w:sz="0" w:space="0" w:color="auto"/>
        <w:left w:val="none" w:sz="0" w:space="0" w:color="auto"/>
        <w:bottom w:val="none" w:sz="0" w:space="0" w:color="auto"/>
        <w:right w:val="none" w:sz="0" w:space="0" w:color="auto"/>
      </w:divBdr>
    </w:div>
    <w:div w:id="201092115">
      <w:bodyDiv w:val="1"/>
      <w:marLeft w:val="0"/>
      <w:marRight w:val="0"/>
      <w:marTop w:val="0"/>
      <w:marBottom w:val="0"/>
      <w:divBdr>
        <w:top w:val="none" w:sz="0" w:space="0" w:color="auto"/>
        <w:left w:val="none" w:sz="0" w:space="0" w:color="auto"/>
        <w:bottom w:val="none" w:sz="0" w:space="0" w:color="auto"/>
        <w:right w:val="none" w:sz="0" w:space="0" w:color="auto"/>
      </w:divBdr>
    </w:div>
    <w:div w:id="201140084">
      <w:bodyDiv w:val="1"/>
      <w:marLeft w:val="0"/>
      <w:marRight w:val="0"/>
      <w:marTop w:val="0"/>
      <w:marBottom w:val="0"/>
      <w:divBdr>
        <w:top w:val="none" w:sz="0" w:space="0" w:color="auto"/>
        <w:left w:val="none" w:sz="0" w:space="0" w:color="auto"/>
        <w:bottom w:val="none" w:sz="0" w:space="0" w:color="auto"/>
        <w:right w:val="none" w:sz="0" w:space="0" w:color="auto"/>
      </w:divBdr>
    </w:div>
    <w:div w:id="203489658">
      <w:bodyDiv w:val="1"/>
      <w:marLeft w:val="0"/>
      <w:marRight w:val="0"/>
      <w:marTop w:val="0"/>
      <w:marBottom w:val="0"/>
      <w:divBdr>
        <w:top w:val="none" w:sz="0" w:space="0" w:color="auto"/>
        <w:left w:val="none" w:sz="0" w:space="0" w:color="auto"/>
        <w:bottom w:val="none" w:sz="0" w:space="0" w:color="auto"/>
        <w:right w:val="none" w:sz="0" w:space="0" w:color="auto"/>
      </w:divBdr>
    </w:div>
    <w:div w:id="214855202">
      <w:bodyDiv w:val="1"/>
      <w:marLeft w:val="0"/>
      <w:marRight w:val="0"/>
      <w:marTop w:val="0"/>
      <w:marBottom w:val="0"/>
      <w:divBdr>
        <w:top w:val="none" w:sz="0" w:space="0" w:color="auto"/>
        <w:left w:val="none" w:sz="0" w:space="0" w:color="auto"/>
        <w:bottom w:val="none" w:sz="0" w:space="0" w:color="auto"/>
        <w:right w:val="none" w:sz="0" w:space="0" w:color="auto"/>
      </w:divBdr>
    </w:div>
    <w:div w:id="217207682">
      <w:bodyDiv w:val="1"/>
      <w:marLeft w:val="0"/>
      <w:marRight w:val="0"/>
      <w:marTop w:val="0"/>
      <w:marBottom w:val="0"/>
      <w:divBdr>
        <w:top w:val="none" w:sz="0" w:space="0" w:color="auto"/>
        <w:left w:val="none" w:sz="0" w:space="0" w:color="auto"/>
        <w:bottom w:val="none" w:sz="0" w:space="0" w:color="auto"/>
        <w:right w:val="none" w:sz="0" w:space="0" w:color="auto"/>
      </w:divBdr>
    </w:div>
    <w:div w:id="219946729">
      <w:bodyDiv w:val="1"/>
      <w:marLeft w:val="0"/>
      <w:marRight w:val="0"/>
      <w:marTop w:val="0"/>
      <w:marBottom w:val="0"/>
      <w:divBdr>
        <w:top w:val="none" w:sz="0" w:space="0" w:color="auto"/>
        <w:left w:val="none" w:sz="0" w:space="0" w:color="auto"/>
        <w:bottom w:val="none" w:sz="0" w:space="0" w:color="auto"/>
        <w:right w:val="none" w:sz="0" w:space="0" w:color="auto"/>
      </w:divBdr>
    </w:div>
    <w:div w:id="230770323">
      <w:bodyDiv w:val="1"/>
      <w:marLeft w:val="0"/>
      <w:marRight w:val="0"/>
      <w:marTop w:val="0"/>
      <w:marBottom w:val="0"/>
      <w:divBdr>
        <w:top w:val="none" w:sz="0" w:space="0" w:color="auto"/>
        <w:left w:val="none" w:sz="0" w:space="0" w:color="auto"/>
        <w:bottom w:val="none" w:sz="0" w:space="0" w:color="auto"/>
        <w:right w:val="none" w:sz="0" w:space="0" w:color="auto"/>
      </w:divBdr>
    </w:div>
    <w:div w:id="242498382">
      <w:bodyDiv w:val="1"/>
      <w:marLeft w:val="0"/>
      <w:marRight w:val="0"/>
      <w:marTop w:val="0"/>
      <w:marBottom w:val="0"/>
      <w:divBdr>
        <w:top w:val="none" w:sz="0" w:space="0" w:color="auto"/>
        <w:left w:val="none" w:sz="0" w:space="0" w:color="auto"/>
        <w:bottom w:val="none" w:sz="0" w:space="0" w:color="auto"/>
        <w:right w:val="none" w:sz="0" w:space="0" w:color="auto"/>
      </w:divBdr>
    </w:div>
    <w:div w:id="265768377">
      <w:bodyDiv w:val="1"/>
      <w:marLeft w:val="0"/>
      <w:marRight w:val="0"/>
      <w:marTop w:val="0"/>
      <w:marBottom w:val="0"/>
      <w:divBdr>
        <w:top w:val="none" w:sz="0" w:space="0" w:color="auto"/>
        <w:left w:val="none" w:sz="0" w:space="0" w:color="auto"/>
        <w:bottom w:val="none" w:sz="0" w:space="0" w:color="auto"/>
        <w:right w:val="none" w:sz="0" w:space="0" w:color="auto"/>
      </w:divBdr>
    </w:div>
    <w:div w:id="267860354">
      <w:bodyDiv w:val="1"/>
      <w:marLeft w:val="0"/>
      <w:marRight w:val="0"/>
      <w:marTop w:val="0"/>
      <w:marBottom w:val="0"/>
      <w:divBdr>
        <w:top w:val="none" w:sz="0" w:space="0" w:color="auto"/>
        <w:left w:val="none" w:sz="0" w:space="0" w:color="auto"/>
        <w:bottom w:val="none" w:sz="0" w:space="0" w:color="auto"/>
        <w:right w:val="none" w:sz="0" w:space="0" w:color="auto"/>
      </w:divBdr>
    </w:div>
    <w:div w:id="271674721">
      <w:bodyDiv w:val="1"/>
      <w:marLeft w:val="0"/>
      <w:marRight w:val="0"/>
      <w:marTop w:val="0"/>
      <w:marBottom w:val="0"/>
      <w:divBdr>
        <w:top w:val="none" w:sz="0" w:space="0" w:color="auto"/>
        <w:left w:val="none" w:sz="0" w:space="0" w:color="auto"/>
        <w:bottom w:val="none" w:sz="0" w:space="0" w:color="auto"/>
        <w:right w:val="none" w:sz="0" w:space="0" w:color="auto"/>
      </w:divBdr>
    </w:div>
    <w:div w:id="300430022">
      <w:bodyDiv w:val="1"/>
      <w:marLeft w:val="0"/>
      <w:marRight w:val="0"/>
      <w:marTop w:val="0"/>
      <w:marBottom w:val="0"/>
      <w:divBdr>
        <w:top w:val="none" w:sz="0" w:space="0" w:color="auto"/>
        <w:left w:val="none" w:sz="0" w:space="0" w:color="auto"/>
        <w:bottom w:val="none" w:sz="0" w:space="0" w:color="auto"/>
        <w:right w:val="none" w:sz="0" w:space="0" w:color="auto"/>
      </w:divBdr>
    </w:div>
    <w:div w:id="313686483">
      <w:bodyDiv w:val="1"/>
      <w:marLeft w:val="0"/>
      <w:marRight w:val="0"/>
      <w:marTop w:val="0"/>
      <w:marBottom w:val="0"/>
      <w:divBdr>
        <w:top w:val="none" w:sz="0" w:space="0" w:color="auto"/>
        <w:left w:val="none" w:sz="0" w:space="0" w:color="auto"/>
        <w:bottom w:val="none" w:sz="0" w:space="0" w:color="auto"/>
        <w:right w:val="none" w:sz="0" w:space="0" w:color="auto"/>
      </w:divBdr>
    </w:div>
    <w:div w:id="330106464">
      <w:bodyDiv w:val="1"/>
      <w:marLeft w:val="0"/>
      <w:marRight w:val="0"/>
      <w:marTop w:val="0"/>
      <w:marBottom w:val="0"/>
      <w:divBdr>
        <w:top w:val="none" w:sz="0" w:space="0" w:color="auto"/>
        <w:left w:val="none" w:sz="0" w:space="0" w:color="auto"/>
        <w:bottom w:val="none" w:sz="0" w:space="0" w:color="auto"/>
        <w:right w:val="none" w:sz="0" w:space="0" w:color="auto"/>
      </w:divBdr>
    </w:div>
    <w:div w:id="338701534">
      <w:bodyDiv w:val="1"/>
      <w:marLeft w:val="0"/>
      <w:marRight w:val="0"/>
      <w:marTop w:val="0"/>
      <w:marBottom w:val="0"/>
      <w:divBdr>
        <w:top w:val="none" w:sz="0" w:space="0" w:color="auto"/>
        <w:left w:val="none" w:sz="0" w:space="0" w:color="auto"/>
        <w:bottom w:val="none" w:sz="0" w:space="0" w:color="auto"/>
        <w:right w:val="none" w:sz="0" w:space="0" w:color="auto"/>
      </w:divBdr>
    </w:div>
    <w:div w:id="340662600">
      <w:bodyDiv w:val="1"/>
      <w:marLeft w:val="0"/>
      <w:marRight w:val="0"/>
      <w:marTop w:val="0"/>
      <w:marBottom w:val="0"/>
      <w:divBdr>
        <w:top w:val="none" w:sz="0" w:space="0" w:color="auto"/>
        <w:left w:val="none" w:sz="0" w:space="0" w:color="auto"/>
        <w:bottom w:val="none" w:sz="0" w:space="0" w:color="auto"/>
        <w:right w:val="none" w:sz="0" w:space="0" w:color="auto"/>
      </w:divBdr>
    </w:div>
    <w:div w:id="345325805">
      <w:bodyDiv w:val="1"/>
      <w:marLeft w:val="0"/>
      <w:marRight w:val="0"/>
      <w:marTop w:val="0"/>
      <w:marBottom w:val="0"/>
      <w:divBdr>
        <w:top w:val="none" w:sz="0" w:space="0" w:color="auto"/>
        <w:left w:val="none" w:sz="0" w:space="0" w:color="auto"/>
        <w:bottom w:val="none" w:sz="0" w:space="0" w:color="auto"/>
        <w:right w:val="none" w:sz="0" w:space="0" w:color="auto"/>
      </w:divBdr>
    </w:div>
    <w:div w:id="354814914">
      <w:bodyDiv w:val="1"/>
      <w:marLeft w:val="0"/>
      <w:marRight w:val="0"/>
      <w:marTop w:val="0"/>
      <w:marBottom w:val="0"/>
      <w:divBdr>
        <w:top w:val="none" w:sz="0" w:space="0" w:color="auto"/>
        <w:left w:val="none" w:sz="0" w:space="0" w:color="auto"/>
        <w:bottom w:val="none" w:sz="0" w:space="0" w:color="auto"/>
        <w:right w:val="none" w:sz="0" w:space="0" w:color="auto"/>
      </w:divBdr>
    </w:div>
    <w:div w:id="379212178">
      <w:bodyDiv w:val="1"/>
      <w:marLeft w:val="0"/>
      <w:marRight w:val="0"/>
      <w:marTop w:val="0"/>
      <w:marBottom w:val="0"/>
      <w:divBdr>
        <w:top w:val="none" w:sz="0" w:space="0" w:color="auto"/>
        <w:left w:val="none" w:sz="0" w:space="0" w:color="auto"/>
        <w:bottom w:val="none" w:sz="0" w:space="0" w:color="auto"/>
        <w:right w:val="none" w:sz="0" w:space="0" w:color="auto"/>
      </w:divBdr>
    </w:div>
    <w:div w:id="388769694">
      <w:bodyDiv w:val="1"/>
      <w:marLeft w:val="0"/>
      <w:marRight w:val="0"/>
      <w:marTop w:val="0"/>
      <w:marBottom w:val="0"/>
      <w:divBdr>
        <w:top w:val="none" w:sz="0" w:space="0" w:color="auto"/>
        <w:left w:val="none" w:sz="0" w:space="0" w:color="auto"/>
        <w:bottom w:val="none" w:sz="0" w:space="0" w:color="auto"/>
        <w:right w:val="none" w:sz="0" w:space="0" w:color="auto"/>
      </w:divBdr>
    </w:div>
    <w:div w:id="406001876">
      <w:bodyDiv w:val="1"/>
      <w:marLeft w:val="0"/>
      <w:marRight w:val="0"/>
      <w:marTop w:val="0"/>
      <w:marBottom w:val="0"/>
      <w:divBdr>
        <w:top w:val="none" w:sz="0" w:space="0" w:color="auto"/>
        <w:left w:val="none" w:sz="0" w:space="0" w:color="auto"/>
        <w:bottom w:val="none" w:sz="0" w:space="0" w:color="auto"/>
        <w:right w:val="none" w:sz="0" w:space="0" w:color="auto"/>
      </w:divBdr>
    </w:div>
    <w:div w:id="414673010">
      <w:bodyDiv w:val="1"/>
      <w:marLeft w:val="0"/>
      <w:marRight w:val="0"/>
      <w:marTop w:val="0"/>
      <w:marBottom w:val="0"/>
      <w:divBdr>
        <w:top w:val="none" w:sz="0" w:space="0" w:color="auto"/>
        <w:left w:val="none" w:sz="0" w:space="0" w:color="auto"/>
        <w:bottom w:val="none" w:sz="0" w:space="0" w:color="auto"/>
        <w:right w:val="none" w:sz="0" w:space="0" w:color="auto"/>
      </w:divBdr>
    </w:div>
    <w:div w:id="429395085">
      <w:bodyDiv w:val="1"/>
      <w:marLeft w:val="0"/>
      <w:marRight w:val="0"/>
      <w:marTop w:val="0"/>
      <w:marBottom w:val="0"/>
      <w:divBdr>
        <w:top w:val="none" w:sz="0" w:space="0" w:color="auto"/>
        <w:left w:val="none" w:sz="0" w:space="0" w:color="auto"/>
        <w:bottom w:val="none" w:sz="0" w:space="0" w:color="auto"/>
        <w:right w:val="none" w:sz="0" w:space="0" w:color="auto"/>
      </w:divBdr>
    </w:div>
    <w:div w:id="448400704">
      <w:bodyDiv w:val="1"/>
      <w:marLeft w:val="0"/>
      <w:marRight w:val="0"/>
      <w:marTop w:val="0"/>
      <w:marBottom w:val="0"/>
      <w:divBdr>
        <w:top w:val="none" w:sz="0" w:space="0" w:color="auto"/>
        <w:left w:val="none" w:sz="0" w:space="0" w:color="auto"/>
        <w:bottom w:val="none" w:sz="0" w:space="0" w:color="auto"/>
        <w:right w:val="none" w:sz="0" w:space="0" w:color="auto"/>
      </w:divBdr>
    </w:div>
    <w:div w:id="454518585">
      <w:bodyDiv w:val="1"/>
      <w:marLeft w:val="0"/>
      <w:marRight w:val="0"/>
      <w:marTop w:val="0"/>
      <w:marBottom w:val="0"/>
      <w:divBdr>
        <w:top w:val="none" w:sz="0" w:space="0" w:color="auto"/>
        <w:left w:val="none" w:sz="0" w:space="0" w:color="auto"/>
        <w:bottom w:val="none" w:sz="0" w:space="0" w:color="auto"/>
        <w:right w:val="none" w:sz="0" w:space="0" w:color="auto"/>
      </w:divBdr>
    </w:div>
    <w:div w:id="462192000">
      <w:bodyDiv w:val="1"/>
      <w:marLeft w:val="0"/>
      <w:marRight w:val="0"/>
      <w:marTop w:val="0"/>
      <w:marBottom w:val="0"/>
      <w:divBdr>
        <w:top w:val="none" w:sz="0" w:space="0" w:color="auto"/>
        <w:left w:val="none" w:sz="0" w:space="0" w:color="auto"/>
        <w:bottom w:val="none" w:sz="0" w:space="0" w:color="auto"/>
        <w:right w:val="none" w:sz="0" w:space="0" w:color="auto"/>
      </w:divBdr>
    </w:div>
    <w:div w:id="486821064">
      <w:bodyDiv w:val="1"/>
      <w:marLeft w:val="0"/>
      <w:marRight w:val="0"/>
      <w:marTop w:val="0"/>
      <w:marBottom w:val="0"/>
      <w:divBdr>
        <w:top w:val="none" w:sz="0" w:space="0" w:color="auto"/>
        <w:left w:val="none" w:sz="0" w:space="0" w:color="auto"/>
        <w:bottom w:val="none" w:sz="0" w:space="0" w:color="auto"/>
        <w:right w:val="none" w:sz="0" w:space="0" w:color="auto"/>
      </w:divBdr>
    </w:div>
    <w:div w:id="487670490">
      <w:bodyDiv w:val="1"/>
      <w:marLeft w:val="0"/>
      <w:marRight w:val="0"/>
      <w:marTop w:val="0"/>
      <w:marBottom w:val="0"/>
      <w:divBdr>
        <w:top w:val="none" w:sz="0" w:space="0" w:color="auto"/>
        <w:left w:val="none" w:sz="0" w:space="0" w:color="auto"/>
        <w:bottom w:val="none" w:sz="0" w:space="0" w:color="auto"/>
        <w:right w:val="none" w:sz="0" w:space="0" w:color="auto"/>
      </w:divBdr>
    </w:div>
    <w:div w:id="489904081">
      <w:bodyDiv w:val="1"/>
      <w:marLeft w:val="0"/>
      <w:marRight w:val="0"/>
      <w:marTop w:val="0"/>
      <w:marBottom w:val="0"/>
      <w:divBdr>
        <w:top w:val="none" w:sz="0" w:space="0" w:color="auto"/>
        <w:left w:val="none" w:sz="0" w:space="0" w:color="auto"/>
        <w:bottom w:val="none" w:sz="0" w:space="0" w:color="auto"/>
        <w:right w:val="none" w:sz="0" w:space="0" w:color="auto"/>
      </w:divBdr>
    </w:div>
    <w:div w:id="497813142">
      <w:bodyDiv w:val="1"/>
      <w:marLeft w:val="0"/>
      <w:marRight w:val="0"/>
      <w:marTop w:val="0"/>
      <w:marBottom w:val="0"/>
      <w:divBdr>
        <w:top w:val="none" w:sz="0" w:space="0" w:color="auto"/>
        <w:left w:val="none" w:sz="0" w:space="0" w:color="auto"/>
        <w:bottom w:val="none" w:sz="0" w:space="0" w:color="auto"/>
        <w:right w:val="none" w:sz="0" w:space="0" w:color="auto"/>
      </w:divBdr>
    </w:div>
    <w:div w:id="510685436">
      <w:bodyDiv w:val="1"/>
      <w:marLeft w:val="0"/>
      <w:marRight w:val="0"/>
      <w:marTop w:val="0"/>
      <w:marBottom w:val="0"/>
      <w:divBdr>
        <w:top w:val="none" w:sz="0" w:space="0" w:color="auto"/>
        <w:left w:val="none" w:sz="0" w:space="0" w:color="auto"/>
        <w:bottom w:val="none" w:sz="0" w:space="0" w:color="auto"/>
        <w:right w:val="none" w:sz="0" w:space="0" w:color="auto"/>
      </w:divBdr>
    </w:div>
    <w:div w:id="527984025">
      <w:bodyDiv w:val="1"/>
      <w:marLeft w:val="0"/>
      <w:marRight w:val="0"/>
      <w:marTop w:val="0"/>
      <w:marBottom w:val="0"/>
      <w:divBdr>
        <w:top w:val="none" w:sz="0" w:space="0" w:color="auto"/>
        <w:left w:val="none" w:sz="0" w:space="0" w:color="auto"/>
        <w:bottom w:val="none" w:sz="0" w:space="0" w:color="auto"/>
        <w:right w:val="none" w:sz="0" w:space="0" w:color="auto"/>
      </w:divBdr>
    </w:div>
    <w:div w:id="532503901">
      <w:bodyDiv w:val="1"/>
      <w:marLeft w:val="0"/>
      <w:marRight w:val="0"/>
      <w:marTop w:val="0"/>
      <w:marBottom w:val="0"/>
      <w:divBdr>
        <w:top w:val="none" w:sz="0" w:space="0" w:color="auto"/>
        <w:left w:val="none" w:sz="0" w:space="0" w:color="auto"/>
        <w:bottom w:val="none" w:sz="0" w:space="0" w:color="auto"/>
        <w:right w:val="none" w:sz="0" w:space="0" w:color="auto"/>
      </w:divBdr>
    </w:div>
    <w:div w:id="540481062">
      <w:bodyDiv w:val="1"/>
      <w:marLeft w:val="0"/>
      <w:marRight w:val="0"/>
      <w:marTop w:val="0"/>
      <w:marBottom w:val="0"/>
      <w:divBdr>
        <w:top w:val="none" w:sz="0" w:space="0" w:color="auto"/>
        <w:left w:val="none" w:sz="0" w:space="0" w:color="auto"/>
        <w:bottom w:val="none" w:sz="0" w:space="0" w:color="auto"/>
        <w:right w:val="none" w:sz="0" w:space="0" w:color="auto"/>
      </w:divBdr>
    </w:div>
    <w:div w:id="541866367">
      <w:bodyDiv w:val="1"/>
      <w:marLeft w:val="0"/>
      <w:marRight w:val="0"/>
      <w:marTop w:val="0"/>
      <w:marBottom w:val="0"/>
      <w:divBdr>
        <w:top w:val="none" w:sz="0" w:space="0" w:color="auto"/>
        <w:left w:val="none" w:sz="0" w:space="0" w:color="auto"/>
        <w:bottom w:val="none" w:sz="0" w:space="0" w:color="auto"/>
        <w:right w:val="none" w:sz="0" w:space="0" w:color="auto"/>
      </w:divBdr>
    </w:div>
    <w:div w:id="559557606">
      <w:bodyDiv w:val="1"/>
      <w:marLeft w:val="0"/>
      <w:marRight w:val="0"/>
      <w:marTop w:val="0"/>
      <w:marBottom w:val="0"/>
      <w:divBdr>
        <w:top w:val="none" w:sz="0" w:space="0" w:color="auto"/>
        <w:left w:val="none" w:sz="0" w:space="0" w:color="auto"/>
        <w:bottom w:val="none" w:sz="0" w:space="0" w:color="auto"/>
        <w:right w:val="none" w:sz="0" w:space="0" w:color="auto"/>
      </w:divBdr>
    </w:div>
    <w:div w:id="564951212">
      <w:bodyDiv w:val="1"/>
      <w:marLeft w:val="0"/>
      <w:marRight w:val="0"/>
      <w:marTop w:val="0"/>
      <w:marBottom w:val="0"/>
      <w:divBdr>
        <w:top w:val="none" w:sz="0" w:space="0" w:color="auto"/>
        <w:left w:val="none" w:sz="0" w:space="0" w:color="auto"/>
        <w:bottom w:val="none" w:sz="0" w:space="0" w:color="auto"/>
        <w:right w:val="none" w:sz="0" w:space="0" w:color="auto"/>
      </w:divBdr>
    </w:div>
    <w:div w:id="585261206">
      <w:bodyDiv w:val="1"/>
      <w:marLeft w:val="0"/>
      <w:marRight w:val="0"/>
      <w:marTop w:val="0"/>
      <w:marBottom w:val="0"/>
      <w:divBdr>
        <w:top w:val="none" w:sz="0" w:space="0" w:color="auto"/>
        <w:left w:val="none" w:sz="0" w:space="0" w:color="auto"/>
        <w:bottom w:val="none" w:sz="0" w:space="0" w:color="auto"/>
        <w:right w:val="none" w:sz="0" w:space="0" w:color="auto"/>
      </w:divBdr>
    </w:div>
    <w:div w:id="603806857">
      <w:bodyDiv w:val="1"/>
      <w:marLeft w:val="0"/>
      <w:marRight w:val="0"/>
      <w:marTop w:val="0"/>
      <w:marBottom w:val="0"/>
      <w:divBdr>
        <w:top w:val="none" w:sz="0" w:space="0" w:color="auto"/>
        <w:left w:val="none" w:sz="0" w:space="0" w:color="auto"/>
        <w:bottom w:val="none" w:sz="0" w:space="0" w:color="auto"/>
        <w:right w:val="none" w:sz="0" w:space="0" w:color="auto"/>
      </w:divBdr>
    </w:div>
    <w:div w:id="619915274">
      <w:bodyDiv w:val="1"/>
      <w:marLeft w:val="0"/>
      <w:marRight w:val="0"/>
      <w:marTop w:val="0"/>
      <w:marBottom w:val="0"/>
      <w:divBdr>
        <w:top w:val="none" w:sz="0" w:space="0" w:color="auto"/>
        <w:left w:val="none" w:sz="0" w:space="0" w:color="auto"/>
        <w:bottom w:val="none" w:sz="0" w:space="0" w:color="auto"/>
        <w:right w:val="none" w:sz="0" w:space="0" w:color="auto"/>
      </w:divBdr>
    </w:div>
    <w:div w:id="621227938">
      <w:bodyDiv w:val="1"/>
      <w:marLeft w:val="0"/>
      <w:marRight w:val="0"/>
      <w:marTop w:val="0"/>
      <w:marBottom w:val="0"/>
      <w:divBdr>
        <w:top w:val="none" w:sz="0" w:space="0" w:color="auto"/>
        <w:left w:val="none" w:sz="0" w:space="0" w:color="auto"/>
        <w:bottom w:val="none" w:sz="0" w:space="0" w:color="auto"/>
        <w:right w:val="none" w:sz="0" w:space="0" w:color="auto"/>
      </w:divBdr>
    </w:div>
    <w:div w:id="639922439">
      <w:bodyDiv w:val="1"/>
      <w:marLeft w:val="0"/>
      <w:marRight w:val="0"/>
      <w:marTop w:val="0"/>
      <w:marBottom w:val="0"/>
      <w:divBdr>
        <w:top w:val="none" w:sz="0" w:space="0" w:color="auto"/>
        <w:left w:val="none" w:sz="0" w:space="0" w:color="auto"/>
        <w:bottom w:val="none" w:sz="0" w:space="0" w:color="auto"/>
        <w:right w:val="none" w:sz="0" w:space="0" w:color="auto"/>
      </w:divBdr>
    </w:div>
    <w:div w:id="642076551">
      <w:bodyDiv w:val="1"/>
      <w:marLeft w:val="0"/>
      <w:marRight w:val="0"/>
      <w:marTop w:val="0"/>
      <w:marBottom w:val="0"/>
      <w:divBdr>
        <w:top w:val="none" w:sz="0" w:space="0" w:color="auto"/>
        <w:left w:val="none" w:sz="0" w:space="0" w:color="auto"/>
        <w:bottom w:val="none" w:sz="0" w:space="0" w:color="auto"/>
        <w:right w:val="none" w:sz="0" w:space="0" w:color="auto"/>
      </w:divBdr>
    </w:div>
    <w:div w:id="662975413">
      <w:bodyDiv w:val="1"/>
      <w:marLeft w:val="0"/>
      <w:marRight w:val="0"/>
      <w:marTop w:val="0"/>
      <w:marBottom w:val="0"/>
      <w:divBdr>
        <w:top w:val="none" w:sz="0" w:space="0" w:color="auto"/>
        <w:left w:val="none" w:sz="0" w:space="0" w:color="auto"/>
        <w:bottom w:val="none" w:sz="0" w:space="0" w:color="auto"/>
        <w:right w:val="none" w:sz="0" w:space="0" w:color="auto"/>
      </w:divBdr>
    </w:div>
    <w:div w:id="664094805">
      <w:bodyDiv w:val="1"/>
      <w:marLeft w:val="0"/>
      <w:marRight w:val="0"/>
      <w:marTop w:val="0"/>
      <w:marBottom w:val="0"/>
      <w:divBdr>
        <w:top w:val="none" w:sz="0" w:space="0" w:color="auto"/>
        <w:left w:val="none" w:sz="0" w:space="0" w:color="auto"/>
        <w:bottom w:val="none" w:sz="0" w:space="0" w:color="auto"/>
        <w:right w:val="none" w:sz="0" w:space="0" w:color="auto"/>
      </w:divBdr>
    </w:div>
    <w:div w:id="666707332">
      <w:bodyDiv w:val="1"/>
      <w:marLeft w:val="0"/>
      <w:marRight w:val="0"/>
      <w:marTop w:val="0"/>
      <w:marBottom w:val="0"/>
      <w:divBdr>
        <w:top w:val="none" w:sz="0" w:space="0" w:color="auto"/>
        <w:left w:val="none" w:sz="0" w:space="0" w:color="auto"/>
        <w:bottom w:val="none" w:sz="0" w:space="0" w:color="auto"/>
        <w:right w:val="none" w:sz="0" w:space="0" w:color="auto"/>
      </w:divBdr>
    </w:div>
    <w:div w:id="703947545">
      <w:bodyDiv w:val="1"/>
      <w:marLeft w:val="0"/>
      <w:marRight w:val="0"/>
      <w:marTop w:val="0"/>
      <w:marBottom w:val="0"/>
      <w:divBdr>
        <w:top w:val="none" w:sz="0" w:space="0" w:color="auto"/>
        <w:left w:val="none" w:sz="0" w:space="0" w:color="auto"/>
        <w:bottom w:val="none" w:sz="0" w:space="0" w:color="auto"/>
        <w:right w:val="none" w:sz="0" w:space="0" w:color="auto"/>
      </w:divBdr>
    </w:div>
    <w:div w:id="710425747">
      <w:bodyDiv w:val="1"/>
      <w:marLeft w:val="0"/>
      <w:marRight w:val="0"/>
      <w:marTop w:val="0"/>
      <w:marBottom w:val="0"/>
      <w:divBdr>
        <w:top w:val="none" w:sz="0" w:space="0" w:color="auto"/>
        <w:left w:val="none" w:sz="0" w:space="0" w:color="auto"/>
        <w:bottom w:val="none" w:sz="0" w:space="0" w:color="auto"/>
        <w:right w:val="none" w:sz="0" w:space="0" w:color="auto"/>
      </w:divBdr>
      <w:divsChild>
        <w:div w:id="1354258196">
          <w:marLeft w:val="446"/>
          <w:marRight w:val="0"/>
          <w:marTop w:val="0"/>
          <w:marBottom w:val="0"/>
          <w:divBdr>
            <w:top w:val="none" w:sz="0" w:space="0" w:color="auto"/>
            <w:left w:val="none" w:sz="0" w:space="0" w:color="auto"/>
            <w:bottom w:val="none" w:sz="0" w:space="0" w:color="auto"/>
            <w:right w:val="none" w:sz="0" w:space="0" w:color="auto"/>
          </w:divBdr>
        </w:div>
      </w:divsChild>
    </w:div>
    <w:div w:id="712002466">
      <w:bodyDiv w:val="1"/>
      <w:marLeft w:val="0"/>
      <w:marRight w:val="0"/>
      <w:marTop w:val="0"/>
      <w:marBottom w:val="0"/>
      <w:divBdr>
        <w:top w:val="none" w:sz="0" w:space="0" w:color="auto"/>
        <w:left w:val="none" w:sz="0" w:space="0" w:color="auto"/>
        <w:bottom w:val="none" w:sz="0" w:space="0" w:color="auto"/>
        <w:right w:val="none" w:sz="0" w:space="0" w:color="auto"/>
      </w:divBdr>
    </w:div>
    <w:div w:id="714041884">
      <w:bodyDiv w:val="1"/>
      <w:marLeft w:val="0"/>
      <w:marRight w:val="0"/>
      <w:marTop w:val="0"/>
      <w:marBottom w:val="0"/>
      <w:divBdr>
        <w:top w:val="none" w:sz="0" w:space="0" w:color="auto"/>
        <w:left w:val="none" w:sz="0" w:space="0" w:color="auto"/>
        <w:bottom w:val="none" w:sz="0" w:space="0" w:color="auto"/>
        <w:right w:val="none" w:sz="0" w:space="0" w:color="auto"/>
      </w:divBdr>
    </w:div>
    <w:div w:id="719861341">
      <w:bodyDiv w:val="1"/>
      <w:marLeft w:val="0"/>
      <w:marRight w:val="0"/>
      <w:marTop w:val="0"/>
      <w:marBottom w:val="0"/>
      <w:divBdr>
        <w:top w:val="none" w:sz="0" w:space="0" w:color="auto"/>
        <w:left w:val="none" w:sz="0" w:space="0" w:color="auto"/>
        <w:bottom w:val="none" w:sz="0" w:space="0" w:color="auto"/>
        <w:right w:val="none" w:sz="0" w:space="0" w:color="auto"/>
      </w:divBdr>
    </w:div>
    <w:div w:id="751321943">
      <w:bodyDiv w:val="1"/>
      <w:marLeft w:val="0"/>
      <w:marRight w:val="0"/>
      <w:marTop w:val="0"/>
      <w:marBottom w:val="0"/>
      <w:divBdr>
        <w:top w:val="none" w:sz="0" w:space="0" w:color="auto"/>
        <w:left w:val="none" w:sz="0" w:space="0" w:color="auto"/>
        <w:bottom w:val="none" w:sz="0" w:space="0" w:color="auto"/>
        <w:right w:val="none" w:sz="0" w:space="0" w:color="auto"/>
      </w:divBdr>
    </w:div>
    <w:div w:id="759328030">
      <w:bodyDiv w:val="1"/>
      <w:marLeft w:val="0"/>
      <w:marRight w:val="0"/>
      <w:marTop w:val="0"/>
      <w:marBottom w:val="0"/>
      <w:divBdr>
        <w:top w:val="none" w:sz="0" w:space="0" w:color="auto"/>
        <w:left w:val="none" w:sz="0" w:space="0" w:color="auto"/>
        <w:bottom w:val="none" w:sz="0" w:space="0" w:color="auto"/>
        <w:right w:val="none" w:sz="0" w:space="0" w:color="auto"/>
      </w:divBdr>
    </w:div>
    <w:div w:id="763067473">
      <w:bodyDiv w:val="1"/>
      <w:marLeft w:val="0"/>
      <w:marRight w:val="0"/>
      <w:marTop w:val="0"/>
      <w:marBottom w:val="0"/>
      <w:divBdr>
        <w:top w:val="none" w:sz="0" w:space="0" w:color="auto"/>
        <w:left w:val="none" w:sz="0" w:space="0" w:color="auto"/>
        <w:bottom w:val="none" w:sz="0" w:space="0" w:color="auto"/>
        <w:right w:val="none" w:sz="0" w:space="0" w:color="auto"/>
      </w:divBdr>
    </w:div>
    <w:div w:id="768693464">
      <w:bodyDiv w:val="1"/>
      <w:marLeft w:val="0"/>
      <w:marRight w:val="0"/>
      <w:marTop w:val="0"/>
      <w:marBottom w:val="0"/>
      <w:divBdr>
        <w:top w:val="none" w:sz="0" w:space="0" w:color="auto"/>
        <w:left w:val="none" w:sz="0" w:space="0" w:color="auto"/>
        <w:bottom w:val="none" w:sz="0" w:space="0" w:color="auto"/>
        <w:right w:val="none" w:sz="0" w:space="0" w:color="auto"/>
      </w:divBdr>
    </w:div>
    <w:div w:id="769546367">
      <w:bodyDiv w:val="1"/>
      <w:marLeft w:val="0"/>
      <w:marRight w:val="0"/>
      <w:marTop w:val="0"/>
      <w:marBottom w:val="0"/>
      <w:divBdr>
        <w:top w:val="none" w:sz="0" w:space="0" w:color="auto"/>
        <w:left w:val="none" w:sz="0" w:space="0" w:color="auto"/>
        <w:bottom w:val="none" w:sz="0" w:space="0" w:color="auto"/>
        <w:right w:val="none" w:sz="0" w:space="0" w:color="auto"/>
      </w:divBdr>
    </w:div>
    <w:div w:id="772558274">
      <w:bodyDiv w:val="1"/>
      <w:marLeft w:val="0"/>
      <w:marRight w:val="0"/>
      <w:marTop w:val="0"/>
      <w:marBottom w:val="0"/>
      <w:divBdr>
        <w:top w:val="none" w:sz="0" w:space="0" w:color="auto"/>
        <w:left w:val="none" w:sz="0" w:space="0" w:color="auto"/>
        <w:bottom w:val="none" w:sz="0" w:space="0" w:color="auto"/>
        <w:right w:val="none" w:sz="0" w:space="0" w:color="auto"/>
      </w:divBdr>
    </w:div>
    <w:div w:id="779883942">
      <w:bodyDiv w:val="1"/>
      <w:marLeft w:val="0"/>
      <w:marRight w:val="0"/>
      <w:marTop w:val="0"/>
      <w:marBottom w:val="0"/>
      <w:divBdr>
        <w:top w:val="none" w:sz="0" w:space="0" w:color="auto"/>
        <w:left w:val="none" w:sz="0" w:space="0" w:color="auto"/>
        <w:bottom w:val="none" w:sz="0" w:space="0" w:color="auto"/>
        <w:right w:val="none" w:sz="0" w:space="0" w:color="auto"/>
      </w:divBdr>
    </w:div>
    <w:div w:id="792400984">
      <w:bodyDiv w:val="1"/>
      <w:marLeft w:val="0"/>
      <w:marRight w:val="0"/>
      <w:marTop w:val="0"/>
      <w:marBottom w:val="0"/>
      <w:divBdr>
        <w:top w:val="none" w:sz="0" w:space="0" w:color="auto"/>
        <w:left w:val="none" w:sz="0" w:space="0" w:color="auto"/>
        <w:bottom w:val="none" w:sz="0" w:space="0" w:color="auto"/>
        <w:right w:val="none" w:sz="0" w:space="0" w:color="auto"/>
      </w:divBdr>
    </w:div>
    <w:div w:id="795563167">
      <w:bodyDiv w:val="1"/>
      <w:marLeft w:val="0"/>
      <w:marRight w:val="0"/>
      <w:marTop w:val="0"/>
      <w:marBottom w:val="0"/>
      <w:divBdr>
        <w:top w:val="none" w:sz="0" w:space="0" w:color="auto"/>
        <w:left w:val="none" w:sz="0" w:space="0" w:color="auto"/>
        <w:bottom w:val="none" w:sz="0" w:space="0" w:color="auto"/>
        <w:right w:val="none" w:sz="0" w:space="0" w:color="auto"/>
      </w:divBdr>
    </w:div>
    <w:div w:id="800851694">
      <w:bodyDiv w:val="1"/>
      <w:marLeft w:val="0"/>
      <w:marRight w:val="0"/>
      <w:marTop w:val="0"/>
      <w:marBottom w:val="0"/>
      <w:divBdr>
        <w:top w:val="none" w:sz="0" w:space="0" w:color="auto"/>
        <w:left w:val="none" w:sz="0" w:space="0" w:color="auto"/>
        <w:bottom w:val="none" w:sz="0" w:space="0" w:color="auto"/>
        <w:right w:val="none" w:sz="0" w:space="0" w:color="auto"/>
      </w:divBdr>
    </w:div>
    <w:div w:id="804278191">
      <w:bodyDiv w:val="1"/>
      <w:marLeft w:val="0"/>
      <w:marRight w:val="0"/>
      <w:marTop w:val="0"/>
      <w:marBottom w:val="0"/>
      <w:divBdr>
        <w:top w:val="none" w:sz="0" w:space="0" w:color="auto"/>
        <w:left w:val="none" w:sz="0" w:space="0" w:color="auto"/>
        <w:bottom w:val="none" w:sz="0" w:space="0" w:color="auto"/>
        <w:right w:val="none" w:sz="0" w:space="0" w:color="auto"/>
      </w:divBdr>
    </w:div>
    <w:div w:id="816530029">
      <w:bodyDiv w:val="1"/>
      <w:marLeft w:val="0"/>
      <w:marRight w:val="0"/>
      <w:marTop w:val="0"/>
      <w:marBottom w:val="0"/>
      <w:divBdr>
        <w:top w:val="none" w:sz="0" w:space="0" w:color="auto"/>
        <w:left w:val="none" w:sz="0" w:space="0" w:color="auto"/>
        <w:bottom w:val="none" w:sz="0" w:space="0" w:color="auto"/>
        <w:right w:val="none" w:sz="0" w:space="0" w:color="auto"/>
      </w:divBdr>
    </w:div>
    <w:div w:id="817916564">
      <w:bodyDiv w:val="1"/>
      <w:marLeft w:val="0"/>
      <w:marRight w:val="0"/>
      <w:marTop w:val="0"/>
      <w:marBottom w:val="0"/>
      <w:divBdr>
        <w:top w:val="none" w:sz="0" w:space="0" w:color="auto"/>
        <w:left w:val="none" w:sz="0" w:space="0" w:color="auto"/>
        <w:bottom w:val="none" w:sz="0" w:space="0" w:color="auto"/>
        <w:right w:val="none" w:sz="0" w:space="0" w:color="auto"/>
      </w:divBdr>
    </w:div>
    <w:div w:id="822429101">
      <w:bodyDiv w:val="1"/>
      <w:marLeft w:val="0"/>
      <w:marRight w:val="0"/>
      <w:marTop w:val="0"/>
      <w:marBottom w:val="0"/>
      <w:divBdr>
        <w:top w:val="none" w:sz="0" w:space="0" w:color="auto"/>
        <w:left w:val="none" w:sz="0" w:space="0" w:color="auto"/>
        <w:bottom w:val="none" w:sz="0" w:space="0" w:color="auto"/>
        <w:right w:val="none" w:sz="0" w:space="0" w:color="auto"/>
      </w:divBdr>
    </w:div>
    <w:div w:id="842278146">
      <w:bodyDiv w:val="1"/>
      <w:marLeft w:val="0"/>
      <w:marRight w:val="0"/>
      <w:marTop w:val="0"/>
      <w:marBottom w:val="0"/>
      <w:divBdr>
        <w:top w:val="none" w:sz="0" w:space="0" w:color="auto"/>
        <w:left w:val="none" w:sz="0" w:space="0" w:color="auto"/>
        <w:bottom w:val="none" w:sz="0" w:space="0" w:color="auto"/>
        <w:right w:val="none" w:sz="0" w:space="0" w:color="auto"/>
      </w:divBdr>
    </w:div>
    <w:div w:id="842938541">
      <w:bodyDiv w:val="1"/>
      <w:marLeft w:val="0"/>
      <w:marRight w:val="0"/>
      <w:marTop w:val="0"/>
      <w:marBottom w:val="0"/>
      <w:divBdr>
        <w:top w:val="none" w:sz="0" w:space="0" w:color="auto"/>
        <w:left w:val="none" w:sz="0" w:space="0" w:color="auto"/>
        <w:bottom w:val="none" w:sz="0" w:space="0" w:color="auto"/>
        <w:right w:val="none" w:sz="0" w:space="0" w:color="auto"/>
      </w:divBdr>
    </w:div>
    <w:div w:id="854228683">
      <w:bodyDiv w:val="1"/>
      <w:marLeft w:val="0"/>
      <w:marRight w:val="0"/>
      <w:marTop w:val="0"/>
      <w:marBottom w:val="0"/>
      <w:divBdr>
        <w:top w:val="none" w:sz="0" w:space="0" w:color="auto"/>
        <w:left w:val="none" w:sz="0" w:space="0" w:color="auto"/>
        <w:bottom w:val="none" w:sz="0" w:space="0" w:color="auto"/>
        <w:right w:val="none" w:sz="0" w:space="0" w:color="auto"/>
      </w:divBdr>
    </w:div>
    <w:div w:id="860047815">
      <w:bodyDiv w:val="1"/>
      <w:marLeft w:val="0"/>
      <w:marRight w:val="0"/>
      <w:marTop w:val="0"/>
      <w:marBottom w:val="0"/>
      <w:divBdr>
        <w:top w:val="none" w:sz="0" w:space="0" w:color="auto"/>
        <w:left w:val="none" w:sz="0" w:space="0" w:color="auto"/>
        <w:bottom w:val="none" w:sz="0" w:space="0" w:color="auto"/>
        <w:right w:val="none" w:sz="0" w:space="0" w:color="auto"/>
      </w:divBdr>
    </w:div>
    <w:div w:id="865143206">
      <w:bodyDiv w:val="1"/>
      <w:marLeft w:val="0"/>
      <w:marRight w:val="0"/>
      <w:marTop w:val="0"/>
      <w:marBottom w:val="0"/>
      <w:divBdr>
        <w:top w:val="none" w:sz="0" w:space="0" w:color="auto"/>
        <w:left w:val="none" w:sz="0" w:space="0" w:color="auto"/>
        <w:bottom w:val="none" w:sz="0" w:space="0" w:color="auto"/>
        <w:right w:val="none" w:sz="0" w:space="0" w:color="auto"/>
      </w:divBdr>
    </w:div>
    <w:div w:id="877157423">
      <w:bodyDiv w:val="1"/>
      <w:marLeft w:val="0"/>
      <w:marRight w:val="0"/>
      <w:marTop w:val="0"/>
      <w:marBottom w:val="0"/>
      <w:divBdr>
        <w:top w:val="none" w:sz="0" w:space="0" w:color="auto"/>
        <w:left w:val="none" w:sz="0" w:space="0" w:color="auto"/>
        <w:bottom w:val="none" w:sz="0" w:space="0" w:color="auto"/>
        <w:right w:val="none" w:sz="0" w:space="0" w:color="auto"/>
      </w:divBdr>
    </w:div>
    <w:div w:id="901866503">
      <w:bodyDiv w:val="1"/>
      <w:marLeft w:val="0"/>
      <w:marRight w:val="0"/>
      <w:marTop w:val="0"/>
      <w:marBottom w:val="0"/>
      <w:divBdr>
        <w:top w:val="none" w:sz="0" w:space="0" w:color="auto"/>
        <w:left w:val="none" w:sz="0" w:space="0" w:color="auto"/>
        <w:bottom w:val="none" w:sz="0" w:space="0" w:color="auto"/>
        <w:right w:val="none" w:sz="0" w:space="0" w:color="auto"/>
      </w:divBdr>
    </w:div>
    <w:div w:id="907112862">
      <w:bodyDiv w:val="1"/>
      <w:marLeft w:val="0"/>
      <w:marRight w:val="0"/>
      <w:marTop w:val="0"/>
      <w:marBottom w:val="0"/>
      <w:divBdr>
        <w:top w:val="none" w:sz="0" w:space="0" w:color="auto"/>
        <w:left w:val="none" w:sz="0" w:space="0" w:color="auto"/>
        <w:bottom w:val="none" w:sz="0" w:space="0" w:color="auto"/>
        <w:right w:val="none" w:sz="0" w:space="0" w:color="auto"/>
      </w:divBdr>
    </w:div>
    <w:div w:id="924269912">
      <w:bodyDiv w:val="1"/>
      <w:marLeft w:val="0"/>
      <w:marRight w:val="0"/>
      <w:marTop w:val="0"/>
      <w:marBottom w:val="0"/>
      <w:divBdr>
        <w:top w:val="none" w:sz="0" w:space="0" w:color="auto"/>
        <w:left w:val="none" w:sz="0" w:space="0" w:color="auto"/>
        <w:bottom w:val="none" w:sz="0" w:space="0" w:color="auto"/>
        <w:right w:val="none" w:sz="0" w:space="0" w:color="auto"/>
      </w:divBdr>
    </w:div>
    <w:div w:id="928543580">
      <w:bodyDiv w:val="1"/>
      <w:marLeft w:val="0"/>
      <w:marRight w:val="0"/>
      <w:marTop w:val="0"/>
      <w:marBottom w:val="0"/>
      <w:divBdr>
        <w:top w:val="none" w:sz="0" w:space="0" w:color="auto"/>
        <w:left w:val="none" w:sz="0" w:space="0" w:color="auto"/>
        <w:bottom w:val="none" w:sz="0" w:space="0" w:color="auto"/>
        <w:right w:val="none" w:sz="0" w:space="0" w:color="auto"/>
      </w:divBdr>
    </w:div>
    <w:div w:id="959142858">
      <w:bodyDiv w:val="1"/>
      <w:marLeft w:val="0"/>
      <w:marRight w:val="0"/>
      <w:marTop w:val="0"/>
      <w:marBottom w:val="0"/>
      <w:divBdr>
        <w:top w:val="none" w:sz="0" w:space="0" w:color="auto"/>
        <w:left w:val="none" w:sz="0" w:space="0" w:color="auto"/>
        <w:bottom w:val="none" w:sz="0" w:space="0" w:color="auto"/>
        <w:right w:val="none" w:sz="0" w:space="0" w:color="auto"/>
      </w:divBdr>
    </w:div>
    <w:div w:id="989095209">
      <w:bodyDiv w:val="1"/>
      <w:marLeft w:val="0"/>
      <w:marRight w:val="0"/>
      <w:marTop w:val="0"/>
      <w:marBottom w:val="0"/>
      <w:divBdr>
        <w:top w:val="none" w:sz="0" w:space="0" w:color="auto"/>
        <w:left w:val="none" w:sz="0" w:space="0" w:color="auto"/>
        <w:bottom w:val="none" w:sz="0" w:space="0" w:color="auto"/>
        <w:right w:val="none" w:sz="0" w:space="0" w:color="auto"/>
      </w:divBdr>
    </w:div>
    <w:div w:id="1010910126">
      <w:bodyDiv w:val="1"/>
      <w:marLeft w:val="0"/>
      <w:marRight w:val="0"/>
      <w:marTop w:val="0"/>
      <w:marBottom w:val="0"/>
      <w:divBdr>
        <w:top w:val="none" w:sz="0" w:space="0" w:color="auto"/>
        <w:left w:val="none" w:sz="0" w:space="0" w:color="auto"/>
        <w:bottom w:val="none" w:sz="0" w:space="0" w:color="auto"/>
        <w:right w:val="none" w:sz="0" w:space="0" w:color="auto"/>
      </w:divBdr>
    </w:div>
    <w:div w:id="1049767212">
      <w:bodyDiv w:val="1"/>
      <w:marLeft w:val="0"/>
      <w:marRight w:val="0"/>
      <w:marTop w:val="0"/>
      <w:marBottom w:val="0"/>
      <w:divBdr>
        <w:top w:val="none" w:sz="0" w:space="0" w:color="auto"/>
        <w:left w:val="none" w:sz="0" w:space="0" w:color="auto"/>
        <w:bottom w:val="none" w:sz="0" w:space="0" w:color="auto"/>
        <w:right w:val="none" w:sz="0" w:space="0" w:color="auto"/>
      </w:divBdr>
    </w:div>
    <w:div w:id="1057783670">
      <w:bodyDiv w:val="1"/>
      <w:marLeft w:val="0"/>
      <w:marRight w:val="0"/>
      <w:marTop w:val="0"/>
      <w:marBottom w:val="0"/>
      <w:divBdr>
        <w:top w:val="none" w:sz="0" w:space="0" w:color="auto"/>
        <w:left w:val="none" w:sz="0" w:space="0" w:color="auto"/>
        <w:bottom w:val="none" w:sz="0" w:space="0" w:color="auto"/>
        <w:right w:val="none" w:sz="0" w:space="0" w:color="auto"/>
      </w:divBdr>
    </w:div>
    <w:div w:id="1068503395">
      <w:bodyDiv w:val="1"/>
      <w:marLeft w:val="0"/>
      <w:marRight w:val="0"/>
      <w:marTop w:val="0"/>
      <w:marBottom w:val="0"/>
      <w:divBdr>
        <w:top w:val="none" w:sz="0" w:space="0" w:color="auto"/>
        <w:left w:val="none" w:sz="0" w:space="0" w:color="auto"/>
        <w:bottom w:val="none" w:sz="0" w:space="0" w:color="auto"/>
        <w:right w:val="none" w:sz="0" w:space="0" w:color="auto"/>
      </w:divBdr>
    </w:div>
    <w:div w:id="1074358720">
      <w:bodyDiv w:val="1"/>
      <w:marLeft w:val="0"/>
      <w:marRight w:val="0"/>
      <w:marTop w:val="0"/>
      <w:marBottom w:val="0"/>
      <w:divBdr>
        <w:top w:val="none" w:sz="0" w:space="0" w:color="auto"/>
        <w:left w:val="none" w:sz="0" w:space="0" w:color="auto"/>
        <w:bottom w:val="none" w:sz="0" w:space="0" w:color="auto"/>
        <w:right w:val="none" w:sz="0" w:space="0" w:color="auto"/>
      </w:divBdr>
    </w:div>
    <w:div w:id="1088386226">
      <w:bodyDiv w:val="1"/>
      <w:marLeft w:val="0"/>
      <w:marRight w:val="0"/>
      <w:marTop w:val="0"/>
      <w:marBottom w:val="0"/>
      <w:divBdr>
        <w:top w:val="none" w:sz="0" w:space="0" w:color="auto"/>
        <w:left w:val="none" w:sz="0" w:space="0" w:color="auto"/>
        <w:bottom w:val="none" w:sz="0" w:space="0" w:color="auto"/>
        <w:right w:val="none" w:sz="0" w:space="0" w:color="auto"/>
      </w:divBdr>
    </w:div>
    <w:div w:id="1099447806">
      <w:bodyDiv w:val="1"/>
      <w:marLeft w:val="0"/>
      <w:marRight w:val="0"/>
      <w:marTop w:val="0"/>
      <w:marBottom w:val="0"/>
      <w:divBdr>
        <w:top w:val="none" w:sz="0" w:space="0" w:color="auto"/>
        <w:left w:val="none" w:sz="0" w:space="0" w:color="auto"/>
        <w:bottom w:val="none" w:sz="0" w:space="0" w:color="auto"/>
        <w:right w:val="none" w:sz="0" w:space="0" w:color="auto"/>
      </w:divBdr>
    </w:div>
    <w:div w:id="1100373832">
      <w:bodyDiv w:val="1"/>
      <w:marLeft w:val="0"/>
      <w:marRight w:val="0"/>
      <w:marTop w:val="0"/>
      <w:marBottom w:val="0"/>
      <w:divBdr>
        <w:top w:val="none" w:sz="0" w:space="0" w:color="auto"/>
        <w:left w:val="none" w:sz="0" w:space="0" w:color="auto"/>
        <w:bottom w:val="none" w:sz="0" w:space="0" w:color="auto"/>
        <w:right w:val="none" w:sz="0" w:space="0" w:color="auto"/>
      </w:divBdr>
    </w:div>
    <w:div w:id="1117600183">
      <w:bodyDiv w:val="1"/>
      <w:marLeft w:val="0"/>
      <w:marRight w:val="0"/>
      <w:marTop w:val="0"/>
      <w:marBottom w:val="0"/>
      <w:divBdr>
        <w:top w:val="none" w:sz="0" w:space="0" w:color="auto"/>
        <w:left w:val="none" w:sz="0" w:space="0" w:color="auto"/>
        <w:bottom w:val="none" w:sz="0" w:space="0" w:color="auto"/>
        <w:right w:val="none" w:sz="0" w:space="0" w:color="auto"/>
      </w:divBdr>
    </w:div>
    <w:div w:id="1121611871">
      <w:bodyDiv w:val="1"/>
      <w:marLeft w:val="0"/>
      <w:marRight w:val="0"/>
      <w:marTop w:val="0"/>
      <w:marBottom w:val="0"/>
      <w:divBdr>
        <w:top w:val="none" w:sz="0" w:space="0" w:color="auto"/>
        <w:left w:val="none" w:sz="0" w:space="0" w:color="auto"/>
        <w:bottom w:val="none" w:sz="0" w:space="0" w:color="auto"/>
        <w:right w:val="none" w:sz="0" w:space="0" w:color="auto"/>
      </w:divBdr>
    </w:div>
    <w:div w:id="1122000906">
      <w:bodyDiv w:val="1"/>
      <w:marLeft w:val="0"/>
      <w:marRight w:val="0"/>
      <w:marTop w:val="0"/>
      <w:marBottom w:val="0"/>
      <w:divBdr>
        <w:top w:val="none" w:sz="0" w:space="0" w:color="auto"/>
        <w:left w:val="none" w:sz="0" w:space="0" w:color="auto"/>
        <w:bottom w:val="none" w:sz="0" w:space="0" w:color="auto"/>
        <w:right w:val="none" w:sz="0" w:space="0" w:color="auto"/>
      </w:divBdr>
    </w:div>
    <w:div w:id="1127357518">
      <w:bodyDiv w:val="1"/>
      <w:marLeft w:val="0"/>
      <w:marRight w:val="0"/>
      <w:marTop w:val="0"/>
      <w:marBottom w:val="0"/>
      <w:divBdr>
        <w:top w:val="none" w:sz="0" w:space="0" w:color="auto"/>
        <w:left w:val="none" w:sz="0" w:space="0" w:color="auto"/>
        <w:bottom w:val="none" w:sz="0" w:space="0" w:color="auto"/>
        <w:right w:val="none" w:sz="0" w:space="0" w:color="auto"/>
      </w:divBdr>
    </w:div>
    <w:div w:id="1146629928">
      <w:bodyDiv w:val="1"/>
      <w:marLeft w:val="0"/>
      <w:marRight w:val="0"/>
      <w:marTop w:val="0"/>
      <w:marBottom w:val="0"/>
      <w:divBdr>
        <w:top w:val="none" w:sz="0" w:space="0" w:color="auto"/>
        <w:left w:val="none" w:sz="0" w:space="0" w:color="auto"/>
        <w:bottom w:val="none" w:sz="0" w:space="0" w:color="auto"/>
        <w:right w:val="none" w:sz="0" w:space="0" w:color="auto"/>
      </w:divBdr>
    </w:div>
    <w:div w:id="1151630325">
      <w:bodyDiv w:val="1"/>
      <w:marLeft w:val="0"/>
      <w:marRight w:val="0"/>
      <w:marTop w:val="0"/>
      <w:marBottom w:val="0"/>
      <w:divBdr>
        <w:top w:val="none" w:sz="0" w:space="0" w:color="auto"/>
        <w:left w:val="none" w:sz="0" w:space="0" w:color="auto"/>
        <w:bottom w:val="none" w:sz="0" w:space="0" w:color="auto"/>
        <w:right w:val="none" w:sz="0" w:space="0" w:color="auto"/>
      </w:divBdr>
    </w:div>
    <w:div w:id="1153063368">
      <w:bodyDiv w:val="1"/>
      <w:marLeft w:val="0"/>
      <w:marRight w:val="0"/>
      <w:marTop w:val="0"/>
      <w:marBottom w:val="0"/>
      <w:divBdr>
        <w:top w:val="none" w:sz="0" w:space="0" w:color="auto"/>
        <w:left w:val="none" w:sz="0" w:space="0" w:color="auto"/>
        <w:bottom w:val="none" w:sz="0" w:space="0" w:color="auto"/>
        <w:right w:val="none" w:sz="0" w:space="0" w:color="auto"/>
      </w:divBdr>
    </w:div>
    <w:div w:id="1153909484">
      <w:bodyDiv w:val="1"/>
      <w:marLeft w:val="0"/>
      <w:marRight w:val="0"/>
      <w:marTop w:val="0"/>
      <w:marBottom w:val="0"/>
      <w:divBdr>
        <w:top w:val="none" w:sz="0" w:space="0" w:color="auto"/>
        <w:left w:val="none" w:sz="0" w:space="0" w:color="auto"/>
        <w:bottom w:val="none" w:sz="0" w:space="0" w:color="auto"/>
        <w:right w:val="none" w:sz="0" w:space="0" w:color="auto"/>
      </w:divBdr>
    </w:div>
    <w:div w:id="1157646457">
      <w:bodyDiv w:val="1"/>
      <w:marLeft w:val="0"/>
      <w:marRight w:val="0"/>
      <w:marTop w:val="0"/>
      <w:marBottom w:val="0"/>
      <w:divBdr>
        <w:top w:val="none" w:sz="0" w:space="0" w:color="auto"/>
        <w:left w:val="none" w:sz="0" w:space="0" w:color="auto"/>
        <w:bottom w:val="none" w:sz="0" w:space="0" w:color="auto"/>
        <w:right w:val="none" w:sz="0" w:space="0" w:color="auto"/>
      </w:divBdr>
    </w:div>
    <w:div w:id="1159466211">
      <w:bodyDiv w:val="1"/>
      <w:marLeft w:val="0"/>
      <w:marRight w:val="0"/>
      <w:marTop w:val="0"/>
      <w:marBottom w:val="0"/>
      <w:divBdr>
        <w:top w:val="none" w:sz="0" w:space="0" w:color="auto"/>
        <w:left w:val="none" w:sz="0" w:space="0" w:color="auto"/>
        <w:bottom w:val="none" w:sz="0" w:space="0" w:color="auto"/>
        <w:right w:val="none" w:sz="0" w:space="0" w:color="auto"/>
      </w:divBdr>
      <w:divsChild>
        <w:div w:id="1482304684">
          <w:marLeft w:val="0"/>
          <w:marRight w:val="0"/>
          <w:marTop w:val="0"/>
          <w:marBottom w:val="0"/>
          <w:divBdr>
            <w:top w:val="none" w:sz="0" w:space="0" w:color="auto"/>
            <w:left w:val="none" w:sz="0" w:space="0" w:color="auto"/>
            <w:bottom w:val="none" w:sz="0" w:space="0" w:color="auto"/>
            <w:right w:val="none" w:sz="0" w:space="0" w:color="auto"/>
          </w:divBdr>
          <w:divsChild>
            <w:div w:id="44731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786043">
      <w:bodyDiv w:val="1"/>
      <w:marLeft w:val="0"/>
      <w:marRight w:val="0"/>
      <w:marTop w:val="0"/>
      <w:marBottom w:val="0"/>
      <w:divBdr>
        <w:top w:val="none" w:sz="0" w:space="0" w:color="auto"/>
        <w:left w:val="none" w:sz="0" w:space="0" w:color="auto"/>
        <w:bottom w:val="none" w:sz="0" w:space="0" w:color="auto"/>
        <w:right w:val="none" w:sz="0" w:space="0" w:color="auto"/>
      </w:divBdr>
    </w:div>
    <w:div w:id="1183666870">
      <w:bodyDiv w:val="1"/>
      <w:marLeft w:val="0"/>
      <w:marRight w:val="0"/>
      <w:marTop w:val="0"/>
      <w:marBottom w:val="0"/>
      <w:divBdr>
        <w:top w:val="none" w:sz="0" w:space="0" w:color="auto"/>
        <w:left w:val="none" w:sz="0" w:space="0" w:color="auto"/>
        <w:bottom w:val="none" w:sz="0" w:space="0" w:color="auto"/>
        <w:right w:val="none" w:sz="0" w:space="0" w:color="auto"/>
      </w:divBdr>
    </w:div>
    <w:div w:id="1200237070">
      <w:bodyDiv w:val="1"/>
      <w:marLeft w:val="0"/>
      <w:marRight w:val="0"/>
      <w:marTop w:val="0"/>
      <w:marBottom w:val="0"/>
      <w:divBdr>
        <w:top w:val="none" w:sz="0" w:space="0" w:color="auto"/>
        <w:left w:val="none" w:sz="0" w:space="0" w:color="auto"/>
        <w:bottom w:val="none" w:sz="0" w:space="0" w:color="auto"/>
        <w:right w:val="none" w:sz="0" w:space="0" w:color="auto"/>
      </w:divBdr>
    </w:div>
    <w:div w:id="1208447080">
      <w:bodyDiv w:val="1"/>
      <w:marLeft w:val="0"/>
      <w:marRight w:val="0"/>
      <w:marTop w:val="0"/>
      <w:marBottom w:val="0"/>
      <w:divBdr>
        <w:top w:val="none" w:sz="0" w:space="0" w:color="auto"/>
        <w:left w:val="none" w:sz="0" w:space="0" w:color="auto"/>
        <w:bottom w:val="none" w:sz="0" w:space="0" w:color="auto"/>
        <w:right w:val="none" w:sz="0" w:space="0" w:color="auto"/>
      </w:divBdr>
    </w:div>
    <w:div w:id="1212959929">
      <w:bodyDiv w:val="1"/>
      <w:marLeft w:val="0"/>
      <w:marRight w:val="0"/>
      <w:marTop w:val="0"/>
      <w:marBottom w:val="0"/>
      <w:divBdr>
        <w:top w:val="none" w:sz="0" w:space="0" w:color="auto"/>
        <w:left w:val="none" w:sz="0" w:space="0" w:color="auto"/>
        <w:bottom w:val="none" w:sz="0" w:space="0" w:color="auto"/>
        <w:right w:val="none" w:sz="0" w:space="0" w:color="auto"/>
      </w:divBdr>
    </w:div>
    <w:div w:id="1218588210">
      <w:bodyDiv w:val="1"/>
      <w:marLeft w:val="0"/>
      <w:marRight w:val="0"/>
      <w:marTop w:val="0"/>
      <w:marBottom w:val="0"/>
      <w:divBdr>
        <w:top w:val="none" w:sz="0" w:space="0" w:color="auto"/>
        <w:left w:val="none" w:sz="0" w:space="0" w:color="auto"/>
        <w:bottom w:val="none" w:sz="0" w:space="0" w:color="auto"/>
        <w:right w:val="none" w:sz="0" w:space="0" w:color="auto"/>
      </w:divBdr>
    </w:div>
    <w:div w:id="1220239973">
      <w:bodyDiv w:val="1"/>
      <w:marLeft w:val="0"/>
      <w:marRight w:val="0"/>
      <w:marTop w:val="0"/>
      <w:marBottom w:val="0"/>
      <w:divBdr>
        <w:top w:val="none" w:sz="0" w:space="0" w:color="auto"/>
        <w:left w:val="none" w:sz="0" w:space="0" w:color="auto"/>
        <w:bottom w:val="none" w:sz="0" w:space="0" w:color="auto"/>
        <w:right w:val="none" w:sz="0" w:space="0" w:color="auto"/>
      </w:divBdr>
    </w:div>
    <w:div w:id="1231694793">
      <w:bodyDiv w:val="1"/>
      <w:marLeft w:val="0"/>
      <w:marRight w:val="0"/>
      <w:marTop w:val="0"/>
      <w:marBottom w:val="0"/>
      <w:divBdr>
        <w:top w:val="none" w:sz="0" w:space="0" w:color="auto"/>
        <w:left w:val="none" w:sz="0" w:space="0" w:color="auto"/>
        <w:bottom w:val="none" w:sz="0" w:space="0" w:color="auto"/>
        <w:right w:val="none" w:sz="0" w:space="0" w:color="auto"/>
      </w:divBdr>
    </w:div>
    <w:div w:id="1241863148">
      <w:bodyDiv w:val="1"/>
      <w:marLeft w:val="0"/>
      <w:marRight w:val="0"/>
      <w:marTop w:val="0"/>
      <w:marBottom w:val="0"/>
      <w:divBdr>
        <w:top w:val="none" w:sz="0" w:space="0" w:color="auto"/>
        <w:left w:val="none" w:sz="0" w:space="0" w:color="auto"/>
        <w:bottom w:val="none" w:sz="0" w:space="0" w:color="auto"/>
        <w:right w:val="none" w:sz="0" w:space="0" w:color="auto"/>
      </w:divBdr>
    </w:div>
    <w:div w:id="1264875750">
      <w:bodyDiv w:val="1"/>
      <w:marLeft w:val="0"/>
      <w:marRight w:val="0"/>
      <w:marTop w:val="0"/>
      <w:marBottom w:val="0"/>
      <w:divBdr>
        <w:top w:val="none" w:sz="0" w:space="0" w:color="auto"/>
        <w:left w:val="none" w:sz="0" w:space="0" w:color="auto"/>
        <w:bottom w:val="none" w:sz="0" w:space="0" w:color="auto"/>
        <w:right w:val="none" w:sz="0" w:space="0" w:color="auto"/>
      </w:divBdr>
    </w:div>
    <w:div w:id="1273826386">
      <w:bodyDiv w:val="1"/>
      <w:marLeft w:val="0"/>
      <w:marRight w:val="0"/>
      <w:marTop w:val="0"/>
      <w:marBottom w:val="0"/>
      <w:divBdr>
        <w:top w:val="none" w:sz="0" w:space="0" w:color="auto"/>
        <w:left w:val="none" w:sz="0" w:space="0" w:color="auto"/>
        <w:bottom w:val="none" w:sz="0" w:space="0" w:color="auto"/>
        <w:right w:val="none" w:sz="0" w:space="0" w:color="auto"/>
      </w:divBdr>
    </w:div>
    <w:div w:id="1276862347">
      <w:bodyDiv w:val="1"/>
      <w:marLeft w:val="0"/>
      <w:marRight w:val="0"/>
      <w:marTop w:val="0"/>
      <w:marBottom w:val="0"/>
      <w:divBdr>
        <w:top w:val="none" w:sz="0" w:space="0" w:color="auto"/>
        <w:left w:val="none" w:sz="0" w:space="0" w:color="auto"/>
        <w:bottom w:val="none" w:sz="0" w:space="0" w:color="auto"/>
        <w:right w:val="none" w:sz="0" w:space="0" w:color="auto"/>
      </w:divBdr>
    </w:div>
    <w:div w:id="1282876679">
      <w:bodyDiv w:val="1"/>
      <w:marLeft w:val="0"/>
      <w:marRight w:val="0"/>
      <w:marTop w:val="0"/>
      <w:marBottom w:val="0"/>
      <w:divBdr>
        <w:top w:val="none" w:sz="0" w:space="0" w:color="auto"/>
        <w:left w:val="none" w:sz="0" w:space="0" w:color="auto"/>
        <w:bottom w:val="none" w:sz="0" w:space="0" w:color="auto"/>
        <w:right w:val="none" w:sz="0" w:space="0" w:color="auto"/>
      </w:divBdr>
    </w:div>
    <w:div w:id="1286548605">
      <w:bodyDiv w:val="1"/>
      <w:marLeft w:val="0"/>
      <w:marRight w:val="0"/>
      <w:marTop w:val="0"/>
      <w:marBottom w:val="0"/>
      <w:divBdr>
        <w:top w:val="none" w:sz="0" w:space="0" w:color="auto"/>
        <w:left w:val="none" w:sz="0" w:space="0" w:color="auto"/>
        <w:bottom w:val="none" w:sz="0" w:space="0" w:color="auto"/>
        <w:right w:val="none" w:sz="0" w:space="0" w:color="auto"/>
      </w:divBdr>
    </w:div>
    <w:div w:id="1299842754">
      <w:bodyDiv w:val="1"/>
      <w:marLeft w:val="0"/>
      <w:marRight w:val="0"/>
      <w:marTop w:val="0"/>
      <w:marBottom w:val="0"/>
      <w:divBdr>
        <w:top w:val="none" w:sz="0" w:space="0" w:color="auto"/>
        <w:left w:val="none" w:sz="0" w:space="0" w:color="auto"/>
        <w:bottom w:val="none" w:sz="0" w:space="0" w:color="auto"/>
        <w:right w:val="none" w:sz="0" w:space="0" w:color="auto"/>
      </w:divBdr>
    </w:div>
    <w:div w:id="1309358255">
      <w:bodyDiv w:val="1"/>
      <w:marLeft w:val="0"/>
      <w:marRight w:val="0"/>
      <w:marTop w:val="0"/>
      <w:marBottom w:val="0"/>
      <w:divBdr>
        <w:top w:val="none" w:sz="0" w:space="0" w:color="auto"/>
        <w:left w:val="none" w:sz="0" w:space="0" w:color="auto"/>
        <w:bottom w:val="none" w:sz="0" w:space="0" w:color="auto"/>
        <w:right w:val="none" w:sz="0" w:space="0" w:color="auto"/>
      </w:divBdr>
    </w:div>
    <w:div w:id="1335298512">
      <w:bodyDiv w:val="1"/>
      <w:marLeft w:val="0"/>
      <w:marRight w:val="0"/>
      <w:marTop w:val="0"/>
      <w:marBottom w:val="0"/>
      <w:divBdr>
        <w:top w:val="none" w:sz="0" w:space="0" w:color="auto"/>
        <w:left w:val="none" w:sz="0" w:space="0" w:color="auto"/>
        <w:bottom w:val="none" w:sz="0" w:space="0" w:color="auto"/>
        <w:right w:val="none" w:sz="0" w:space="0" w:color="auto"/>
      </w:divBdr>
    </w:div>
    <w:div w:id="1337464612">
      <w:bodyDiv w:val="1"/>
      <w:marLeft w:val="0"/>
      <w:marRight w:val="0"/>
      <w:marTop w:val="0"/>
      <w:marBottom w:val="0"/>
      <w:divBdr>
        <w:top w:val="none" w:sz="0" w:space="0" w:color="auto"/>
        <w:left w:val="none" w:sz="0" w:space="0" w:color="auto"/>
        <w:bottom w:val="none" w:sz="0" w:space="0" w:color="auto"/>
        <w:right w:val="none" w:sz="0" w:space="0" w:color="auto"/>
      </w:divBdr>
    </w:div>
    <w:div w:id="1346590019">
      <w:bodyDiv w:val="1"/>
      <w:marLeft w:val="0"/>
      <w:marRight w:val="0"/>
      <w:marTop w:val="0"/>
      <w:marBottom w:val="0"/>
      <w:divBdr>
        <w:top w:val="none" w:sz="0" w:space="0" w:color="auto"/>
        <w:left w:val="none" w:sz="0" w:space="0" w:color="auto"/>
        <w:bottom w:val="none" w:sz="0" w:space="0" w:color="auto"/>
        <w:right w:val="none" w:sz="0" w:space="0" w:color="auto"/>
      </w:divBdr>
    </w:div>
    <w:div w:id="1353460242">
      <w:bodyDiv w:val="1"/>
      <w:marLeft w:val="0"/>
      <w:marRight w:val="0"/>
      <w:marTop w:val="0"/>
      <w:marBottom w:val="0"/>
      <w:divBdr>
        <w:top w:val="none" w:sz="0" w:space="0" w:color="auto"/>
        <w:left w:val="none" w:sz="0" w:space="0" w:color="auto"/>
        <w:bottom w:val="none" w:sz="0" w:space="0" w:color="auto"/>
        <w:right w:val="none" w:sz="0" w:space="0" w:color="auto"/>
      </w:divBdr>
    </w:div>
    <w:div w:id="1372532448">
      <w:bodyDiv w:val="1"/>
      <w:marLeft w:val="0"/>
      <w:marRight w:val="0"/>
      <w:marTop w:val="0"/>
      <w:marBottom w:val="0"/>
      <w:divBdr>
        <w:top w:val="none" w:sz="0" w:space="0" w:color="auto"/>
        <w:left w:val="none" w:sz="0" w:space="0" w:color="auto"/>
        <w:bottom w:val="none" w:sz="0" w:space="0" w:color="auto"/>
        <w:right w:val="none" w:sz="0" w:space="0" w:color="auto"/>
      </w:divBdr>
    </w:div>
    <w:div w:id="1384794394">
      <w:bodyDiv w:val="1"/>
      <w:marLeft w:val="0"/>
      <w:marRight w:val="0"/>
      <w:marTop w:val="0"/>
      <w:marBottom w:val="0"/>
      <w:divBdr>
        <w:top w:val="none" w:sz="0" w:space="0" w:color="auto"/>
        <w:left w:val="none" w:sz="0" w:space="0" w:color="auto"/>
        <w:bottom w:val="none" w:sz="0" w:space="0" w:color="auto"/>
        <w:right w:val="none" w:sz="0" w:space="0" w:color="auto"/>
      </w:divBdr>
    </w:div>
    <w:div w:id="1386761033">
      <w:bodyDiv w:val="1"/>
      <w:marLeft w:val="0"/>
      <w:marRight w:val="0"/>
      <w:marTop w:val="0"/>
      <w:marBottom w:val="0"/>
      <w:divBdr>
        <w:top w:val="none" w:sz="0" w:space="0" w:color="auto"/>
        <w:left w:val="none" w:sz="0" w:space="0" w:color="auto"/>
        <w:bottom w:val="none" w:sz="0" w:space="0" w:color="auto"/>
        <w:right w:val="none" w:sz="0" w:space="0" w:color="auto"/>
      </w:divBdr>
    </w:div>
    <w:div w:id="1391616079">
      <w:bodyDiv w:val="1"/>
      <w:marLeft w:val="0"/>
      <w:marRight w:val="0"/>
      <w:marTop w:val="0"/>
      <w:marBottom w:val="0"/>
      <w:divBdr>
        <w:top w:val="none" w:sz="0" w:space="0" w:color="auto"/>
        <w:left w:val="none" w:sz="0" w:space="0" w:color="auto"/>
        <w:bottom w:val="none" w:sz="0" w:space="0" w:color="auto"/>
        <w:right w:val="none" w:sz="0" w:space="0" w:color="auto"/>
      </w:divBdr>
    </w:div>
    <w:div w:id="1400859799">
      <w:bodyDiv w:val="1"/>
      <w:marLeft w:val="0"/>
      <w:marRight w:val="0"/>
      <w:marTop w:val="0"/>
      <w:marBottom w:val="0"/>
      <w:divBdr>
        <w:top w:val="none" w:sz="0" w:space="0" w:color="auto"/>
        <w:left w:val="none" w:sz="0" w:space="0" w:color="auto"/>
        <w:bottom w:val="none" w:sz="0" w:space="0" w:color="auto"/>
        <w:right w:val="none" w:sz="0" w:space="0" w:color="auto"/>
      </w:divBdr>
    </w:div>
    <w:div w:id="1408310941">
      <w:bodyDiv w:val="1"/>
      <w:marLeft w:val="0"/>
      <w:marRight w:val="0"/>
      <w:marTop w:val="0"/>
      <w:marBottom w:val="0"/>
      <w:divBdr>
        <w:top w:val="none" w:sz="0" w:space="0" w:color="auto"/>
        <w:left w:val="none" w:sz="0" w:space="0" w:color="auto"/>
        <w:bottom w:val="none" w:sz="0" w:space="0" w:color="auto"/>
        <w:right w:val="none" w:sz="0" w:space="0" w:color="auto"/>
      </w:divBdr>
    </w:div>
    <w:div w:id="1427072926">
      <w:bodyDiv w:val="1"/>
      <w:marLeft w:val="0"/>
      <w:marRight w:val="0"/>
      <w:marTop w:val="0"/>
      <w:marBottom w:val="0"/>
      <w:divBdr>
        <w:top w:val="none" w:sz="0" w:space="0" w:color="auto"/>
        <w:left w:val="none" w:sz="0" w:space="0" w:color="auto"/>
        <w:bottom w:val="none" w:sz="0" w:space="0" w:color="auto"/>
        <w:right w:val="none" w:sz="0" w:space="0" w:color="auto"/>
      </w:divBdr>
    </w:div>
    <w:div w:id="1436294325">
      <w:bodyDiv w:val="1"/>
      <w:marLeft w:val="0"/>
      <w:marRight w:val="0"/>
      <w:marTop w:val="0"/>
      <w:marBottom w:val="0"/>
      <w:divBdr>
        <w:top w:val="none" w:sz="0" w:space="0" w:color="auto"/>
        <w:left w:val="none" w:sz="0" w:space="0" w:color="auto"/>
        <w:bottom w:val="none" w:sz="0" w:space="0" w:color="auto"/>
        <w:right w:val="none" w:sz="0" w:space="0" w:color="auto"/>
      </w:divBdr>
    </w:div>
    <w:div w:id="1446465259">
      <w:bodyDiv w:val="1"/>
      <w:marLeft w:val="0"/>
      <w:marRight w:val="0"/>
      <w:marTop w:val="0"/>
      <w:marBottom w:val="0"/>
      <w:divBdr>
        <w:top w:val="none" w:sz="0" w:space="0" w:color="auto"/>
        <w:left w:val="none" w:sz="0" w:space="0" w:color="auto"/>
        <w:bottom w:val="none" w:sz="0" w:space="0" w:color="auto"/>
        <w:right w:val="none" w:sz="0" w:space="0" w:color="auto"/>
      </w:divBdr>
    </w:div>
    <w:div w:id="1447236817">
      <w:bodyDiv w:val="1"/>
      <w:marLeft w:val="0"/>
      <w:marRight w:val="0"/>
      <w:marTop w:val="0"/>
      <w:marBottom w:val="0"/>
      <w:divBdr>
        <w:top w:val="none" w:sz="0" w:space="0" w:color="auto"/>
        <w:left w:val="none" w:sz="0" w:space="0" w:color="auto"/>
        <w:bottom w:val="none" w:sz="0" w:space="0" w:color="auto"/>
        <w:right w:val="none" w:sz="0" w:space="0" w:color="auto"/>
      </w:divBdr>
    </w:div>
    <w:div w:id="1455177061">
      <w:bodyDiv w:val="1"/>
      <w:marLeft w:val="0"/>
      <w:marRight w:val="0"/>
      <w:marTop w:val="0"/>
      <w:marBottom w:val="0"/>
      <w:divBdr>
        <w:top w:val="none" w:sz="0" w:space="0" w:color="auto"/>
        <w:left w:val="none" w:sz="0" w:space="0" w:color="auto"/>
        <w:bottom w:val="none" w:sz="0" w:space="0" w:color="auto"/>
        <w:right w:val="none" w:sz="0" w:space="0" w:color="auto"/>
      </w:divBdr>
    </w:div>
    <w:div w:id="1457529967">
      <w:bodyDiv w:val="1"/>
      <w:marLeft w:val="0"/>
      <w:marRight w:val="0"/>
      <w:marTop w:val="0"/>
      <w:marBottom w:val="0"/>
      <w:divBdr>
        <w:top w:val="none" w:sz="0" w:space="0" w:color="auto"/>
        <w:left w:val="none" w:sz="0" w:space="0" w:color="auto"/>
        <w:bottom w:val="none" w:sz="0" w:space="0" w:color="auto"/>
        <w:right w:val="none" w:sz="0" w:space="0" w:color="auto"/>
      </w:divBdr>
    </w:div>
    <w:div w:id="1460416688">
      <w:bodyDiv w:val="1"/>
      <w:marLeft w:val="0"/>
      <w:marRight w:val="0"/>
      <w:marTop w:val="0"/>
      <w:marBottom w:val="0"/>
      <w:divBdr>
        <w:top w:val="none" w:sz="0" w:space="0" w:color="auto"/>
        <w:left w:val="none" w:sz="0" w:space="0" w:color="auto"/>
        <w:bottom w:val="none" w:sz="0" w:space="0" w:color="auto"/>
        <w:right w:val="none" w:sz="0" w:space="0" w:color="auto"/>
      </w:divBdr>
    </w:div>
    <w:div w:id="1465267453">
      <w:bodyDiv w:val="1"/>
      <w:marLeft w:val="0"/>
      <w:marRight w:val="0"/>
      <w:marTop w:val="0"/>
      <w:marBottom w:val="0"/>
      <w:divBdr>
        <w:top w:val="none" w:sz="0" w:space="0" w:color="auto"/>
        <w:left w:val="none" w:sz="0" w:space="0" w:color="auto"/>
        <w:bottom w:val="none" w:sz="0" w:space="0" w:color="auto"/>
        <w:right w:val="none" w:sz="0" w:space="0" w:color="auto"/>
      </w:divBdr>
    </w:div>
    <w:div w:id="1466115813">
      <w:bodyDiv w:val="1"/>
      <w:marLeft w:val="0"/>
      <w:marRight w:val="0"/>
      <w:marTop w:val="0"/>
      <w:marBottom w:val="0"/>
      <w:divBdr>
        <w:top w:val="none" w:sz="0" w:space="0" w:color="auto"/>
        <w:left w:val="none" w:sz="0" w:space="0" w:color="auto"/>
        <w:bottom w:val="none" w:sz="0" w:space="0" w:color="auto"/>
        <w:right w:val="none" w:sz="0" w:space="0" w:color="auto"/>
      </w:divBdr>
    </w:div>
    <w:div w:id="1469781716">
      <w:bodyDiv w:val="1"/>
      <w:marLeft w:val="0"/>
      <w:marRight w:val="0"/>
      <w:marTop w:val="0"/>
      <w:marBottom w:val="0"/>
      <w:divBdr>
        <w:top w:val="none" w:sz="0" w:space="0" w:color="auto"/>
        <w:left w:val="none" w:sz="0" w:space="0" w:color="auto"/>
        <w:bottom w:val="none" w:sz="0" w:space="0" w:color="auto"/>
        <w:right w:val="none" w:sz="0" w:space="0" w:color="auto"/>
      </w:divBdr>
    </w:div>
    <w:div w:id="1485664518">
      <w:bodyDiv w:val="1"/>
      <w:marLeft w:val="0"/>
      <w:marRight w:val="0"/>
      <w:marTop w:val="0"/>
      <w:marBottom w:val="0"/>
      <w:divBdr>
        <w:top w:val="none" w:sz="0" w:space="0" w:color="auto"/>
        <w:left w:val="none" w:sz="0" w:space="0" w:color="auto"/>
        <w:bottom w:val="none" w:sz="0" w:space="0" w:color="auto"/>
        <w:right w:val="none" w:sz="0" w:space="0" w:color="auto"/>
      </w:divBdr>
    </w:div>
    <w:div w:id="1503086675">
      <w:bodyDiv w:val="1"/>
      <w:marLeft w:val="0"/>
      <w:marRight w:val="0"/>
      <w:marTop w:val="0"/>
      <w:marBottom w:val="0"/>
      <w:divBdr>
        <w:top w:val="none" w:sz="0" w:space="0" w:color="auto"/>
        <w:left w:val="none" w:sz="0" w:space="0" w:color="auto"/>
        <w:bottom w:val="none" w:sz="0" w:space="0" w:color="auto"/>
        <w:right w:val="none" w:sz="0" w:space="0" w:color="auto"/>
      </w:divBdr>
    </w:div>
    <w:div w:id="1510484619">
      <w:bodyDiv w:val="1"/>
      <w:marLeft w:val="0"/>
      <w:marRight w:val="0"/>
      <w:marTop w:val="0"/>
      <w:marBottom w:val="0"/>
      <w:divBdr>
        <w:top w:val="none" w:sz="0" w:space="0" w:color="auto"/>
        <w:left w:val="none" w:sz="0" w:space="0" w:color="auto"/>
        <w:bottom w:val="none" w:sz="0" w:space="0" w:color="auto"/>
        <w:right w:val="none" w:sz="0" w:space="0" w:color="auto"/>
      </w:divBdr>
    </w:div>
    <w:div w:id="1518933371">
      <w:bodyDiv w:val="1"/>
      <w:marLeft w:val="0"/>
      <w:marRight w:val="0"/>
      <w:marTop w:val="0"/>
      <w:marBottom w:val="0"/>
      <w:divBdr>
        <w:top w:val="none" w:sz="0" w:space="0" w:color="auto"/>
        <w:left w:val="none" w:sz="0" w:space="0" w:color="auto"/>
        <w:bottom w:val="none" w:sz="0" w:space="0" w:color="auto"/>
        <w:right w:val="none" w:sz="0" w:space="0" w:color="auto"/>
      </w:divBdr>
    </w:div>
    <w:div w:id="1523662588">
      <w:bodyDiv w:val="1"/>
      <w:marLeft w:val="0"/>
      <w:marRight w:val="0"/>
      <w:marTop w:val="0"/>
      <w:marBottom w:val="0"/>
      <w:divBdr>
        <w:top w:val="none" w:sz="0" w:space="0" w:color="auto"/>
        <w:left w:val="none" w:sz="0" w:space="0" w:color="auto"/>
        <w:bottom w:val="none" w:sz="0" w:space="0" w:color="auto"/>
        <w:right w:val="none" w:sz="0" w:space="0" w:color="auto"/>
      </w:divBdr>
    </w:div>
    <w:div w:id="1536307933">
      <w:bodyDiv w:val="1"/>
      <w:marLeft w:val="0"/>
      <w:marRight w:val="0"/>
      <w:marTop w:val="0"/>
      <w:marBottom w:val="0"/>
      <w:divBdr>
        <w:top w:val="none" w:sz="0" w:space="0" w:color="auto"/>
        <w:left w:val="none" w:sz="0" w:space="0" w:color="auto"/>
        <w:bottom w:val="none" w:sz="0" w:space="0" w:color="auto"/>
        <w:right w:val="none" w:sz="0" w:space="0" w:color="auto"/>
      </w:divBdr>
    </w:div>
    <w:div w:id="1544711748">
      <w:bodyDiv w:val="1"/>
      <w:marLeft w:val="0"/>
      <w:marRight w:val="0"/>
      <w:marTop w:val="0"/>
      <w:marBottom w:val="0"/>
      <w:divBdr>
        <w:top w:val="none" w:sz="0" w:space="0" w:color="auto"/>
        <w:left w:val="none" w:sz="0" w:space="0" w:color="auto"/>
        <w:bottom w:val="none" w:sz="0" w:space="0" w:color="auto"/>
        <w:right w:val="none" w:sz="0" w:space="0" w:color="auto"/>
      </w:divBdr>
    </w:div>
    <w:div w:id="1569070343">
      <w:bodyDiv w:val="1"/>
      <w:marLeft w:val="0"/>
      <w:marRight w:val="0"/>
      <w:marTop w:val="0"/>
      <w:marBottom w:val="0"/>
      <w:divBdr>
        <w:top w:val="none" w:sz="0" w:space="0" w:color="auto"/>
        <w:left w:val="none" w:sz="0" w:space="0" w:color="auto"/>
        <w:bottom w:val="none" w:sz="0" w:space="0" w:color="auto"/>
        <w:right w:val="none" w:sz="0" w:space="0" w:color="auto"/>
      </w:divBdr>
    </w:div>
    <w:div w:id="1570991701">
      <w:bodyDiv w:val="1"/>
      <w:marLeft w:val="0"/>
      <w:marRight w:val="0"/>
      <w:marTop w:val="0"/>
      <w:marBottom w:val="0"/>
      <w:divBdr>
        <w:top w:val="none" w:sz="0" w:space="0" w:color="auto"/>
        <w:left w:val="none" w:sz="0" w:space="0" w:color="auto"/>
        <w:bottom w:val="none" w:sz="0" w:space="0" w:color="auto"/>
        <w:right w:val="none" w:sz="0" w:space="0" w:color="auto"/>
      </w:divBdr>
    </w:div>
    <w:div w:id="1572884678">
      <w:bodyDiv w:val="1"/>
      <w:marLeft w:val="0"/>
      <w:marRight w:val="0"/>
      <w:marTop w:val="0"/>
      <w:marBottom w:val="0"/>
      <w:divBdr>
        <w:top w:val="none" w:sz="0" w:space="0" w:color="auto"/>
        <w:left w:val="none" w:sz="0" w:space="0" w:color="auto"/>
        <w:bottom w:val="none" w:sz="0" w:space="0" w:color="auto"/>
        <w:right w:val="none" w:sz="0" w:space="0" w:color="auto"/>
      </w:divBdr>
    </w:div>
    <w:div w:id="1587349735">
      <w:bodyDiv w:val="1"/>
      <w:marLeft w:val="0"/>
      <w:marRight w:val="0"/>
      <w:marTop w:val="0"/>
      <w:marBottom w:val="0"/>
      <w:divBdr>
        <w:top w:val="none" w:sz="0" w:space="0" w:color="auto"/>
        <w:left w:val="none" w:sz="0" w:space="0" w:color="auto"/>
        <w:bottom w:val="none" w:sz="0" w:space="0" w:color="auto"/>
        <w:right w:val="none" w:sz="0" w:space="0" w:color="auto"/>
      </w:divBdr>
    </w:div>
    <w:div w:id="1589269119">
      <w:bodyDiv w:val="1"/>
      <w:marLeft w:val="0"/>
      <w:marRight w:val="0"/>
      <w:marTop w:val="0"/>
      <w:marBottom w:val="0"/>
      <w:divBdr>
        <w:top w:val="none" w:sz="0" w:space="0" w:color="auto"/>
        <w:left w:val="none" w:sz="0" w:space="0" w:color="auto"/>
        <w:bottom w:val="none" w:sz="0" w:space="0" w:color="auto"/>
        <w:right w:val="none" w:sz="0" w:space="0" w:color="auto"/>
      </w:divBdr>
    </w:div>
    <w:div w:id="1599679870">
      <w:bodyDiv w:val="1"/>
      <w:marLeft w:val="0"/>
      <w:marRight w:val="0"/>
      <w:marTop w:val="0"/>
      <w:marBottom w:val="0"/>
      <w:divBdr>
        <w:top w:val="none" w:sz="0" w:space="0" w:color="auto"/>
        <w:left w:val="none" w:sz="0" w:space="0" w:color="auto"/>
        <w:bottom w:val="none" w:sz="0" w:space="0" w:color="auto"/>
        <w:right w:val="none" w:sz="0" w:space="0" w:color="auto"/>
      </w:divBdr>
    </w:div>
    <w:div w:id="1606378921">
      <w:bodyDiv w:val="1"/>
      <w:marLeft w:val="0"/>
      <w:marRight w:val="0"/>
      <w:marTop w:val="0"/>
      <w:marBottom w:val="0"/>
      <w:divBdr>
        <w:top w:val="none" w:sz="0" w:space="0" w:color="auto"/>
        <w:left w:val="none" w:sz="0" w:space="0" w:color="auto"/>
        <w:bottom w:val="none" w:sz="0" w:space="0" w:color="auto"/>
        <w:right w:val="none" w:sz="0" w:space="0" w:color="auto"/>
      </w:divBdr>
    </w:div>
    <w:div w:id="1606498364">
      <w:bodyDiv w:val="1"/>
      <w:marLeft w:val="0"/>
      <w:marRight w:val="0"/>
      <w:marTop w:val="0"/>
      <w:marBottom w:val="0"/>
      <w:divBdr>
        <w:top w:val="none" w:sz="0" w:space="0" w:color="auto"/>
        <w:left w:val="none" w:sz="0" w:space="0" w:color="auto"/>
        <w:bottom w:val="none" w:sz="0" w:space="0" w:color="auto"/>
        <w:right w:val="none" w:sz="0" w:space="0" w:color="auto"/>
      </w:divBdr>
    </w:div>
    <w:div w:id="1619678714">
      <w:bodyDiv w:val="1"/>
      <w:marLeft w:val="0"/>
      <w:marRight w:val="0"/>
      <w:marTop w:val="0"/>
      <w:marBottom w:val="0"/>
      <w:divBdr>
        <w:top w:val="none" w:sz="0" w:space="0" w:color="auto"/>
        <w:left w:val="none" w:sz="0" w:space="0" w:color="auto"/>
        <w:bottom w:val="none" w:sz="0" w:space="0" w:color="auto"/>
        <w:right w:val="none" w:sz="0" w:space="0" w:color="auto"/>
      </w:divBdr>
    </w:div>
    <w:div w:id="1626086245">
      <w:bodyDiv w:val="1"/>
      <w:marLeft w:val="0"/>
      <w:marRight w:val="0"/>
      <w:marTop w:val="0"/>
      <w:marBottom w:val="0"/>
      <w:divBdr>
        <w:top w:val="none" w:sz="0" w:space="0" w:color="auto"/>
        <w:left w:val="none" w:sz="0" w:space="0" w:color="auto"/>
        <w:bottom w:val="none" w:sz="0" w:space="0" w:color="auto"/>
        <w:right w:val="none" w:sz="0" w:space="0" w:color="auto"/>
      </w:divBdr>
    </w:div>
    <w:div w:id="1638103935">
      <w:bodyDiv w:val="1"/>
      <w:marLeft w:val="0"/>
      <w:marRight w:val="0"/>
      <w:marTop w:val="0"/>
      <w:marBottom w:val="0"/>
      <w:divBdr>
        <w:top w:val="none" w:sz="0" w:space="0" w:color="auto"/>
        <w:left w:val="none" w:sz="0" w:space="0" w:color="auto"/>
        <w:bottom w:val="none" w:sz="0" w:space="0" w:color="auto"/>
        <w:right w:val="none" w:sz="0" w:space="0" w:color="auto"/>
      </w:divBdr>
    </w:div>
    <w:div w:id="1643146493">
      <w:bodyDiv w:val="1"/>
      <w:marLeft w:val="0"/>
      <w:marRight w:val="0"/>
      <w:marTop w:val="0"/>
      <w:marBottom w:val="0"/>
      <w:divBdr>
        <w:top w:val="none" w:sz="0" w:space="0" w:color="auto"/>
        <w:left w:val="none" w:sz="0" w:space="0" w:color="auto"/>
        <w:bottom w:val="none" w:sz="0" w:space="0" w:color="auto"/>
        <w:right w:val="none" w:sz="0" w:space="0" w:color="auto"/>
      </w:divBdr>
    </w:div>
    <w:div w:id="1671251617">
      <w:bodyDiv w:val="1"/>
      <w:marLeft w:val="0"/>
      <w:marRight w:val="0"/>
      <w:marTop w:val="0"/>
      <w:marBottom w:val="0"/>
      <w:divBdr>
        <w:top w:val="none" w:sz="0" w:space="0" w:color="auto"/>
        <w:left w:val="none" w:sz="0" w:space="0" w:color="auto"/>
        <w:bottom w:val="none" w:sz="0" w:space="0" w:color="auto"/>
        <w:right w:val="none" w:sz="0" w:space="0" w:color="auto"/>
      </w:divBdr>
    </w:div>
    <w:div w:id="1674067270">
      <w:bodyDiv w:val="1"/>
      <w:marLeft w:val="0"/>
      <w:marRight w:val="0"/>
      <w:marTop w:val="0"/>
      <w:marBottom w:val="0"/>
      <w:divBdr>
        <w:top w:val="none" w:sz="0" w:space="0" w:color="auto"/>
        <w:left w:val="none" w:sz="0" w:space="0" w:color="auto"/>
        <w:bottom w:val="none" w:sz="0" w:space="0" w:color="auto"/>
        <w:right w:val="none" w:sz="0" w:space="0" w:color="auto"/>
      </w:divBdr>
    </w:div>
    <w:div w:id="1674139549">
      <w:bodyDiv w:val="1"/>
      <w:marLeft w:val="0"/>
      <w:marRight w:val="0"/>
      <w:marTop w:val="0"/>
      <w:marBottom w:val="0"/>
      <w:divBdr>
        <w:top w:val="none" w:sz="0" w:space="0" w:color="auto"/>
        <w:left w:val="none" w:sz="0" w:space="0" w:color="auto"/>
        <w:bottom w:val="none" w:sz="0" w:space="0" w:color="auto"/>
        <w:right w:val="none" w:sz="0" w:space="0" w:color="auto"/>
      </w:divBdr>
    </w:div>
    <w:div w:id="1678537141">
      <w:bodyDiv w:val="1"/>
      <w:marLeft w:val="0"/>
      <w:marRight w:val="0"/>
      <w:marTop w:val="0"/>
      <w:marBottom w:val="0"/>
      <w:divBdr>
        <w:top w:val="none" w:sz="0" w:space="0" w:color="auto"/>
        <w:left w:val="none" w:sz="0" w:space="0" w:color="auto"/>
        <w:bottom w:val="none" w:sz="0" w:space="0" w:color="auto"/>
        <w:right w:val="none" w:sz="0" w:space="0" w:color="auto"/>
      </w:divBdr>
      <w:divsChild>
        <w:div w:id="1686176560">
          <w:marLeft w:val="0"/>
          <w:marRight w:val="0"/>
          <w:marTop w:val="0"/>
          <w:marBottom w:val="0"/>
          <w:divBdr>
            <w:top w:val="none" w:sz="0" w:space="0" w:color="auto"/>
            <w:left w:val="none" w:sz="0" w:space="0" w:color="auto"/>
            <w:bottom w:val="none" w:sz="0" w:space="0" w:color="auto"/>
            <w:right w:val="none" w:sz="0" w:space="0" w:color="auto"/>
          </w:divBdr>
          <w:divsChild>
            <w:div w:id="18012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690314">
      <w:bodyDiv w:val="1"/>
      <w:marLeft w:val="0"/>
      <w:marRight w:val="0"/>
      <w:marTop w:val="0"/>
      <w:marBottom w:val="0"/>
      <w:divBdr>
        <w:top w:val="none" w:sz="0" w:space="0" w:color="auto"/>
        <w:left w:val="none" w:sz="0" w:space="0" w:color="auto"/>
        <w:bottom w:val="none" w:sz="0" w:space="0" w:color="auto"/>
        <w:right w:val="none" w:sz="0" w:space="0" w:color="auto"/>
      </w:divBdr>
    </w:div>
    <w:div w:id="1728453138">
      <w:bodyDiv w:val="1"/>
      <w:marLeft w:val="0"/>
      <w:marRight w:val="0"/>
      <w:marTop w:val="0"/>
      <w:marBottom w:val="0"/>
      <w:divBdr>
        <w:top w:val="none" w:sz="0" w:space="0" w:color="auto"/>
        <w:left w:val="none" w:sz="0" w:space="0" w:color="auto"/>
        <w:bottom w:val="none" w:sz="0" w:space="0" w:color="auto"/>
        <w:right w:val="none" w:sz="0" w:space="0" w:color="auto"/>
      </w:divBdr>
    </w:div>
    <w:div w:id="1732540134">
      <w:bodyDiv w:val="1"/>
      <w:marLeft w:val="0"/>
      <w:marRight w:val="0"/>
      <w:marTop w:val="0"/>
      <w:marBottom w:val="0"/>
      <w:divBdr>
        <w:top w:val="none" w:sz="0" w:space="0" w:color="auto"/>
        <w:left w:val="none" w:sz="0" w:space="0" w:color="auto"/>
        <w:bottom w:val="none" w:sz="0" w:space="0" w:color="auto"/>
        <w:right w:val="none" w:sz="0" w:space="0" w:color="auto"/>
      </w:divBdr>
    </w:div>
    <w:div w:id="1734814996">
      <w:bodyDiv w:val="1"/>
      <w:marLeft w:val="0"/>
      <w:marRight w:val="0"/>
      <w:marTop w:val="0"/>
      <w:marBottom w:val="0"/>
      <w:divBdr>
        <w:top w:val="none" w:sz="0" w:space="0" w:color="auto"/>
        <w:left w:val="none" w:sz="0" w:space="0" w:color="auto"/>
        <w:bottom w:val="none" w:sz="0" w:space="0" w:color="auto"/>
        <w:right w:val="none" w:sz="0" w:space="0" w:color="auto"/>
      </w:divBdr>
    </w:div>
    <w:div w:id="1740981982">
      <w:bodyDiv w:val="1"/>
      <w:marLeft w:val="0"/>
      <w:marRight w:val="0"/>
      <w:marTop w:val="0"/>
      <w:marBottom w:val="0"/>
      <w:divBdr>
        <w:top w:val="none" w:sz="0" w:space="0" w:color="auto"/>
        <w:left w:val="none" w:sz="0" w:space="0" w:color="auto"/>
        <w:bottom w:val="none" w:sz="0" w:space="0" w:color="auto"/>
        <w:right w:val="none" w:sz="0" w:space="0" w:color="auto"/>
      </w:divBdr>
    </w:div>
    <w:div w:id="1754467047">
      <w:bodyDiv w:val="1"/>
      <w:marLeft w:val="0"/>
      <w:marRight w:val="0"/>
      <w:marTop w:val="0"/>
      <w:marBottom w:val="0"/>
      <w:divBdr>
        <w:top w:val="none" w:sz="0" w:space="0" w:color="auto"/>
        <w:left w:val="none" w:sz="0" w:space="0" w:color="auto"/>
        <w:bottom w:val="none" w:sz="0" w:space="0" w:color="auto"/>
        <w:right w:val="none" w:sz="0" w:space="0" w:color="auto"/>
      </w:divBdr>
    </w:div>
    <w:div w:id="1762950861">
      <w:bodyDiv w:val="1"/>
      <w:marLeft w:val="0"/>
      <w:marRight w:val="0"/>
      <w:marTop w:val="0"/>
      <w:marBottom w:val="0"/>
      <w:divBdr>
        <w:top w:val="none" w:sz="0" w:space="0" w:color="auto"/>
        <w:left w:val="none" w:sz="0" w:space="0" w:color="auto"/>
        <w:bottom w:val="none" w:sz="0" w:space="0" w:color="auto"/>
        <w:right w:val="none" w:sz="0" w:space="0" w:color="auto"/>
      </w:divBdr>
    </w:div>
    <w:div w:id="1764564560">
      <w:bodyDiv w:val="1"/>
      <w:marLeft w:val="0"/>
      <w:marRight w:val="0"/>
      <w:marTop w:val="0"/>
      <w:marBottom w:val="0"/>
      <w:divBdr>
        <w:top w:val="none" w:sz="0" w:space="0" w:color="auto"/>
        <w:left w:val="none" w:sz="0" w:space="0" w:color="auto"/>
        <w:bottom w:val="none" w:sz="0" w:space="0" w:color="auto"/>
        <w:right w:val="none" w:sz="0" w:space="0" w:color="auto"/>
      </w:divBdr>
    </w:div>
    <w:div w:id="1772895074">
      <w:bodyDiv w:val="1"/>
      <w:marLeft w:val="0"/>
      <w:marRight w:val="0"/>
      <w:marTop w:val="0"/>
      <w:marBottom w:val="0"/>
      <w:divBdr>
        <w:top w:val="none" w:sz="0" w:space="0" w:color="auto"/>
        <w:left w:val="none" w:sz="0" w:space="0" w:color="auto"/>
        <w:bottom w:val="none" w:sz="0" w:space="0" w:color="auto"/>
        <w:right w:val="none" w:sz="0" w:space="0" w:color="auto"/>
      </w:divBdr>
    </w:div>
    <w:div w:id="1784769282">
      <w:bodyDiv w:val="1"/>
      <w:marLeft w:val="0"/>
      <w:marRight w:val="0"/>
      <w:marTop w:val="0"/>
      <w:marBottom w:val="0"/>
      <w:divBdr>
        <w:top w:val="none" w:sz="0" w:space="0" w:color="auto"/>
        <w:left w:val="none" w:sz="0" w:space="0" w:color="auto"/>
        <w:bottom w:val="none" w:sz="0" w:space="0" w:color="auto"/>
        <w:right w:val="none" w:sz="0" w:space="0" w:color="auto"/>
      </w:divBdr>
    </w:div>
    <w:div w:id="1789660559">
      <w:bodyDiv w:val="1"/>
      <w:marLeft w:val="0"/>
      <w:marRight w:val="0"/>
      <w:marTop w:val="0"/>
      <w:marBottom w:val="0"/>
      <w:divBdr>
        <w:top w:val="none" w:sz="0" w:space="0" w:color="auto"/>
        <w:left w:val="none" w:sz="0" w:space="0" w:color="auto"/>
        <w:bottom w:val="none" w:sz="0" w:space="0" w:color="auto"/>
        <w:right w:val="none" w:sz="0" w:space="0" w:color="auto"/>
      </w:divBdr>
    </w:div>
    <w:div w:id="1792170428">
      <w:bodyDiv w:val="1"/>
      <w:marLeft w:val="0"/>
      <w:marRight w:val="0"/>
      <w:marTop w:val="0"/>
      <w:marBottom w:val="0"/>
      <w:divBdr>
        <w:top w:val="none" w:sz="0" w:space="0" w:color="auto"/>
        <w:left w:val="none" w:sz="0" w:space="0" w:color="auto"/>
        <w:bottom w:val="none" w:sz="0" w:space="0" w:color="auto"/>
        <w:right w:val="none" w:sz="0" w:space="0" w:color="auto"/>
      </w:divBdr>
    </w:div>
    <w:div w:id="1794400671">
      <w:bodyDiv w:val="1"/>
      <w:marLeft w:val="0"/>
      <w:marRight w:val="0"/>
      <w:marTop w:val="0"/>
      <w:marBottom w:val="0"/>
      <w:divBdr>
        <w:top w:val="none" w:sz="0" w:space="0" w:color="auto"/>
        <w:left w:val="none" w:sz="0" w:space="0" w:color="auto"/>
        <w:bottom w:val="none" w:sz="0" w:space="0" w:color="auto"/>
        <w:right w:val="none" w:sz="0" w:space="0" w:color="auto"/>
      </w:divBdr>
    </w:div>
    <w:div w:id="1815949257">
      <w:bodyDiv w:val="1"/>
      <w:marLeft w:val="0"/>
      <w:marRight w:val="0"/>
      <w:marTop w:val="0"/>
      <w:marBottom w:val="0"/>
      <w:divBdr>
        <w:top w:val="none" w:sz="0" w:space="0" w:color="auto"/>
        <w:left w:val="none" w:sz="0" w:space="0" w:color="auto"/>
        <w:bottom w:val="none" w:sz="0" w:space="0" w:color="auto"/>
        <w:right w:val="none" w:sz="0" w:space="0" w:color="auto"/>
      </w:divBdr>
    </w:div>
    <w:div w:id="1825898860">
      <w:bodyDiv w:val="1"/>
      <w:marLeft w:val="0"/>
      <w:marRight w:val="0"/>
      <w:marTop w:val="0"/>
      <w:marBottom w:val="0"/>
      <w:divBdr>
        <w:top w:val="none" w:sz="0" w:space="0" w:color="auto"/>
        <w:left w:val="none" w:sz="0" w:space="0" w:color="auto"/>
        <w:bottom w:val="none" w:sz="0" w:space="0" w:color="auto"/>
        <w:right w:val="none" w:sz="0" w:space="0" w:color="auto"/>
      </w:divBdr>
    </w:div>
    <w:div w:id="1826580225">
      <w:bodyDiv w:val="1"/>
      <w:marLeft w:val="0"/>
      <w:marRight w:val="0"/>
      <w:marTop w:val="0"/>
      <w:marBottom w:val="0"/>
      <w:divBdr>
        <w:top w:val="none" w:sz="0" w:space="0" w:color="auto"/>
        <w:left w:val="none" w:sz="0" w:space="0" w:color="auto"/>
        <w:bottom w:val="none" w:sz="0" w:space="0" w:color="auto"/>
        <w:right w:val="none" w:sz="0" w:space="0" w:color="auto"/>
      </w:divBdr>
    </w:div>
    <w:div w:id="1837380334">
      <w:bodyDiv w:val="1"/>
      <w:marLeft w:val="0"/>
      <w:marRight w:val="0"/>
      <w:marTop w:val="0"/>
      <w:marBottom w:val="0"/>
      <w:divBdr>
        <w:top w:val="none" w:sz="0" w:space="0" w:color="auto"/>
        <w:left w:val="none" w:sz="0" w:space="0" w:color="auto"/>
        <w:bottom w:val="none" w:sz="0" w:space="0" w:color="auto"/>
        <w:right w:val="none" w:sz="0" w:space="0" w:color="auto"/>
      </w:divBdr>
    </w:div>
    <w:div w:id="1841308724">
      <w:bodyDiv w:val="1"/>
      <w:marLeft w:val="0"/>
      <w:marRight w:val="0"/>
      <w:marTop w:val="0"/>
      <w:marBottom w:val="0"/>
      <w:divBdr>
        <w:top w:val="none" w:sz="0" w:space="0" w:color="auto"/>
        <w:left w:val="none" w:sz="0" w:space="0" w:color="auto"/>
        <w:bottom w:val="none" w:sz="0" w:space="0" w:color="auto"/>
        <w:right w:val="none" w:sz="0" w:space="0" w:color="auto"/>
      </w:divBdr>
    </w:div>
    <w:div w:id="1847212496">
      <w:bodyDiv w:val="1"/>
      <w:marLeft w:val="0"/>
      <w:marRight w:val="0"/>
      <w:marTop w:val="0"/>
      <w:marBottom w:val="0"/>
      <w:divBdr>
        <w:top w:val="none" w:sz="0" w:space="0" w:color="auto"/>
        <w:left w:val="none" w:sz="0" w:space="0" w:color="auto"/>
        <w:bottom w:val="none" w:sz="0" w:space="0" w:color="auto"/>
        <w:right w:val="none" w:sz="0" w:space="0" w:color="auto"/>
      </w:divBdr>
    </w:div>
    <w:div w:id="1851947823">
      <w:bodyDiv w:val="1"/>
      <w:marLeft w:val="0"/>
      <w:marRight w:val="0"/>
      <w:marTop w:val="0"/>
      <w:marBottom w:val="0"/>
      <w:divBdr>
        <w:top w:val="none" w:sz="0" w:space="0" w:color="auto"/>
        <w:left w:val="none" w:sz="0" w:space="0" w:color="auto"/>
        <w:bottom w:val="none" w:sz="0" w:space="0" w:color="auto"/>
        <w:right w:val="none" w:sz="0" w:space="0" w:color="auto"/>
      </w:divBdr>
    </w:div>
    <w:div w:id="1853107060">
      <w:bodyDiv w:val="1"/>
      <w:marLeft w:val="0"/>
      <w:marRight w:val="0"/>
      <w:marTop w:val="0"/>
      <w:marBottom w:val="0"/>
      <w:divBdr>
        <w:top w:val="none" w:sz="0" w:space="0" w:color="auto"/>
        <w:left w:val="none" w:sz="0" w:space="0" w:color="auto"/>
        <w:bottom w:val="none" w:sz="0" w:space="0" w:color="auto"/>
        <w:right w:val="none" w:sz="0" w:space="0" w:color="auto"/>
      </w:divBdr>
    </w:div>
    <w:div w:id="1856528631">
      <w:bodyDiv w:val="1"/>
      <w:marLeft w:val="0"/>
      <w:marRight w:val="0"/>
      <w:marTop w:val="0"/>
      <w:marBottom w:val="0"/>
      <w:divBdr>
        <w:top w:val="none" w:sz="0" w:space="0" w:color="auto"/>
        <w:left w:val="none" w:sz="0" w:space="0" w:color="auto"/>
        <w:bottom w:val="none" w:sz="0" w:space="0" w:color="auto"/>
        <w:right w:val="none" w:sz="0" w:space="0" w:color="auto"/>
      </w:divBdr>
    </w:div>
    <w:div w:id="1857453227">
      <w:bodyDiv w:val="1"/>
      <w:marLeft w:val="0"/>
      <w:marRight w:val="0"/>
      <w:marTop w:val="0"/>
      <w:marBottom w:val="0"/>
      <w:divBdr>
        <w:top w:val="none" w:sz="0" w:space="0" w:color="auto"/>
        <w:left w:val="none" w:sz="0" w:space="0" w:color="auto"/>
        <w:bottom w:val="none" w:sz="0" w:space="0" w:color="auto"/>
        <w:right w:val="none" w:sz="0" w:space="0" w:color="auto"/>
      </w:divBdr>
    </w:div>
    <w:div w:id="1868443932">
      <w:bodyDiv w:val="1"/>
      <w:marLeft w:val="0"/>
      <w:marRight w:val="0"/>
      <w:marTop w:val="0"/>
      <w:marBottom w:val="0"/>
      <w:divBdr>
        <w:top w:val="none" w:sz="0" w:space="0" w:color="auto"/>
        <w:left w:val="none" w:sz="0" w:space="0" w:color="auto"/>
        <w:bottom w:val="none" w:sz="0" w:space="0" w:color="auto"/>
        <w:right w:val="none" w:sz="0" w:space="0" w:color="auto"/>
      </w:divBdr>
    </w:div>
    <w:div w:id="1889098706">
      <w:bodyDiv w:val="1"/>
      <w:marLeft w:val="0"/>
      <w:marRight w:val="0"/>
      <w:marTop w:val="0"/>
      <w:marBottom w:val="0"/>
      <w:divBdr>
        <w:top w:val="none" w:sz="0" w:space="0" w:color="auto"/>
        <w:left w:val="none" w:sz="0" w:space="0" w:color="auto"/>
        <w:bottom w:val="none" w:sz="0" w:space="0" w:color="auto"/>
        <w:right w:val="none" w:sz="0" w:space="0" w:color="auto"/>
      </w:divBdr>
    </w:div>
    <w:div w:id="1890989060">
      <w:bodyDiv w:val="1"/>
      <w:marLeft w:val="0"/>
      <w:marRight w:val="0"/>
      <w:marTop w:val="0"/>
      <w:marBottom w:val="0"/>
      <w:divBdr>
        <w:top w:val="none" w:sz="0" w:space="0" w:color="auto"/>
        <w:left w:val="none" w:sz="0" w:space="0" w:color="auto"/>
        <w:bottom w:val="none" w:sz="0" w:space="0" w:color="auto"/>
        <w:right w:val="none" w:sz="0" w:space="0" w:color="auto"/>
      </w:divBdr>
    </w:div>
    <w:div w:id="1894540413">
      <w:bodyDiv w:val="1"/>
      <w:marLeft w:val="0"/>
      <w:marRight w:val="0"/>
      <w:marTop w:val="0"/>
      <w:marBottom w:val="0"/>
      <w:divBdr>
        <w:top w:val="none" w:sz="0" w:space="0" w:color="auto"/>
        <w:left w:val="none" w:sz="0" w:space="0" w:color="auto"/>
        <w:bottom w:val="none" w:sz="0" w:space="0" w:color="auto"/>
        <w:right w:val="none" w:sz="0" w:space="0" w:color="auto"/>
      </w:divBdr>
    </w:div>
    <w:div w:id="1901358492">
      <w:bodyDiv w:val="1"/>
      <w:marLeft w:val="0"/>
      <w:marRight w:val="0"/>
      <w:marTop w:val="0"/>
      <w:marBottom w:val="0"/>
      <w:divBdr>
        <w:top w:val="none" w:sz="0" w:space="0" w:color="auto"/>
        <w:left w:val="none" w:sz="0" w:space="0" w:color="auto"/>
        <w:bottom w:val="none" w:sz="0" w:space="0" w:color="auto"/>
        <w:right w:val="none" w:sz="0" w:space="0" w:color="auto"/>
      </w:divBdr>
    </w:div>
    <w:div w:id="1910073487">
      <w:bodyDiv w:val="1"/>
      <w:marLeft w:val="0"/>
      <w:marRight w:val="0"/>
      <w:marTop w:val="0"/>
      <w:marBottom w:val="0"/>
      <w:divBdr>
        <w:top w:val="none" w:sz="0" w:space="0" w:color="auto"/>
        <w:left w:val="none" w:sz="0" w:space="0" w:color="auto"/>
        <w:bottom w:val="none" w:sz="0" w:space="0" w:color="auto"/>
        <w:right w:val="none" w:sz="0" w:space="0" w:color="auto"/>
      </w:divBdr>
    </w:div>
    <w:div w:id="1913150988">
      <w:bodyDiv w:val="1"/>
      <w:marLeft w:val="0"/>
      <w:marRight w:val="0"/>
      <w:marTop w:val="0"/>
      <w:marBottom w:val="0"/>
      <w:divBdr>
        <w:top w:val="none" w:sz="0" w:space="0" w:color="auto"/>
        <w:left w:val="none" w:sz="0" w:space="0" w:color="auto"/>
        <w:bottom w:val="none" w:sz="0" w:space="0" w:color="auto"/>
        <w:right w:val="none" w:sz="0" w:space="0" w:color="auto"/>
      </w:divBdr>
    </w:div>
    <w:div w:id="1918174235">
      <w:bodyDiv w:val="1"/>
      <w:marLeft w:val="0"/>
      <w:marRight w:val="0"/>
      <w:marTop w:val="0"/>
      <w:marBottom w:val="0"/>
      <w:divBdr>
        <w:top w:val="none" w:sz="0" w:space="0" w:color="auto"/>
        <w:left w:val="none" w:sz="0" w:space="0" w:color="auto"/>
        <w:bottom w:val="none" w:sz="0" w:space="0" w:color="auto"/>
        <w:right w:val="none" w:sz="0" w:space="0" w:color="auto"/>
      </w:divBdr>
    </w:div>
    <w:div w:id="1918974798">
      <w:bodyDiv w:val="1"/>
      <w:marLeft w:val="0"/>
      <w:marRight w:val="0"/>
      <w:marTop w:val="0"/>
      <w:marBottom w:val="0"/>
      <w:divBdr>
        <w:top w:val="none" w:sz="0" w:space="0" w:color="auto"/>
        <w:left w:val="none" w:sz="0" w:space="0" w:color="auto"/>
        <w:bottom w:val="none" w:sz="0" w:space="0" w:color="auto"/>
        <w:right w:val="none" w:sz="0" w:space="0" w:color="auto"/>
      </w:divBdr>
    </w:div>
    <w:div w:id="1919829587">
      <w:bodyDiv w:val="1"/>
      <w:marLeft w:val="0"/>
      <w:marRight w:val="0"/>
      <w:marTop w:val="0"/>
      <w:marBottom w:val="0"/>
      <w:divBdr>
        <w:top w:val="none" w:sz="0" w:space="0" w:color="auto"/>
        <w:left w:val="none" w:sz="0" w:space="0" w:color="auto"/>
        <w:bottom w:val="none" w:sz="0" w:space="0" w:color="auto"/>
        <w:right w:val="none" w:sz="0" w:space="0" w:color="auto"/>
      </w:divBdr>
    </w:div>
    <w:div w:id="1921987129">
      <w:bodyDiv w:val="1"/>
      <w:marLeft w:val="0"/>
      <w:marRight w:val="0"/>
      <w:marTop w:val="0"/>
      <w:marBottom w:val="0"/>
      <w:divBdr>
        <w:top w:val="none" w:sz="0" w:space="0" w:color="auto"/>
        <w:left w:val="none" w:sz="0" w:space="0" w:color="auto"/>
        <w:bottom w:val="none" w:sz="0" w:space="0" w:color="auto"/>
        <w:right w:val="none" w:sz="0" w:space="0" w:color="auto"/>
      </w:divBdr>
    </w:div>
    <w:div w:id="1924946125">
      <w:bodyDiv w:val="1"/>
      <w:marLeft w:val="0"/>
      <w:marRight w:val="0"/>
      <w:marTop w:val="0"/>
      <w:marBottom w:val="0"/>
      <w:divBdr>
        <w:top w:val="none" w:sz="0" w:space="0" w:color="auto"/>
        <w:left w:val="none" w:sz="0" w:space="0" w:color="auto"/>
        <w:bottom w:val="none" w:sz="0" w:space="0" w:color="auto"/>
        <w:right w:val="none" w:sz="0" w:space="0" w:color="auto"/>
      </w:divBdr>
    </w:div>
    <w:div w:id="1926766747">
      <w:bodyDiv w:val="1"/>
      <w:marLeft w:val="0"/>
      <w:marRight w:val="0"/>
      <w:marTop w:val="0"/>
      <w:marBottom w:val="0"/>
      <w:divBdr>
        <w:top w:val="none" w:sz="0" w:space="0" w:color="auto"/>
        <w:left w:val="none" w:sz="0" w:space="0" w:color="auto"/>
        <w:bottom w:val="none" w:sz="0" w:space="0" w:color="auto"/>
        <w:right w:val="none" w:sz="0" w:space="0" w:color="auto"/>
      </w:divBdr>
    </w:div>
    <w:div w:id="1936203164">
      <w:bodyDiv w:val="1"/>
      <w:marLeft w:val="0"/>
      <w:marRight w:val="0"/>
      <w:marTop w:val="0"/>
      <w:marBottom w:val="0"/>
      <w:divBdr>
        <w:top w:val="none" w:sz="0" w:space="0" w:color="auto"/>
        <w:left w:val="none" w:sz="0" w:space="0" w:color="auto"/>
        <w:bottom w:val="none" w:sz="0" w:space="0" w:color="auto"/>
        <w:right w:val="none" w:sz="0" w:space="0" w:color="auto"/>
      </w:divBdr>
    </w:div>
    <w:div w:id="1944796286">
      <w:bodyDiv w:val="1"/>
      <w:marLeft w:val="0"/>
      <w:marRight w:val="0"/>
      <w:marTop w:val="0"/>
      <w:marBottom w:val="0"/>
      <w:divBdr>
        <w:top w:val="none" w:sz="0" w:space="0" w:color="auto"/>
        <w:left w:val="none" w:sz="0" w:space="0" w:color="auto"/>
        <w:bottom w:val="none" w:sz="0" w:space="0" w:color="auto"/>
        <w:right w:val="none" w:sz="0" w:space="0" w:color="auto"/>
      </w:divBdr>
    </w:div>
    <w:div w:id="1954052482">
      <w:bodyDiv w:val="1"/>
      <w:marLeft w:val="0"/>
      <w:marRight w:val="0"/>
      <w:marTop w:val="0"/>
      <w:marBottom w:val="0"/>
      <w:divBdr>
        <w:top w:val="none" w:sz="0" w:space="0" w:color="auto"/>
        <w:left w:val="none" w:sz="0" w:space="0" w:color="auto"/>
        <w:bottom w:val="none" w:sz="0" w:space="0" w:color="auto"/>
        <w:right w:val="none" w:sz="0" w:space="0" w:color="auto"/>
      </w:divBdr>
    </w:div>
    <w:div w:id="1966740083">
      <w:bodyDiv w:val="1"/>
      <w:marLeft w:val="0"/>
      <w:marRight w:val="0"/>
      <w:marTop w:val="0"/>
      <w:marBottom w:val="0"/>
      <w:divBdr>
        <w:top w:val="none" w:sz="0" w:space="0" w:color="auto"/>
        <w:left w:val="none" w:sz="0" w:space="0" w:color="auto"/>
        <w:bottom w:val="none" w:sz="0" w:space="0" w:color="auto"/>
        <w:right w:val="none" w:sz="0" w:space="0" w:color="auto"/>
      </w:divBdr>
    </w:div>
    <w:div w:id="1976057243">
      <w:bodyDiv w:val="1"/>
      <w:marLeft w:val="0"/>
      <w:marRight w:val="0"/>
      <w:marTop w:val="0"/>
      <w:marBottom w:val="0"/>
      <w:divBdr>
        <w:top w:val="none" w:sz="0" w:space="0" w:color="auto"/>
        <w:left w:val="none" w:sz="0" w:space="0" w:color="auto"/>
        <w:bottom w:val="none" w:sz="0" w:space="0" w:color="auto"/>
        <w:right w:val="none" w:sz="0" w:space="0" w:color="auto"/>
      </w:divBdr>
    </w:div>
    <w:div w:id="2002735191">
      <w:bodyDiv w:val="1"/>
      <w:marLeft w:val="0"/>
      <w:marRight w:val="0"/>
      <w:marTop w:val="0"/>
      <w:marBottom w:val="0"/>
      <w:divBdr>
        <w:top w:val="none" w:sz="0" w:space="0" w:color="auto"/>
        <w:left w:val="none" w:sz="0" w:space="0" w:color="auto"/>
        <w:bottom w:val="none" w:sz="0" w:space="0" w:color="auto"/>
        <w:right w:val="none" w:sz="0" w:space="0" w:color="auto"/>
      </w:divBdr>
    </w:div>
    <w:div w:id="2004625835">
      <w:bodyDiv w:val="1"/>
      <w:marLeft w:val="0"/>
      <w:marRight w:val="0"/>
      <w:marTop w:val="0"/>
      <w:marBottom w:val="0"/>
      <w:divBdr>
        <w:top w:val="none" w:sz="0" w:space="0" w:color="auto"/>
        <w:left w:val="none" w:sz="0" w:space="0" w:color="auto"/>
        <w:bottom w:val="none" w:sz="0" w:space="0" w:color="auto"/>
        <w:right w:val="none" w:sz="0" w:space="0" w:color="auto"/>
      </w:divBdr>
    </w:div>
    <w:div w:id="2009677179">
      <w:bodyDiv w:val="1"/>
      <w:marLeft w:val="0"/>
      <w:marRight w:val="0"/>
      <w:marTop w:val="0"/>
      <w:marBottom w:val="0"/>
      <w:divBdr>
        <w:top w:val="none" w:sz="0" w:space="0" w:color="auto"/>
        <w:left w:val="none" w:sz="0" w:space="0" w:color="auto"/>
        <w:bottom w:val="none" w:sz="0" w:space="0" w:color="auto"/>
        <w:right w:val="none" w:sz="0" w:space="0" w:color="auto"/>
      </w:divBdr>
      <w:divsChild>
        <w:div w:id="1523858143">
          <w:marLeft w:val="547"/>
          <w:marRight w:val="0"/>
          <w:marTop w:val="160"/>
          <w:marBottom w:val="0"/>
          <w:divBdr>
            <w:top w:val="none" w:sz="0" w:space="0" w:color="auto"/>
            <w:left w:val="none" w:sz="0" w:space="0" w:color="auto"/>
            <w:bottom w:val="none" w:sz="0" w:space="0" w:color="auto"/>
            <w:right w:val="none" w:sz="0" w:space="0" w:color="auto"/>
          </w:divBdr>
        </w:div>
        <w:div w:id="1494569658">
          <w:marLeft w:val="547"/>
          <w:marRight w:val="0"/>
          <w:marTop w:val="160"/>
          <w:marBottom w:val="0"/>
          <w:divBdr>
            <w:top w:val="none" w:sz="0" w:space="0" w:color="auto"/>
            <w:left w:val="none" w:sz="0" w:space="0" w:color="auto"/>
            <w:bottom w:val="none" w:sz="0" w:space="0" w:color="auto"/>
            <w:right w:val="none" w:sz="0" w:space="0" w:color="auto"/>
          </w:divBdr>
        </w:div>
        <w:div w:id="324011642">
          <w:marLeft w:val="547"/>
          <w:marRight w:val="0"/>
          <w:marTop w:val="160"/>
          <w:marBottom w:val="0"/>
          <w:divBdr>
            <w:top w:val="none" w:sz="0" w:space="0" w:color="auto"/>
            <w:left w:val="none" w:sz="0" w:space="0" w:color="auto"/>
            <w:bottom w:val="none" w:sz="0" w:space="0" w:color="auto"/>
            <w:right w:val="none" w:sz="0" w:space="0" w:color="auto"/>
          </w:divBdr>
        </w:div>
      </w:divsChild>
    </w:div>
    <w:div w:id="2020694977">
      <w:bodyDiv w:val="1"/>
      <w:marLeft w:val="0"/>
      <w:marRight w:val="0"/>
      <w:marTop w:val="0"/>
      <w:marBottom w:val="0"/>
      <w:divBdr>
        <w:top w:val="none" w:sz="0" w:space="0" w:color="auto"/>
        <w:left w:val="none" w:sz="0" w:space="0" w:color="auto"/>
        <w:bottom w:val="none" w:sz="0" w:space="0" w:color="auto"/>
        <w:right w:val="none" w:sz="0" w:space="0" w:color="auto"/>
      </w:divBdr>
    </w:div>
    <w:div w:id="2041398411">
      <w:bodyDiv w:val="1"/>
      <w:marLeft w:val="0"/>
      <w:marRight w:val="0"/>
      <w:marTop w:val="0"/>
      <w:marBottom w:val="0"/>
      <w:divBdr>
        <w:top w:val="none" w:sz="0" w:space="0" w:color="auto"/>
        <w:left w:val="none" w:sz="0" w:space="0" w:color="auto"/>
        <w:bottom w:val="none" w:sz="0" w:space="0" w:color="auto"/>
        <w:right w:val="none" w:sz="0" w:space="0" w:color="auto"/>
      </w:divBdr>
    </w:div>
    <w:div w:id="2047483201">
      <w:bodyDiv w:val="1"/>
      <w:marLeft w:val="0"/>
      <w:marRight w:val="0"/>
      <w:marTop w:val="0"/>
      <w:marBottom w:val="0"/>
      <w:divBdr>
        <w:top w:val="none" w:sz="0" w:space="0" w:color="auto"/>
        <w:left w:val="none" w:sz="0" w:space="0" w:color="auto"/>
        <w:bottom w:val="none" w:sz="0" w:space="0" w:color="auto"/>
        <w:right w:val="none" w:sz="0" w:space="0" w:color="auto"/>
      </w:divBdr>
    </w:div>
    <w:div w:id="2049643709">
      <w:bodyDiv w:val="1"/>
      <w:marLeft w:val="0"/>
      <w:marRight w:val="0"/>
      <w:marTop w:val="0"/>
      <w:marBottom w:val="0"/>
      <w:divBdr>
        <w:top w:val="none" w:sz="0" w:space="0" w:color="auto"/>
        <w:left w:val="none" w:sz="0" w:space="0" w:color="auto"/>
        <w:bottom w:val="none" w:sz="0" w:space="0" w:color="auto"/>
        <w:right w:val="none" w:sz="0" w:space="0" w:color="auto"/>
      </w:divBdr>
    </w:div>
    <w:div w:id="2057385669">
      <w:bodyDiv w:val="1"/>
      <w:marLeft w:val="0"/>
      <w:marRight w:val="0"/>
      <w:marTop w:val="0"/>
      <w:marBottom w:val="0"/>
      <w:divBdr>
        <w:top w:val="none" w:sz="0" w:space="0" w:color="auto"/>
        <w:left w:val="none" w:sz="0" w:space="0" w:color="auto"/>
        <w:bottom w:val="none" w:sz="0" w:space="0" w:color="auto"/>
        <w:right w:val="none" w:sz="0" w:space="0" w:color="auto"/>
      </w:divBdr>
    </w:div>
    <w:div w:id="2057510637">
      <w:bodyDiv w:val="1"/>
      <w:marLeft w:val="0"/>
      <w:marRight w:val="0"/>
      <w:marTop w:val="0"/>
      <w:marBottom w:val="0"/>
      <w:divBdr>
        <w:top w:val="none" w:sz="0" w:space="0" w:color="auto"/>
        <w:left w:val="none" w:sz="0" w:space="0" w:color="auto"/>
        <w:bottom w:val="none" w:sz="0" w:space="0" w:color="auto"/>
        <w:right w:val="none" w:sz="0" w:space="0" w:color="auto"/>
      </w:divBdr>
    </w:div>
    <w:div w:id="2065638671">
      <w:bodyDiv w:val="1"/>
      <w:marLeft w:val="0"/>
      <w:marRight w:val="0"/>
      <w:marTop w:val="0"/>
      <w:marBottom w:val="0"/>
      <w:divBdr>
        <w:top w:val="none" w:sz="0" w:space="0" w:color="auto"/>
        <w:left w:val="none" w:sz="0" w:space="0" w:color="auto"/>
        <w:bottom w:val="none" w:sz="0" w:space="0" w:color="auto"/>
        <w:right w:val="none" w:sz="0" w:space="0" w:color="auto"/>
      </w:divBdr>
    </w:div>
    <w:div w:id="2066105651">
      <w:bodyDiv w:val="1"/>
      <w:marLeft w:val="0"/>
      <w:marRight w:val="0"/>
      <w:marTop w:val="0"/>
      <w:marBottom w:val="0"/>
      <w:divBdr>
        <w:top w:val="none" w:sz="0" w:space="0" w:color="auto"/>
        <w:left w:val="none" w:sz="0" w:space="0" w:color="auto"/>
        <w:bottom w:val="none" w:sz="0" w:space="0" w:color="auto"/>
        <w:right w:val="none" w:sz="0" w:space="0" w:color="auto"/>
      </w:divBdr>
    </w:div>
    <w:div w:id="2067096569">
      <w:bodyDiv w:val="1"/>
      <w:marLeft w:val="0"/>
      <w:marRight w:val="0"/>
      <w:marTop w:val="0"/>
      <w:marBottom w:val="0"/>
      <w:divBdr>
        <w:top w:val="none" w:sz="0" w:space="0" w:color="auto"/>
        <w:left w:val="none" w:sz="0" w:space="0" w:color="auto"/>
        <w:bottom w:val="none" w:sz="0" w:space="0" w:color="auto"/>
        <w:right w:val="none" w:sz="0" w:space="0" w:color="auto"/>
      </w:divBdr>
    </w:div>
    <w:div w:id="2080901325">
      <w:bodyDiv w:val="1"/>
      <w:marLeft w:val="0"/>
      <w:marRight w:val="0"/>
      <w:marTop w:val="0"/>
      <w:marBottom w:val="0"/>
      <w:divBdr>
        <w:top w:val="none" w:sz="0" w:space="0" w:color="auto"/>
        <w:left w:val="none" w:sz="0" w:space="0" w:color="auto"/>
        <w:bottom w:val="none" w:sz="0" w:space="0" w:color="auto"/>
        <w:right w:val="none" w:sz="0" w:space="0" w:color="auto"/>
      </w:divBdr>
    </w:div>
    <w:div w:id="2107001148">
      <w:bodyDiv w:val="1"/>
      <w:marLeft w:val="0"/>
      <w:marRight w:val="0"/>
      <w:marTop w:val="0"/>
      <w:marBottom w:val="0"/>
      <w:divBdr>
        <w:top w:val="none" w:sz="0" w:space="0" w:color="auto"/>
        <w:left w:val="none" w:sz="0" w:space="0" w:color="auto"/>
        <w:bottom w:val="none" w:sz="0" w:space="0" w:color="auto"/>
        <w:right w:val="none" w:sz="0" w:space="0" w:color="auto"/>
      </w:divBdr>
    </w:div>
    <w:div w:id="2107142492">
      <w:bodyDiv w:val="1"/>
      <w:marLeft w:val="0"/>
      <w:marRight w:val="0"/>
      <w:marTop w:val="0"/>
      <w:marBottom w:val="0"/>
      <w:divBdr>
        <w:top w:val="none" w:sz="0" w:space="0" w:color="auto"/>
        <w:left w:val="none" w:sz="0" w:space="0" w:color="auto"/>
        <w:bottom w:val="none" w:sz="0" w:space="0" w:color="auto"/>
        <w:right w:val="none" w:sz="0" w:space="0" w:color="auto"/>
      </w:divBdr>
    </w:div>
    <w:div w:id="2108453465">
      <w:bodyDiv w:val="1"/>
      <w:marLeft w:val="0"/>
      <w:marRight w:val="0"/>
      <w:marTop w:val="0"/>
      <w:marBottom w:val="0"/>
      <w:divBdr>
        <w:top w:val="none" w:sz="0" w:space="0" w:color="auto"/>
        <w:left w:val="none" w:sz="0" w:space="0" w:color="auto"/>
        <w:bottom w:val="none" w:sz="0" w:space="0" w:color="auto"/>
        <w:right w:val="none" w:sz="0" w:space="0" w:color="auto"/>
      </w:divBdr>
    </w:div>
    <w:div w:id="2108500935">
      <w:bodyDiv w:val="1"/>
      <w:marLeft w:val="0"/>
      <w:marRight w:val="0"/>
      <w:marTop w:val="0"/>
      <w:marBottom w:val="0"/>
      <w:divBdr>
        <w:top w:val="none" w:sz="0" w:space="0" w:color="auto"/>
        <w:left w:val="none" w:sz="0" w:space="0" w:color="auto"/>
        <w:bottom w:val="none" w:sz="0" w:space="0" w:color="auto"/>
        <w:right w:val="none" w:sz="0" w:space="0" w:color="auto"/>
      </w:divBdr>
    </w:div>
    <w:div w:id="2110541802">
      <w:bodyDiv w:val="1"/>
      <w:marLeft w:val="0"/>
      <w:marRight w:val="0"/>
      <w:marTop w:val="0"/>
      <w:marBottom w:val="0"/>
      <w:divBdr>
        <w:top w:val="none" w:sz="0" w:space="0" w:color="auto"/>
        <w:left w:val="none" w:sz="0" w:space="0" w:color="auto"/>
        <w:bottom w:val="none" w:sz="0" w:space="0" w:color="auto"/>
        <w:right w:val="none" w:sz="0" w:space="0" w:color="auto"/>
      </w:divBdr>
    </w:div>
    <w:div w:id="2116174410">
      <w:bodyDiv w:val="1"/>
      <w:marLeft w:val="0"/>
      <w:marRight w:val="0"/>
      <w:marTop w:val="0"/>
      <w:marBottom w:val="0"/>
      <w:divBdr>
        <w:top w:val="none" w:sz="0" w:space="0" w:color="auto"/>
        <w:left w:val="none" w:sz="0" w:space="0" w:color="auto"/>
        <w:bottom w:val="none" w:sz="0" w:space="0" w:color="auto"/>
        <w:right w:val="none" w:sz="0" w:space="0" w:color="auto"/>
      </w:divBdr>
    </w:div>
    <w:div w:id="2128885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84.png"/><Relationship Id="rId21" Type="http://schemas.openxmlformats.org/officeDocument/2006/relationships/header" Target="header5.xml"/><Relationship Id="rId42" Type="http://schemas.openxmlformats.org/officeDocument/2006/relationships/image" Target="media/image23.png"/><Relationship Id="rId47" Type="http://schemas.openxmlformats.org/officeDocument/2006/relationships/hyperlink" Target="http://www.behaviouralinsights.co.uk/wp-content/uploads/2016/09/BIT-Update-Report-2015-16.pdf" TargetMode="External"/><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0.png"/><Relationship Id="rId133" Type="http://schemas.openxmlformats.org/officeDocument/2006/relationships/hyperlink" Target="mailto:Behavioural@health.gov.au" TargetMode="External"/><Relationship Id="rId138" Type="http://schemas.openxmlformats.org/officeDocument/2006/relationships/image" Target="media/image97.jpeg"/><Relationship Id="rId154" Type="http://schemas.openxmlformats.org/officeDocument/2006/relationships/header" Target="header30.xml"/><Relationship Id="rId16" Type="http://schemas.openxmlformats.org/officeDocument/2006/relationships/image" Target="media/image5.png"/><Relationship Id="rId107" Type="http://schemas.openxmlformats.org/officeDocument/2006/relationships/header" Target="header21.xml"/><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eader" Target="header9.xml"/><Relationship Id="rId58" Type="http://schemas.openxmlformats.org/officeDocument/2006/relationships/image" Target="cid:image005.jpg@01D4049E.1F4D23C0" TargetMode="External"/><Relationship Id="rId74" Type="http://schemas.openxmlformats.org/officeDocument/2006/relationships/image" Target="media/image49.png"/><Relationship Id="rId79" Type="http://schemas.openxmlformats.org/officeDocument/2006/relationships/header" Target="header14.xml"/><Relationship Id="rId102" Type="http://schemas.openxmlformats.org/officeDocument/2006/relationships/hyperlink" Target="https://www.pmc.gov.au/domestic-policy/behavioural-economics/going-blind-see-more-clearly-unconscious-bias-australian-public-service-aps-shortlisting-processes" TargetMode="External"/><Relationship Id="rId123" Type="http://schemas.openxmlformats.org/officeDocument/2006/relationships/header" Target="header24.xml"/><Relationship Id="rId128" Type="http://schemas.openxmlformats.org/officeDocument/2006/relationships/image" Target="media/image92.jpeg"/><Relationship Id="rId144" Type="http://schemas.openxmlformats.org/officeDocument/2006/relationships/header" Target="header28.xml"/><Relationship Id="rId149" Type="http://schemas.openxmlformats.org/officeDocument/2006/relationships/hyperlink" Target="http://ssrn.com/abstract=2514536" TargetMode="External"/><Relationship Id="rId5" Type="http://schemas.openxmlformats.org/officeDocument/2006/relationships/numbering" Target="numbering.xml"/><Relationship Id="rId90" Type="http://schemas.openxmlformats.org/officeDocument/2006/relationships/hyperlink" Target="https://www.pmc.gov.au/domestic-policy/behavioural-economics/completed-effective-use-sms-encourage-timely-reporting-behaviour-using-digital-channels" TargetMode="External"/><Relationship Id="rId95" Type="http://schemas.openxmlformats.org/officeDocument/2006/relationships/image" Target="media/image67.png"/><Relationship Id="rId22" Type="http://schemas.openxmlformats.org/officeDocument/2006/relationships/footer" Target="footer3.xml"/><Relationship Id="rId27" Type="http://schemas.openxmlformats.org/officeDocument/2006/relationships/image" Target="media/image8.png"/><Relationship Id="rId43" Type="http://schemas.openxmlformats.org/officeDocument/2006/relationships/image" Target="media/image24.tiff"/><Relationship Id="rId48" Type="http://schemas.openxmlformats.org/officeDocument/2006/relationships/image" Target="media/image28.png"/><Relationship Id="rId64" Type="http://schemas.openxmlformats.org/officeDocument/2006/relationships/image" Target="media/image40.png"/><Relationship Id="rId69" Type="http://schemas.openxmlformats.org/officeDocument/2006/relationships/image" Target="media/image44.png"/><Relationship Id="rId113" Type="http://schemas.openxmlformats.org/officeDocument/2006/relationships/image" Target="media/image81.png"/><Relationship Id="rId118" Type="http://schemas.openxmlformats.org/officeDocument/2006/relationships/image" Target="media/image85.png"/><Relationship Id="rId134" Type="http://schemas.openxmlformats.org/officeDocument/2006/relationships/image" Target="media/image95.jpeg"/><Relationship Id="rId139" Type="http://schemas.openxmlformats.org/officeDocument/2006/relationships/hyperlink" Target="mailto:Sarah.Edmondson@asic.gov.au" TargetMode="External"/><Relationship Id="rId80" Type="http://schemas.openxmlformats.org/officeDocument/2006/relationships/header" Target="header15.xml"/><Relationship Id="rId85" Type="http://schemas.openxmlformats.org/officeDocument/2006/relationships/image" Target="media/image58.png"/><Relationship Id="rId150" Type="http://schemas.openxmlformats.org/officeDocument/2006/relationships/hyperlink" Target="http://crimetool.bocsar.nsw.gov.au/bocsar/" TargetMode="External"/><Relationship Id="rId155" Type="http://schemas.openxmlformats.org/officeDocument/2006/relationships/header" Target="header31.xm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5.jpeg"/><Relationship Id="rId103" Type="http://schemas.openxmlformats.org/officeDocument/2006/relationships/image" Target="media/image73.png"/><Relationship Id="rId108" Type="http://schemas.openxmlformats.org/officeDocument/2006/relationships/image" Target="media/image77.png"/><Relationship Id="rId124" Type="http://schemas.openxmlformats.org/officeDocument/2006/relationships/image" Target="media/image90.jpeg"/><Relationship Id="rId129" Type="http://schemas.openxmlformats.org/officeDocument/2006/relationships/hyperlink" Target="mailto:beta@pmc.gov.au" TargetMode="External"/><Relationship Id="rId20" Type="http://schemas.openxmlformats.org/officeDocument/2006/relationships/footer" Target="footer2.xml"/><Relationship Id="rId41" Type="http://schemas.openxmlformats.org/officeDocument/2006/relationships/image" Target="media/image22.png"/><Relationship Id="rId54" Type="http://schemas.openxmlformats.org/officeDocument/2006/relationships/footer" Target="footer6.xml"/><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image" Target="media/image50.jpe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image" Target="media/image63.jpeg"/><Relationship Id="rId96" Type="http://schemas.openxmlformats.org/officeDocument/2006/relationships/image" Target="media/image68.png"/><Relationship Id="rId111" Type="http://schemas.openxmlformats.org/officeDocument/2006/relationships/image" Target="media/image79.png"/><Relationship Id="rId132" Type="http://schemas.openxmlformats.org/officeDocument/2006/relationships/image" Target="media/image94.jpeg"/><Relationship Id="rId140" Type="http://schemas.openxmlformats.org/officeDocument/2006/relationships/hyperlink" Target="mailto:BehaviouralInsights@dpc.nsw.gov.au" TargetMode="External"/><Relationship Id="rId145" Type="http://schemas.openxmlformats.org/officeDocument/2006/relationships/header" Target="header29.xml"/><Relationship Id="rId153" Type="http://schemas.openxmlformats.org/officeDocument/2006/relationships/hyperlink" Target="https://hbr.org/2017/11/how-we-nudged-employees-to-embrace-flexible-wor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hyperlink" Target="https://www.pmc.gov.au/resource-centre/domestic-policy/beta-guide-developing-behavioural-interventions-randomised-controlled-trials" TargetMode="Externa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4.jpeg"/><Relationship Id="rId106" Type="http://schemas.openxmlformats.org/officeDocument/2006/relationships/header" Target="header20.xml"/><Relationship Id="rId114" Type="http://schemas.openxmlformats.org/officeDocument/2006/relationships/image" Target="media/image82.png"/><Relationship Id="rId119" Type="http://schemas.openxmlformats.org/officeDocument/2006/relationships/image" Target="media/image86.png"/><Relationship Id="rId127" Type="http://schemas.openxmlformats.org/officeDocument/2006/relationships/header" Target="header27.xm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footer" Target="footer5.xml"/><Relationship Id="rId60" Type="http://schemas.openxmlformats.org/officeDocument/2006/relationships/image" Target="media/image36.png"/><Relationship Id="rId65" Type="http://schemas.openxmlformats.org/officeDocument/2006/relationships/header" Target="header10.xml"/><Relationship Id="rId73" Type="http://schemas.openxmlformats.org/officeDocument/2006/relationships/image" Target="media/image48.png"/><Relationship Id="rId78" Type="http://schemas.openxmlformats.org/officeDocument/2006/relationships/header" Target="header13.xml"/><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6.png"/><Relationship Id="rId99" Type="http://schemas.openxmlformats.org/officeDocument/2006/relationships/header" Target="header18.xml"/><Relationship Id="rId101" Type="http://schemas.openxmlformats.org/officeDocument/2006/relationships/image" Target="media/image72.png"/><Relationship Id="rId122" Type="http://schemas.openxmlformats.org/officeDocument/2006/relationships/header" Target="header23.xml"/><Relationship Id="rId130" Type="http://schemas.openxmlformats.org/officeDocument/2006/relationships/image" Target="media/image93.jpeg"/><Relationship Id="rId135" Type="http://schemas.openxmlformats.org/officeDocument/2006/relationships/hyperlink" Target="mailto:Insights@humanservices.gov.au" TargetMode="External"/><Relationship Id="rId143" Type="http://schemas.openxmlformats.org/officeDocument/2006/relationships/hyperlink" Target="mailto:info-aus@bi.team" TargetMode="External"/><Relationship Id="rId148" Type="http://schemas.openxmlformats.org/officeDocument/2006/relationships/hyperlink" Target="https://www.dss.gov.au/sites/default/files/documents/11_2017/strengthening_students_resilience_factsheet.pdf" TargetMode="External"/><Relationship Id="rId151" Type="http://schemas.openxmlformats.org/officeDocument/2006/relationships/hyperlink" Target="http://data.mysydney.nsw.gov.au/files/s3fs-public/Travel%20Choices%20Handbook.pdf" TargetMode="External"/><Relationship Id="rId156" Type="http://schemas.openxmlformats.org/officeDocument/2006/relationships/header" Target="header3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image" Target="media/image78.png"/><Relationship Id="rId34" Type="http://schemas.openxmlformats.org/officeDocument/2006/relationships/image" Target="media/image15.png"/><Relationship Id="rId50" Type="http://schemas.openxmlformats.org/officeDocument/2006/relationships/header" Target="header7.xml"/><Relationship Id="rId55" Type="http://schemas.openxmlformats.org/officeDocument/2006/relationships/image" Target="media/image32.png"/><Relationship Id="rId76" Type="http://schemas.openxmlformats.org/officeDocument/2006/relationships/image" Target="media/image51.jpeg"/><Relationship Id="rId97" Type="http://schemas.openxmlformats.org/officeDocument/2006/relationships/header" Target="header16.xml"/><Relationship Id="rId104" Type="http://schemas.openxmlformats.org/officeDocument/2006/relationships/image" Target="media/image74.png"/><Relationship Id="rId120" Type="http://schemas.openxmlformats.org/officeDocument/2006/relationships/image" Target="media/image87.png"/><Relationship Id="rId125" Type="http://schemas.openxmlformats.org/officeDocument/2006/relationships/header" Target="header25.xml"/><Relationship Id="rId141" Type="http://schemas.openxmlformats.org/officeDocument/2006/relationships/hyperlink" Target="mailto:Fiona.Grinwald@dpc.vic.gov.au" TargetMode="External"/><Relationship Id="rId146" Type="http://schemas.openxmlformats.org/officeDocument/2006/relationships/hyperlink" Target="https://www.acma.gov.au/theACMA/engage-blogs/engage-blogs/Research-snapshots/Aussie-teens-online" TargetMode="Externa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hyperlink" Target="https://www.dpmc.gov.au/resource-centre/domestic-policy/beta-guide-developing-behavioural-interventions-randomised-controlled-trials"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header" Target="header11.xml"/><Relationship Id="rId87" Type="http://schemas.openxmlformats.org/officeDocument/2006/relationships/image" Target="media/image60.jpeg"/><Relationship Id="rId110" Type="http://schemas.openxmlformats.org/officeDocument/2006/relationships/hyperlink" Target="https://www.pmc.gov.au/domestic-policy/behavioural-economics/supporting-retirees-retirement-income-planning" TargetMode="External"/><Relationship Id="rId115" Type="http://schemas.openxmlformats.org/officeDocument/2006/relationships/hyperlink" Target="https://pmc.gov.au/resource-centre/domestic-policy/report-saying-more-less" TargetMode="External"/><Relationship Id="rId131" Type="http://schemas.openxmlformats.org/officeDocument/2006/relationships/hyperlink" Target="mailto:BehaviouralInsightsUnit@ato.gov.au" TargetMode="External"/><Relationship Id="rId136" Type="http://schemas.openxmlformats.org/officeDocument/2006/relationships/image" Target="media/image96.jpeg"/><Relationship Id="rId157"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image" Target="media/image55.jpeg"/><Relationship Id="rId152" Type="http://schemas.openxmlformats.org/officeDocument/2006/relationships/hyperlink" Target="http://fsi.gov.au/publications/final-report" TargetMode="External"/><Relationship Id="rId19" Type="http://schemas.openxmlformats.org/officeDocument/2006/relationships/header" Target="header4.xml"/><Relationship Id="rId14"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3.png"/><Relationship Id="rId77" Type="http://schemas.openxmlformats.org/officeDocument/2006/relationships/hyperlink" Target="https://www.jobs.gov.au/applying-behavioural-economics-increase-take-wage-subsidies" TargetMode="External"/><Relationship Id="rId100" Type="http://schemas.openxmlformats.org/officeDocument/2006/relationships/image" Target="media/image71.png"/><Relationship Id="rId105" Type="http://schemas.openxmlformats.org/officeDocument/2006/relationships/header" Target="header19.xml"/><Relationship Id="rId126" Type="http://schemas.openxmlformats.org/officeDocument/2006/relationships/header" Target="header26.xml"/><Relationship Id="rId147" Type="http://schemas.openxmlformats.org/officeDocument/2006/relationships/hyperlink" Target="https://www.aihw.gov.au/reports/burden-of-disease/impact-of-physical-inactivity-chronic-conditions/contents/table-of-contents" TargetMode="External"/><Relationship Id="rId8" Type="http://schemas.openxmlformats.org/officeDocument/2006/relationships/webSettings" Target="webSettings.xml"/><Relationship Id="rId51" Type="http://schemas.openxmlformats.org/officeDocument/2006/relationships/header" Target="header8.xml"/><Relationship Id="rId72" Type="http://schemas.openxmlformats.org/officeDocument/2006/relationships/image" Target="media/image47.png"/><Relationship Id="rId93" Type="http://schemas.openxmlformats.org/officeDocument/2006/relationships/image" Target="media/image65.png"/><Relationship Id="rId98" Type="http://schemas.openxmlformats.org/officeDocument/2006/relationships/header" Target="header17.xml"/><Relationship Id="rId121" Type="http://schemas.openxmlformats.org/officeDocument/2006/relationships/header" Target="header22.xml"/><Relationship Id="rId142" Type="http://schemas.openxmlformats.org/officeDocument/2006/relationships/image" Target="media/image98.png"/><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image" Target="media/image27.png"/><Relationship Id="rId67" Type="http://schemas.openxmlformats.org/officeDocument/2006/relationships/header" Target="header12.xml"/><Relationship Id="rId116" Type="http://schemas.openxmlformats.org/officeDocument/2006/relationships/image" Target="media/image83.png"/><Relationship Id="rId137" Type="http://schemas.openxmlformats.org/officeDocument/2006/relationships/hyperlink" Target="mailto:BI@dss.gov.au" TargetMode="External"/><Relationship Id="rId15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hbr.org/2017/11/how-we-nudged-employees-to-embrace-flexible-work" TargetMode="External"/><Relationship Id="rId2" Type="http://schemas.openxmlformats.org/officeDocument/2006/relationships/hyperlink" Target="http://crimetool.bocsar.nsw.gov.au/bocsar/" TargetMode="External"/><Relationship Id="rId1" Type="http://schemas.openxmlformats.org/officeDocument/2006/relationships/hyperlink" Target="http://ssrn.com/abstract=2514536" TargetMode="External"/><Relationship Id="rId4" Type="http://schemas.openxmlformats.org/officeDocument/2006/relationships/hyperlink" Target="https://www.acma.gov.au/theACMA/engage-blogs/engage-blogs/Research-snapshots/Aussie-teens-online"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41.png"/></Relationships>
</file>

<file path=word/_rels/header12.xml.rels><?xml version="1.0" encoding="UTF-8" standalone="yes"?>
<Relationships xmlns="http://schemas.openxmlformats.org/package/2006/relationships"><Relationship Id="rId1" Type="http://schemas.openxmlformats.org/officeDocument/2006/relationships/image" Target="media/image42.jpg"/></Relationships>
</file>

<file path=word/_rels/header13.xml.rels><?xml version="1.0" encoding="UTF-8" standalone="yes"?>
<Relationships xmlns="http://schemas.openxmlformats.org/package/2006/relationships"><Relationship Id="rId1" Type="http://schemas.openxmlformats.org/officeDocument/2006/relationships/image" Target="media/image52.png"/></Relationships>
</file>

<file path=word/_rels/header15.xml.rels><?xml version="1.0" encoding="UTF-8" standalone="yes"?>
<Relationships xmlns="http://schemas.openxmlformats.org/package/2006/relationships"><Relationship Id="rId1" Type="http://schemas.openxmlformats.org/officeDocument/2006/relationships/image" Target="media/image53.jpg"/></Relationships>
</file>

<file path=word/_rels/header16.xml.rels><?xml version="1.0" encoding="UTF-8" standalone="yes"?>
<Relationships xmlns="http://schemas.openxmlformats.org/package/2006/relationships"><Relationship Id="rId1" Type="http://schemas.openxmlformats.org/officeDocument/2006/relationships/image" Target="media/image69.png"/></Relationships>
</file>

<file path=word/_rels/header18.xml.rels><?xml version="1.0" encoding="UTF-8" standalone="yes"?>
<Relationships xmlns="http://schemas.openxmlformats.org/package/2006/relationships"><Relationship Id="rId1" Type="http://schemas.openxmlformats.org/officeDocument/2006/relationships/image" Target="media/image70.jpeg"/></Relationships>
</file>

<file path=word/_rels/header19.xml.rels><?xml version="1.0" encoding="UTF-8" standalone="yes"?>
<Relationships xmlns="http://schemas.openxmlformats.org/package/2006/relationships"><Relationship Id="rId1" Type="http://schemas.openxmlformats.org/officeDocument/2006/relationships/image" Target="media/image75.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76.jpg"/></Relationships>
</file>

<file path=word/_rels/header22.xml.rels><?xml version="1.0" encoding="UTF-8" standalone="yes"?>
<Relationships xmlns="http://schemas.openxmlformats.org/package/2006/relationships"><Relationship Id="rId1" Type="http://schemas.openxmlformats.org/officeDocument/2006/relationships/image" Target="media/image88.png"/></Relationships>
</file>

<file path=word/_rels/header24.xml.rels><?xml version="1.0" encoding="UTF-8" standalone="yes"?>
<Relationships xmlns="http://schemas.openxmlformats.org/package/2006/relationships"><Relationship Id="rId1" Type="http://schemas.openxmlformats.org/officeDocument/2006/relationships/image" Target="media/image89.jpg"/></Relationships>
</file>

<file path=word/_rels/header25.xml.rels><?xml version="1.0" encoding="UTF-8" standalone="yes"?>
<Relationships xmlns="http://schemas.openxmlformats.org/package/2006/relationships"><Relationship Id="rId1" Type="http://schemas.openxmlformats.org/officeDocument/2006/relationships/image" Target="media/image9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99.png"/></Relationships>
</file>

<file path=word/_rels/header32.xml.rels><?xml version="1.0" encoding="UTF-8" standalone="yes"?>
<Relationships xmlns="http://schemas.openxmlformats.org/package/2006/relationships"><Relationship Id="rId1" Type="http://schemas.openxmlformats.org/officeDocument/2006/relationships/image" Target="media/image100.png"/></Relationships>
</file>

<file path=word/_rels/header7.xml.rels><?xml version="1.0" encoding="UTF-8" standalone="yes"?>
<Relationships xmlns="http://schemas.openxmlformats.org/package/2006/relationships"><Relationship Id="rId1" Type="http://schemas.openxmlformats.org/officeDocument/2006/relationships/image" Target="media/image30.png"/></Relationships>
</file>

<file path=word/_rels/header9.xml.rels><?xml version="1.0" encoding="UTF-8" standalone="yes"?>
<Relationships xmlns="http://schemas.openxmlformats.org/package/2006/relationships"><Relationship Id="rId1" Type="http://schemas.openxmlformats.org/officeDocument/2006/relationships/image" Target="media/image31.jpg"/></Relationships>
</file>

<file path=word/theme/theme1.xml><?xml version="1.0" encoding="utf-8"?>
<a:theme xmlns:a="http://schemas.openxmlformats.org/drawingml/2006/main" name="Office Theme">
  <a:themeElements>
    <a:clrScheme name="BETA">
      <a:dk1>
        <a:srgbClr val="3F3F3F"/>
      </a:dk1>
      <a:lt1>
        <a:sysClr val="window" lastClr="FFFFFF"/>
      </a:lt1>
      <a:dk2>
        <a:srgbClr val="000000"/>
      </a:dk2>
      <a:lt2>
        <a:srgbClr val="20B9A3"/>
      </a:lt2>
      <a:accent1>
        <a:srgbClr val="2158A8"/>
      </a:accent1>
      <a:accent2>
        <a:srgbClr val="117479"/>
      </a:accent2>
      <a:accent3>
        <a:srgbClr val="8D734A"/>
      </a:accent3>
      <a:accent4>
        <a:srgbClr val="9F2234"/>
      </a:accent4>
      <a:accent5>
        <a:srgbClr val="6D6E71"/>
      </a:accent5>
      <a:accent6>
        <a:srgbClr val="142E3B"/>
      </a:accent6>
      <a:hlink>
        <a:srgbClr val="117479"/>
      </a:hlink>
      <a:folHlink>
        <a:srgbClr val="117479"/>
      </a:folHlink>
    </a:clrScheme>
    <a:fontScheme name="BETA">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nRecordJustification xmlns="685f9fda-bd71-4433-b331-92feb9553089">None</NonRecordJustification>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9c49a7c7-17c7-412f-8077-62dec89b9196</TermId>
        </TermInfo>
      </Terms>
    </mc5611b894cf49d8aeeb8ebf39dc09bc>
    <ShareHubID xmlns="166541c0-0594-4e6a-9105-c24d4b6de6f7">DOC18-403638</ShareHubID>
    <TaxCatchAll xmlns="166541c0-0594-4e6a-9105-c24d4b6de6f7">
      <Value>1</Value>
      <Value>33</Value>
    </TaxCatchAll>
    <PMCNotes xmlns="166541c0-0594-4e6a-9105-c24d4b6de6f7">First cut of foreword after Tara's feedback</PMCNotes>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Royal Commission</TermName>
          <TermId xmlns="http://schemas.microsoft.com/office/infopath/2007/PartnerControls">1b5ec731-3e16-44b1-86f4-0c46c4cdd7b2</TermId>
        </TermInfo>
      </Terms>
    </hc4a8f51d7584793bcee84017ea96cb3>
  </documentManagement>
</p:properties>
</file>

<file path=customXml/item2.xml><?xml version="1.0" encoding="utf-8"?>
<ct:contentTypeSchema xmlns:ct="http://schemas.microsoft.com/office/2006/metadata/contentType" xmlns:ma="http://schemas.microsoft.com/office/2006/metadata/properties/metaAttributes" ct:_="" ma:_="" ma:contentTypeName="PMC Document" ma:contentTypeID="0x0101002825A64A6E1845A99A9D8EE8A5686ECB009B58D7D72C3ED54C851955501673F8AC" ma:contentTypeVersion="11" ma:contentTypeDescription="PMC Document" ma:contentTypeScope="" ma:versionID="dce88d5783c8e6ea69d4384014b5f83d">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35b41bab6e866c3568f1ad78d1998483"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Level" ma:default="1;#UNCLASSIFIED|9c49a7c7-17c7-412f-8077-62dec89b9196"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DLM"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ma:displayName="Non-record justification" ma:default="None" ma:format="Dropdown" ma:internalName="NonRecordJustification">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3BF140-CEF3-480C-B06D-AD763004298C}"/>
</file>

<file path=customXml/itemProps2.xml><?xml version="1.0" encoding="utf-8"?>
<ds:datastoreItem xmlns:ds="http://schemas.openxmlformats.org/officeDocument/2006/customXml" ds:itemID="{A0D2400E-4EE8-4483-AF2E-3EBEEDB7F3C6}"/>
</file>

<file path=customXml/itemProps3.xml><?xml version="1.0" encoding="utf-8"?>
<ds:datastoreItem xmlns:ds="http://schemas.openxmlformats.org/officeDocument/2006/customXml" ds:itemID="{98C1BA81-B23A-4BDC-9DA2-088D6FD51AA1}"/>
</file>

<file path=customXml/itemProps4.xml><?xml version="1.0" encoding="utf-8"?>
<ds:datastoreItem xmlns:ds="http://schemas.openxmlformats.org/officeDocument/2006/customXml" ds:itemID="{8A35BDD7-CD9B-4177-B2A3-10EF9D9FCB60}"/>
</file>

<file path=docProps/app.xml><?xml version="1.0" encoding="utf-8"?>
<Properties xmlns="http://schemas.openxmlformats.org/officeDocument/2006/extended-properties" xmlns:vt="http://schemas.openxmlformats.org/officeDocument/2006/docPropsVTypes">
  <Template>DE588E25</Template>
  <TotalTime>3</TotalTime>
  <Pages>86</Pages>
  <Words>18293</Words>
  <Characters>109234</Characters>
  <Application>Microsoft Office Word</Application>
  <DocSecurity>0</DocSecurity>
  <Lines>910</Lines>
  <Paragraphs>254</Paragraphs>
  <ScaleCrop>false</ScaleCrop>
  <HeadingPairs>
    <vt:vector size="2" baseType="variant">
      <vt:variant>
        <vt:lpstr>Title</vt:lpstr>
      </vt:variant>
      <vt:variant>
        <vt:i4>1</vt:i4>
      </vt:variant>
    </vt:vector>
  </HeadingPairs>
  <TitlesOfParts>
    <vt:vector size="1" baseType="lpstr">
      <vt:lpstr>Behavioural insights for public policy: Case studies from around Australia June 2018</vt:lpstr>
    </vt:vector>
  </TitlesOfParts>
  <Company>Department of the Prime Minister and Cabinet</Company>
  <LinksUpToDate>false</LinksUpToDate>
  <CharactersWithSpaces>127273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Behavioural insights for public policy: Case studies from around Australia June 2018</dc:title>
  <dc:creator>Department of the Prime Minister and Cabinet</dc:creator>
  <cp:lastModifiedBy>Roberts, Sarah</cp:lastModifiedBy>
  <cp:revision>3</cp:revision>
  <cp:lastPrinted>2018-06-15T04:03:00Z</cp:lastPrinted>
  <dcterms:created xsi:type="dcterms:W3CDTF">2018-11-22T00:21:00Z</dcterms:created>
  <dcterms:modified xsi:type="dcterms:W3CDTF">2018-11-23T04:21:00Z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HPRMSecurityLevel">
    <vt:lpwstr>1;#UNCLASSIFIED|9c49a7c7-17c7-412f-8077-62dec89b9196</vt:lpwstr>
  </property>
  <property fmtid="{D5CDD505-2E9C-101B-9397-08002B2CF9AE}" pid="4" name="HPRMSecurityCaveat">
    <vt:lpwstr/>
  </property>
  <property fmtid="{D5CDD505-2E9C-101B-9397-08002B2CF9AE}" pid="5" name="ESearchTags">
    <vt:lpwstr>33;#Royal Commission|1b5ec731-3e16-44b1-86f4-0c46c4cdd7b2</vt:lpwstr>
  </property>
  <property fmtid="{D5CDD505-2E9C-101B-9397-08002B2CF9AE}" pid="6" name="PMC.ESearch.TagGeneratedTime">
    <vt:lpwstr>2018-11-22T12:13:15</vt:lpwstr>
  </property>
</Properties>
</file>