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CC462A" w14:textId="6DEB4E88" w:rsidR="0088581C" w:rsidRDefault="0088581C" w:rsidP="0088581C">
      <w:bookmarkStart w:id="0" w:name="_Toc432437392"/>
      <w:bookmarkStart w:id="1" w:name="_GoBack"/>
      <w:bookmarkEnd w:id="1"/>
    </w:p>
    <w:p w14:paraId="0B17AF47" w14:textId="15428075" w:rsidR="0088581C" w:rsidRPr="0088581C" w:rsidRDefault="0088581C" w:rsidP="0088581C"/>
    <w:p w14:paraId="2E60B28E" w14:textId="3346D35C" w:rsidR="0088581C" w:rsidRPr="0088581C" w:rsidRDefault="004F43AD" w:rsidP="0088581C">
      <w:r>
        <w:rPr>
          <w:noProof/>
        </w:rPr>
        <w:drawing>
          <wp:anchor distT="0" distB="0" distL="114300" distR="114300" simplePos="0" relativeHeight="251660288" behindDoc="1" locked="0" layoutInCell="1" allowOverlap="1" wp14:anchorId="783A6C83" wp14:editId="46EEBE0E">
            <wp:simplePos x="0" y="0"/>
            <wp:positionH relativeFrom="column">
              <wp:posOffset>28385</wp:posOffset>
            </wp:positionH>
            <wp:positionV relativeFrom="paragraph">
              <wp:posOffset>259080</wp:posOffset>
            </wp:positionV>
            <wp:extent cx="6602095" cy="4401185"/>
            <wp:effectExtent l="0" t="0" r="8255" b="0"/>
            <wp:wrapSquare wrapText="bothSides"/>
            <wp:docPr id="11" name="Picture 11" descr="The cover image shows a woman addressing female students in a university lecture hall"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recognizable teacher gestures as she lectures a class of students. : Stock Phot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02095" cy="4401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4900B0" w14:textId="7381EC79" w:rsidR="0088581C" w:rsidRPr="0088581C" w:rsidRDefault="0088581C" w:rsidP="0088581C"/>
    <w:p w14:paraId="766E0D44" w14:textId="77777777" w:rsidR="0088581C" w:rsidRPr="0088581C" w:rsidRDefault="0088581C" w:rsidP="0088581C"/>
    <w:p w14:paraId="16B0F213" w14:textId="169ABA96" w:rsidR="009E3A7B" w:rsidRPr="009E3A7B" w:rsidRDefault="009E3A7B" w:rsidP="00AB1258">
      <w:pPr>
        <w:pStyle w:val="Heading1"/>
        <w:ind w:left="3240"/>
        <w:rPr>
          <w:sz w:val="56"/>
          <w:szCs w:val="56"/>
        </w:rPr>
      </w:pPr>
      <w:r w:rsidRPr="009E3A7B">
        <w:rPr>
          <w:sz w:val="56"/>
          <w:szCs w:val="56"/>
        </w:rPr>
        <w:t>Mentoring for women economics students</w:t>
      </w:r>
    </w:p>
    <w:p w14:paraId="1D438AB0" w14:textId="7D222C4A" w:rsidR="009E3A7B" w:rsidRPr="00126941" w:rsidRDefault="009E3A7B" w:rsidP="00AB1258">
      <w:pPr>
        <w:ind w:left="3240"/>
        <w:rPr>
          <w:sz w:val="36"/>
          <w:szCs w:val="36"/>
        </w:rPr>
      </w:pPr>
      <w:r w:rsidRPr="00126941">
        <w:rPr>
          <w:sz w:val="36"/>
          <w:szCs w:val="36"/>
        </w:rPr>
        <w:t>Evidence from a randomised controlled trial</w:t>
      </w:r>
    </w:p>
    <w:p w14:paraId="0817DF20" w14:textId="1DB94480" w:rsidR="00126941" w:rsidRDefault="00857B0B" w:rsidP="00126941">
      <w:pPr>
        <w:ind w:left="3402"/>
        <w:jc w:val="right"/>
        <w:rPr>
          <w:sz w:val="24"/>
        </w:rPr>
      </w:pPr>
      <w:r w:rsidRPr="00FE7CEA">
        <w:rPr>
          <w:noProof/>
        </w:rPr>
        <w:drawing>
          <wp:anchor distT="0" distB="0" distL="114300" distR="114300" simplePos="0" relativeHeight="251659264" behindDoc="0" locked="0" layoutInCell="1" allowOverlap="1" wp14:anchorId="7E43D450" wp14:editId="05D95E09">
            <wp:simplePos x="0" y="0"/>
            <wp:positionH relativeFrom="margin">
              <wp:posOffset>-69215</wp:posOffset>
            </wp:positionH>
            <wp:positionV relativeFrom="paragraph">
              <wp:posOffset>204470</wp:posOffset>
            </wp:positionV>
            <wp:extent cx="2616200" cy="809278"/>
            <wp:effectExtent l="0" t="0" r="0" b="0"/>
            <wp:wrapNone/>
            <wp:docPr id="70" name="Picture 69" descr="The logo for WEN - Women in Economics Network" title="Women in Economics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6200" cy="809278"/>
                    </a:xfrm>
                    <a:prstGeom prst="rect">
                      <a:avLst/>
                    </a:prstGeom>
                  </pic:spPr>
                </pic:pic>
              </a:graphicData>
            </a:graphic>
            <wp14:sizeRelH relativeFrom="page">
              <wp14:pctWidth>0</wp14:pctWidth>
            </wp14:sizeRelH>
            <wp14:sizeRelV relativeFrom="page">
              <wp14:pctHeight>0</wp14:pctHeight>
            </wp14:sizeRelV>
          </wp:anchor>
        </w:drawing>
      </w:r>
    </w:p>
    <w:p w14:paraId="3E370C19" w14:textId="16F3B025" w:rsidR="00126941" w:rsidRDefault="00126941" w:rsidP="00126941">
      <w:pPr>
        <w:ind w:left="3402"/>
        <w:jc w:val="right"/>
        <w:rPr>
          <w:sz w:val="24"/>
        </w:rPr>
      </w:pPr>
    </w:p>
    <w:p w14:paraId="432C35DD" w14:textId="7384B55F" w:rsidR="009E3A7B" w:rsidRPr="00126941" w:rsidRDefault="00303B35" w:rsidP="009E1352">
      <w:pPr>
        <w:ind w:left="7995"/>
        <w:rPr>
          <w:b/>
          <w:sz w:val="24"/>
        </w:rPr>
      </w:pPr>
      <w:r>
        <w:rPr>
          <w:b/>
          <w:sz w:val="24"/>
        </w:rPr>
        <w:t>February</w:t>
      </w:r>
      <w:r w:rsidR="009E3A7B" w:rsidRPr="00126941">
        <w:rPr>
          <w:b/>
          <w:sz w:val="24"/>
        </w:rPr>
        <w:t xml:space="preserve"> 2021</w:t>
      </w:r>
    </w:p>
    <w:p w14:paraId="121B3468" w14:textId="764075FB" w:rsidR="009E3A7B" w:rsidRDefault="009E3A7B" w:rsidP="009E3A7B"/>
    <w:p w14:paraId="47C9368B" w14:textId="0D3E4D16" w:rsidR="00AB1258" w:rsidRDefault="00AB1258" w:rsidP="00AB1258"/>
    <w:p w14:paraId="2A200F9F" w14:textId="77777777" w:rsidR="008253C4" w:rsidRPr="00AB1258" w:rsidRDefault="008253C4" w:rsidP="00AB1258">
      <w:pPr>
        <w:sectPr w:rsidR="008253C4" w:rsidRPr="00AB1258" w:rsidSect="008D551E">
          <w:headerReference w:type="default" r:id="rId13"/>
          <w:pgSz w:w="11906" w:h="16838" w:code="9"/>
          <w:pgMar w:top="2126" w:right="720" w:bottom="567" w:left="720" w:header="567" w:footer="567" w:gutter="0"/>
          <w:pgNumType w:start="0"/>
          <w:cols w:space="708"/>
          <w:docGrid w:linePitch="360"/>
        </w:sectPr>
      </w:pPr>
    </w:p>
    <w:p w14:paraId="07E1491E" w14:textId="7A54F4F0" w:rsidR="00EB0609" w:rsidRDefault="00EB0609" w:rsidP="00EB0609">
      <w:pPr>
        <w:pStyle w:val="DisclaimerH1"/>
      </w:pPr>
    </w:p>
    <w:p w14:paraId="68BEA8D6" w14:textId="77777777" w:rsidR="00EB0609" w:rsidRDefault="00EB0609" w:rsidP="00EB0609">
      <w:pPr>
        <w:pStyle w:val="DisclaimerH2"/>
      </w:pPr>
      <w:r>
        <w:t>Other uses</w:t>
      </w:r>
    </w:p>
    <w:p w14:paraId="756008A2" w14:textId="77777777" w:rsidR="00EB0609" w:rsidRDefault="00EB0609" w:rsidP="00EB0609">
      <w:r>
        <w:t>Enquiries regarding this license and any other use of this document are welcome at:</w:t>
      </w:r>
    </w:p>
    <w:p w14:paraId="00382877" w14:textId="20B0EAA8" w:rsidR="00EB0609" w:rsidRDefault="00EB0609" w:rsidP="00EB0609">
      <w:pPr>
        <w:spacing w:before="0" w:after="0"/>
      </w:pPr>
      <w:r>
        <w:t>Managing Director</w:t>
      </w:r>
    </w:p>
    <w:p w14:paraId="05750938" w14:textId="77777777" w:rsidR="00EB0609" w:rsidRDefault="00EB0609" w:rsidP="00EB0609">
      <w:pPr>
        <w:spacing w:before="0" w:after="0"/>
      </w:pPr>
      <w:r>
        <w:t>Behavioural Economics Team of the Australian Government</w:t>
      </w:r>
    </w:p>
    <w:p w14:paraId="75EF4E5B" w14:textId="77777777" w:rsidR="00EB0609" w:rsidRDefault="00EB0609" w:rsidP="00EB0609">
      <w:pPr>
        <w:spacing w:before="0" w:after="0"/>
      </w:pPr>
      <w:r>
        <w:t>Department of the Prime Minister and Cabinet</w:t>
      </w:r>
    </w:p>
    <w:p w14:paraId="789DFD4A" w14:textId="77777777" w:rsidR="00EB0609" w:rsidRDefault="00EB0609" w:rsidP="00EB0609">
      <w:pPr>
        <w:spacing w:before="0" w:after="0"/>
      </w:pPr>
      <w:r>
        <w:t>Barton ACT 2600</w:t>
      </w:r>
    </w:p>
    <w:p w14:paraId="600B0015" w14:textId="77777777" w:rsidR="00EB0609" w:rsidRDefault="00EB0609" w:rsidP="00EB0609">
      <w:pPr>
        <w:spacing w:before="0" w:after="0"/>
      </w:pPr>
      <w:r>
        <w:t>Email: beta@pmc.gov.au</w:t>
      </w:r>
    </w:p>
    <w:p w14:paraId="210F1DBE" w14:textId="77777777" w:rsidR="00EB0609" w:rsidRDefault="00EB0609" w:rsidP="00EB0609">
      <w:r>
        <w:t>The views expressed in this paper are those of the authors and do not necessarily reflect those of the Department of the Prime Minister and Cabinet or the Australian Government.</w:t>
      </w:r>
    </w:p>
    <w:p w14:paraId="5BF4BC04" w14:textId="05B47C68" w:rsidR="00EB0609" w:rsidRDefault="00EB0609" w:rsidP="00EB0609">
      <w:pPr>
        <w:pStyle w:val="DisclaimerH2"/>
      </w:pPr>
      <w:r>
        <w:t>Research team</w:t>
      </w:r>
    </w:p>
    <w:p w14:paraId="56DDD5EB" w14:textId="5E7030CA" w:rsidR="00EB0609" w:rsidRDefault="00CE3216" w:rsidP="00EB0609">
      <w:r w:rsidRPr="00CE3216">
        <w:t xml:space="preserve">This project was a collaboration between the </w:t>
      </w:r>
      <w:r>
        <w:t xml:space="preserve">ACT </w:t>
      </w:r>
      <w:r w:rsidRPr="00CE3216">
        <w:t>Women in Economics Network, BETA</w:t>
      </w:r>
      <w:r>
        <w:t xml:space="preserve">, </w:t>
      </w:r>
      <w:r w:rsidRPr="00CE3216">
        <w:t>the Office for Women</w:t>
      </w:r>
      <w:r>
        <w:t xml:space="preserve"> and the Australian National University (ANU)</w:t>
      </w:r>
      <w:r w:rsidRPr="00CE3216">
        <w:t xml:space="preserve">. The research team comprised: Catie Bradbear, Harry Greenwell, Rebecca Cassells, Scott Copley, Maria Racionero, Renee </w:t>
      </w:r>
      <w:r w:rsidR="0072125A">
        <w:t>Fry</w:t>
      </w:r>
      <w:r w:rsidR="0072125A">
        <w:noBreakHyphen/>
      </w:r>
      <w:r w:rsidRPr="00CE3216">
        <w:t>McKibb</w:t>
      </w:r>
      <w:r w:rsidR="0072125A">
        <w:t>i</w:t>
      </w:r>
      <w:r w:rsidRPr="00CE3216">
        <w:t>n and Tim Watson.</w:t>
      </w:r>
      <w:r w:rsidDel="00CE3216">
        <w:rPr>
          <w:highlight w:val="yellow"/>
        </w:rPr>
        <w:t xml:space="preserve"> </w:t>
      </w:r>
    </w:p>
    <w:p w14:paraId="17648ADD" w14:textId="77777777" w:rsidR="00EB0609" w:rsidRDefault="00EB0609" w:rsidP="00EB0609">
      <w:pPr>
        <w:pStyle w:val="DisclaimerH2"/>
      </w:pPr>
      <w:r>
        <w:t>Acknowledgments</w:t>
      </w:r>
    </w:p>
    <w:p w14:paraId="073008BF" w14:textId="4B12AFBB" w:rsidR="00EB0609" w:rsidRDefault="00D830C5" w:rsidP="00EB0609">
      <w:r w:rsidRPr="00D830C5">
        <w:t>Thank you to Rabee Tourky, Director and the Trevor Swan Distinguished Professor of Economics of the Research School of Economics, for his support of the mentoring program.</w:t>
      </w:r>
      <w:r w:rsidR="0058520F">
        <w:t xml:space="preserve"> </w:t>
      </w:r>
      <w:r w:rsidR="00CE3216">
        <w:t>Thanks also to Sara Edwards and Katherine Jeffries from RapidContext for their contribution to the implementation of the mentoring program.</w:t>
      </w:r>
      <w:r w:rsidR="00CE3216" w:rsidDel="00CE3216">
        <w:t xml:space="preserve"> </w:t>
      </w:r>
      <w:r w:rsidR="0058520F">
        <w:t xml:space="preserve">Finally, thanks to staff in the Planning and Performance Measurement Division at ANU for their assistance with the administrative data that underpinned this study. </w:t>
      </w:r>
    </w:p>
    <w:p w14:paraId="64BF57D4" w14:textId="70B386E3" w:rsidR="00CE3216" w:rsidRDefault="00CE3216" w:rsidP="00EB0609">
      <w:r>
        <w:t xml:space="preserve">The trial was pre-registered </w:t>
      </w:r>
      <w:r w:rsidR="00A769C4">
        <w:t>at the following locations</w:t>
      </w:r>
      <w:r>
        <w:t>:</w:t>
      </w:r>
    </w:p>
    <w:p w14:paraId="31A20449" w14:textId="3CB7CAE6" w:rsidR="00CE3216" w:rsidRDefault="00BF743C" w:rsidP="00BF743C">
      <w:pPr>
        <w:ind w:left="1080" w:hanging="720"/>
      </w:pPr>
      <w:r>
        <w:rPr>
          <w:rFonts w:ascii="Helvetica" w:hAnsi="Helvetica" w:cs="Helvetica"/>
        </w:rPr>
        <w:t>•</w:t>
      </w:r>
      <w:r>
        <w:rPr>
          <w:rFonts w:ascii="Helvetica" w:hAnsi="Helvetica" w:cs="Helvetica"/>
        </w:rPr>
        <w:tab/>
      </w:r>
      <w:r w:rsidR="00A769C4">
        <w:t xml:space="preserve">BETA website: </w:t>
      </w:r>
      <w:hyperlink r:id="rId14" w:history="1">
        <w:r w:rsidR="00A769C4">
          <w:rPr>
            <w:rStyle w:val="Hyperlink"/>
          </w:rPr>
          <w:t>https://behaviouraleconomics.pmc.gov.au/projects/women-economics-student-mentoring-program</w:t>
        </w:r>
      </w:hyperlink>
    </w:p>
    <w:p w14:paraId="2F8B3EF6" w14:textId="2043FB7B" w:rsidR="00CE3216" w:rsidRDefault="00BF743C" w:rsidP="00BF743C">
      <w:pPr>
        <w:ind w:left="1080" w:hanging="720"/>
      </w:pPr>
      <w:r>
        <w:rPr>
          <w:rFonts w:ascii="Helvetica" w:hAnsi="Helvetica" w:cs="Helvetica"/>
        </w:rPr>
        <w:t>•</w:t>
      </w:r>
      <w:r>
        <w:rPr>
          <w:rFonts w:ascii="Helvetica" w:hAnsi="Helvetica" w:cs="Helvetica"/>
        </w:rPr>
        <w:tab/>
      </w:r>
      <w:r w:rsidR="00CE3216">
        <w:t xml:space="preserve">Open Science Framework: </w:t>
      </w:r>
      <w:hyperlink r:id="rId15" w:history="1">
        <w:r w:rsidR="00CE3216" w:rsidRPr="00CE3216">
          <w:rPr>
            <w:rStyle w:val="Hyperlink"/>
          </w:rPr>
          <w:t>https://osf.io/a57vh/</w:t>
        </w:r>
      </w:hyperlink>
      <w:r w:rsidR="00A769C4">
        <w:t xml:space="preserve"> and </w:t>
      </w:r>
      <w:hyperlink r:id="rId16" w:history="1">
        <w:r w:rsidR="00A769C4">
          <w:rPr>
            <w:rStyle w:val="Hyperlink"/>
          </w:rPr>
          <w:t>https://osf.io/a57vh/</w:t>
        </w:r>
      </w:hyperlink>
      <w:r w:rsidR="00CE3216">
        <w:t xml:space="preserve"> </w:t>
      </w:r>
    </w:p>
    <w:p w14:paraId="6B89FAAB" w14:textId="54C8DBD3" w:rsidR="00A769C4" w:rsidRDefault="00BF743C" w:rsidP="00BF743C">
      <w:pPr>
        <w:ind w:left="1080" w:hanging="720"/>
      </w:pPr>
      <w:r>
        <w:rPr>
          <w:rFonts w:ascii="Helvetica" w:hAnsi="Helvetica" w:cs="Helvetica"/>
        </w:rPr>
        <w:t>•</w:t>
      </w:r>
      <w:r>
        <w:rPr>
          <w:rFonts w:ascii="Helvetica" w:hAnsi="Helvetica" w:cs="Helvetica"/>
        </w:rPr>
        <w:tab/>
      </w:r>
      <w:r w:rsidR="00A769C4">
        <w:t xml:space="preserve">the American Economic Association registry: </w:t>
      </w:r>
      <w:r w:rsidR="00A769C4" w:rsidRPr="00A769C4">
        <w:t xml:space="preserve"> </w:t>
      </w:r>
      <w:hyperlink r:id="rId17" w:history="1">
        <w:r w:rsidR="0076030C" w:rsidRPr="003728A2">
          <w:rPr>
            <w:rStyle w:val="Hyperlink"/>
          </w:rPr>
          <w:t>https://www.socialscienceregistry.org/trials/3396</w:t>
        </w:r>
      </w:hyperlink>
      <w:r w:rsidR="0076030C">
        <w:t xml:space="preserve"> </w:t>
      </w:r>
    </w:p>
    <w:p w14:paraId="2B595538" w14:textId="1B2DFDEC" w:rsidR="00EB0609" w:rsidRDefault="00EB0609" w:rsidP="00EB0609"/>
    <w:p w14:paraId="1D270256" w14:textId="77777777" w:rsidR="00B14898" w:rsidRDefault="00B14898" w:rsidP="00B14898">
      <w:pPr>
        <w:sectPr w:rsidR="00B14898" w:rsidSect="008253C4">
          <w:headerReference w:type="default" r:id="rId18"/>
          <w:footerReference w:type="default" r:id="rId19"/>
          <w:pgSz w:w="11906" w:h="16838" w:code="9"/>
          <w:pgMar w:top="2041" w:right="2381" w:bottom="1247" w:left="1247" w:header="720" w:footer="851" w:gutter="0"/>
          <w:cols w:space="708"/>
          <w:docGrid w:linePitch="360"/>
        </w:sectPr>
      </w:pPr>
    </w:p>
    <w:p w14:paraId="7C917188" w14:textId="4D21CF14" w:rsidR="004909C3" w:rsidRPr="00AB1258" w:rsidRDefault="004909C3" w:rsidP="00AB1258">
      <w:pPr>
        <w:pStyle w:val="Heading2"/>
        <w:pBdr>
          <w:bottom w:val="single" w:sz="24" w:space="21" w:color="2158A8" w:themeColor="accent1"/>
        </w:pBdr>
        <w:spacing w:before="0" w:after="360"/>
        <w:rPr>
          <w:color w:val="FFFFFF" w:themeColor="background1"/>
        </w:rPr>
      </w:pPr>
      <w:r w:rsidRPr="00AB1258">
        <w:rPr>
          <w:color w:val="FFFFFF" w:themeColor="background1"/>
        </w:rPr>
        <w:t>Who?</w:t>
      </w:r>
    </w:p>
    <w:p w14:paraId="790EE487" w14:textId="09DD2494" w:rsidR="00B779CE" w:rsidRPr="00AB1258" w:rsidRDefault="00A23B80" w:rsidP="00AB1258">
      <w:pPr>
        <w:pStyle w:val="Heading3"/>
        <w:spacing w:before="360"/>
        <w:rPr>
          <w:color w:val="FFFFFF" w:themeColor="background1"/>
          <w:sz w:val="24"/>
          <w:szCs w:val="44"/>
        </w:rPr>
      </w:pPr>
      <w:r w:rsidRPr="00AB1258">
        <w:rPr>
          <w:color w:val="FFFFFF" w:themeColor="background1"/>
          <w:sz w:val="24"/>
          <w:szCs w:val="44"/>
        </w:rPr>
        <w:t>The Women in Economics Network</w:t>
      </w:r>
    </w:p>
    <w:p w14:paraId="7191A11D" w14:textId="67135DD6" w:rsidR="00A23B80" w:rsidRDefault="00A23B80" w:rsidP="00A23B80">
      <w:pPr>
        <w:pStyle w:val="WhiteNormal"/>
      </w:pPr>
      <w:r>
        <w:t xml:space="preserve">The Women in Economics Network was established in 2017 and is part of the Economics Society of Australia. It was formed to promote and support the careers of female economists in Australia. The objectives for the Women in Economics Network are to: </w:t>
      </w:r>
    </w:p>
    <w:p w14:paraId="4EEBE5BD" w14:textId="2F0E2565" w:rsidR="00A23B80" w:rsidRDefault="00BF743C" w:rsidP="00BF743C">
      <w:pPr>
        <w:pStyle w:val="WhiteNormal"/>
        <w:ind w:left="720" w:hanging="360"/>
      </w:pPr>
      <w:r>
        <w:rPr>
          <w:rFonts w:ascii="Symbol" w:hAnsi="Symbol"/>
        </w:rPr>
        <w:t></w:t>
      </w:r>
      <w:r>
        <w:rPr>
          <w:rFonts w:ascii="Symbol" w:hAnsi="Symbol"/>
        </w:rPr>
        <w:tab/>
      </w:r>
      <w:r w:rsidR="00A23B80">
        <w:t>Professionally connect and support the career development of women in economics</w:t>
      </w:r>
    </w:p>
    <w:p w14:paraId="100D075D" w14:textId="36888975" w:rsidR="00A23B80" w:rsidRDefault="00BF743C" w:rsidP="00BF743C">
      <w:pPr>
        <w:pStyle w:val="WhiteNormal"/>
        <w:ind w:left="720" w:hanging="360"/>
      </w:pPr>
      <w:r>
        <w:rPr>
          <w:rFonts w:ascii="Symbol" w:hAnsi="Symbol"/>
        </w:rPr>
        <w:t></w:t>
      </w:r>
      <w:r>
        <w:rPr>
          <w:rFonts w:ascii="Symbol" w:hAnsi="Symbol"/>
        </w:rPr>
        <w:tab/>
      </w:r>
      <w:r w:rsidR="00A23B80">
        <w:t>Increase the representation of women at all levels of the economics profession</w:t>
      </w:r>
    </w:p>
    <w:p w14:paraId="5C2471F0" w14:textId="0E7195B2" w:rsidR="00A23B80" w:rsidRDefault="00BF743C" w:rsidP="00BF743C">
      <w:pPr>
        <w:pStyle w:val="WhiteNormal"/>
        <w:ind w:left="720" w:hanging="360"/>
      </w:pPr>
      <w:r>
        <w:rPr>
          <w:rFonts w:ascii="Symbol" w:hAnsi="Symbol"/>
        </w:rPr>
        <w:t></w:t>
      </w:r>
      <w:r>
        <w:rPr>
          <w:rFonts w:ascii="Symbol" w:hAnsi="Symbol"/>
        </w:rPr>
        <w:tab/>
      </w:r>
      <w:r w:rsidR="00A23B80">
        <w:t>Promote public contributions by female economists.</w:t>
      </w:r>
    </w:p>
    <w:p w14:paraId="6E0C0BE5" w14:textId="66380701" w:rsidR="00A23B80" w:rsidRDefault="00BF743C" w:rsidP="00BF743C">
      <w:pPr>
        <w:pStyle w:val="WhiteNormal"/>
        <w:ind w:left="720" w:hanging="360"/>
      </w:pPr>
      <w:r>
        <w:rPr>
          <w:rFonts w:ascii="Symbol" w:hAnsi="Symbol"/>
        </w:rPr>
        <w:t></w:t>
      </w:r>
      <w:r>
        <w:rPr>
          <w:rFonts w:ascii="Symbol" w:hAnsi="Symbol"/>
        </w:rPr>
        <w:tab/>
      </w:r>
      <w:r w:rsidR="00A23B80">
        <w:t>Encourage young women to study economics</w:t>
      </w:r>
    </w:p>
    <w:p w14:paraId="6E8E1505" w14:textId="77777777" w:rsidR="00A23B80" w:rsidRPr="00AB1258" w:rsidRDefault="00A23B80" w:rsidP="00AB1258">
      <w:pPr>
        <w:pStyle w:val="Heading3"/>
        <w:spacing w:before="360"/>
        <w:rPr>
          <w:color w:val="FFFFFF" w:themeColor="background1"/>
          <w:sz w:val="24"/>
          <w:szCs w:val="44"/>
        </w:rPr>
      </w:pPr>
      <w:r w:rsidRPr="00AB1258">
        <w:rPr>
          <w:color w:val="FFFFFF" w:themeColor="background1"/>
          <w:sz w:val="24"/>
          <w:szCs w:val="44"/>
        </w:rPr>
        <w:t>BETA</w:t>
      </w:r>
    </w:p>
    <w:p w14:paraId="184CC815" w14:textId="5E52C934" w:rsidR="004909C3" w:rsidRPr="004909C3" w:rsidRDefault="00A23B80" w:rsidP="004909C3">
      <w:pPr>
        <w:pStyle w:val="WhiteNormal"/>
      </w:pPr>
      <w:r>
        <w:t xml:space="preserve">BETA is </w:t>
      </w:r>
      <w:r w:rsidR="004909C3" w:rsidRPr="004909C3">
        <w:t>the Behavioural Economics Team of the Australian Government, the Australian Government’s first central unit applying behavioural economics to improve public policy, programs and processes. We use behavioural economics, science and psychology to improve policy outcomes. Our mission is to advance the wellbeing of Australians through the application and rigorous evaluation of behavioural insights to public policy and administration.</w:t>
      </w:r>
    </w:p>
    <w:p w14:paraId="4469B575" w14:textId="77777777" w:rsidR="0024386A" w:rsidRDefault="0024386A" w:rsidP="004909C3">
      <w:pPr>
        <w:pStyle w:val="WhiteNormal"/>
        <w:sectPr w:rsidR="0024386A" w:rsidSect="008253C4">
          <w:headerReference w:type="default" r:id="rId20"/>
          <w:footerReference w:type="default" r:id="rId21"/>
          <w:pgSz w:w="11906" w:h="16838" w:code="9"/>
          <w:pgMar w:top="2041" w:right="2381" w:bottom="1247" w:left="1247" w:header="720" w:footer="851" w:gutter="0"/>
          <w:cols w:space="708"/>
          <w:docGrid w:linePitch="360"/>
        </w:sectPr>
      </w:pPr>
    </w:p>
    <w:p w14:paraId="30D93680" w14:textId="24073ADB" w:rsidR="004909C3" w:rsidRDefault="004909C3" w:rsidP="004909C3">
      <w:pPr>
        <w:pStyle w:val="WhiteNormal"/>
      </w:pPr>
    </w:p>
    <w:bookmarkEnd w:id="0" w:displacedByCustomXml="next"/>
    <w:sdt>
      <w:sdtPr>
        <w:rPr>
          <w:rFonts w:asciiTheme="minorHAnsi" w:hAnsiTheme="minorHAnsi"/>
          <w:b w:val="0"/>
          <w:bCs/>
          <w:color w:val="3F3F3F" w:themeColor="text1"/>
          <w:sz w:val="22"/>
          <w:szCs w:val="24"/>
        </w:rPr>
        <w:id w:val="667208857"/>
        <w:docPartObj>
          <w:docPartGallery w:val="Table of Contents"/>
          <w:docPartUnique/>
        </w:docPartObj>
      </w:sdtPr>
      <w:sdtEndPr>
        <w:rPr>
          <w:bCs w:val="0"/>
          <w:noProof/>
          <w:sz w:val="20"/>
        </w:rPr>
      </w:sdtEndPr>
      <w:sdtContent>
        <w:p w14:paraId="360603EB" w14:textId="77777777" w:rsidR="004909C3" w:rsidRPr="00F478EE" w:rsidRDefault="004909C3" w:rsidP="00F478EE">
          <w:pPr>
            <w:pStyle w:val="Heading2"/>
            <w:pBdr>
              <w:bottom w:val="single" w:sz="24" w:space="21" w:color="2158A8" w:themeColor="accent1"/>
            </w:pBdr>
            <w:spacing w:before="0" w:after="360"/>
            <w:rPr>
              <w:color w:val="FFFFFF" w:themeColor="background1"/>
            </w:rPr>
          </w:pPr>
          <w:r w:rsidRPr="00F478EE">
            <w:rPr>
              <w:color w:val="FFFFFF" w:themeColor="background1"/>
            </w:rPr>
            <w:t>Contents</w:t>
          </w:r>
        </w:p>
        <w:p w14:paraId="5CB9DE40" w14:textId="286E42E0" w:rsidR="00577542" w:rsidRDefault="00CB1ED4" w:rsidP="00A33149">
          <w:pPr>
            <w:pStyle w:val="TOC1"/>
            <w:rPr>
              <w:rFonts w:eastAsiaTheme="minorEastAsia" w:cstheme="minorBidi"/>
              <w:color w:val="auto"/>
              <w:sz w:val="22"/>
              <w:szCs w:val="22"/>
            </w:rPr>
          </w:pPr>
          <w:r>
            <w:fldChar w:fldCharType="begin"/>
          </w:r>
          <w:r>
            <w:instrText xml:space="preserve"> TOC \h \z \t "Heading 1,1,Large H1,1,Appendix Heading,2" </w:instrText>
          </w:r>
          <w:r>
            <w:fldChar w:fldCharType="separate"/>
          </w:r>
          <w:hyperlink w:anchor="_Toc57814941" w:history="1">
            <w:r w:rsidR="00577542" w:rsidRPr="00841959">
              <w:rPr>
                <w:rStyle w:val="Hyperlink"/>
              </w:rPr>
              <w:t>Executive summary</w:t>
            </w:r>
            <w:r w:rsidR="00577542">
              <w:rPr>
                <w:webHidden/>
              </w:rPr>
              <w:tab/>
            </w:r>
            <w:r w:rsidR="00577542">
              <w:rPr>
                <w:webHidden/>
              </w:rPr>
              <w:fldChar w:fldCharType="begin"/>
            </w:r>
            <w:r w:rsidR="00577542">
              <w:rPr>
                <w:webHidden/>
              </w:rPr>
              <w:instrText xml:space="preserve"> PAGEREF _Toc57814941 \h </w:instrText>
            </w:r>
            <w:r w:rsidR="00577542">
              <w:rPr>
                <w:webHidden/>
              </w:rPr>
            </w:r>
            <w:r w:rsidR="00577542">
              <w:rPr>
                <w:webHidden/>
              </w:rPr>
              <w:fldChar w:fldCharType="separate"/>
            </w:r>
            <w:r w:rsidR="00FB2B5D">
              <w:rPr>
                <w:webHidden/>
              </w:rPr>
              <w:t>4</w:t>
            </w:r>
            <w:r w:rsidR="00577542">
              <w:rPr>
                <w:webHidden/>
              </w:rPr>
              <w:fldChar w:fldCharType="end"/>
            </w:r>
          </w:hyperlink>
        </w:p>
        <w:p w14:paraId="61902181" w14:textId="3A2ACEAC" w:rsidR="00577542" w:rsidRDefault="00F158E7" w:rsidP="00A33149">
          <w:pPr>
            <w:pStyle w:val="TOC1"/>
            <w:rPr>
              <w:rFonts w:eastAsiaTheme="minorEastAsia" w:cstheme="minorBidi"/>
              <w:color w:val="auto"/>
              <w:sz w:val="22"/>
              <w:szCs w:val="22"/>
            </w:rPr>
          </w:pPr>
          <w:hyperlink w:anchor="_Toc57814942" w:history="1">
            <w:r w:rsidR="00577542" w:rsidRPr="00841959">
              <w:rPr>
                <w:rStyle w:val="Hyperlink"/>
              </w:rPr>
              <w:t>The problem</w:t>
            </w:r>
            <w:r w:rsidR="00577542">
              <w:rPr>
                <w:webHidden/>
              </w:rPr>
              <w:tab/>
            </w:r>
            <w:r w:rsidR="00577542">
              <w:rPr>
                <w:webHidden/>
              </w:rPr>
              <w:fldChar w:fldCharType="begin"/>
            </w:r>
            <w:r w:rsidR="00577542">
              <w:rPr>
                <w:webHidden/>
              </w:rPr>
              <w:instrText xml:space="preserve"> PAGEREF _Toc57814942 \h </w:instrText>
            </w:r>
            <w:r w:rsidR="00577542">
              <w:rPr>
                <w:webHidden/>
              </w:rPr>
            </w:r>
            <w:r w:rsidR="00577542">
              <w:rPr>
                <w:webHidden/>
              </w:rPr>
              <w:fldChar w:fldCharType="separate"/>
            </w:r>
            <w:r w:rsidR="00FB2B5D">
              <w:rPr>
                <w:webHidden/>
              </w:rPr>
              <w:t>5</w:t>
            </w:r>
            <w:r w:rsidR="00577542">
              <w:rPr>
                <w:webHidden/>
              </w:rPr>
              <w:fldChar w:fldCharType="end"/>
            </w:r>
          </w:hyperlink>
        </w:p>
        <w:p w14:paraId="71622D0C" w14:textId="16FEDF1F" w:rsidR="00577542" w:rsidRDefault="00F158E7" w:rsidP="00A33149">
          <w:pPr>
            <w:pStyle w:val="TOC1"/>
            <w:rPr>
              <w:rFonts w:eastAsiaTheme="minorEastAsia" w:cstheme="minorBidi"/>
              <w:color w:val="auto"/>
              <w:sz w:val="22"/>
              <w:szCs w:val="22"/>
            </w:rPr>
          </w:pPr>
          <w:hyperlink w:anchor="_Toc57814943" w:history="1">
            <w:r w:rsidR="00577542" w:rsidRPr="00841959">
              <w:rPr>
                <w:rStyle w:val="Hyperlink"/>
              </w:rPr>
              <w:t>Mentoring program design</w:t>
            </w:r>
            <w:r w:rsidR="00577542">
              <w:rPr>
                <w:webHidden/>
              </w:rPr>
              <w:tab/>
            </w:r>
            <w:r w:rsidR="00577542">
              <w:rPr>
                <w:webHidden/>
              </w:rPr>
              <w:fldChar w:fldCharType="begin"/>
            </w:r>
            <w:r w:rsidR="00577542">
              <w:rPr>
                <w:webHidden/>
              </w:rPr>
              <w:instrText xml:space="preserve"> PAGEREF _Toc57814943 \h </w:instrText>
            </w:r>
            <w:r w:rsidR="00577542">
              <w:rPr>
                <w:webHidden/>
              </w:rPr>
            </w:r>
            <w:r w:rsidR="00577542">
              <w:rPr>
                <w:webHidden/>
              </w:rPr>
              <w:fldChar w:fldCharType="separate"/>
            </w:r>
            <w:r w:rsidR="00FB2B5D">
              <w:rPr>
                <w:webHidden/>
              </w:rPr>
              <w:t>8</w:t>
            </w:r>
            <w:r w:rsidR="00577542">
              <w:rPr>
                <w:webHidden/>
              </w:rPr>
              <w:fldChar w:fldCharType="end"/>
            </w:r>
          </w:hyperlink>
        </w:p>
        <w:p w14:paraId="5E6727BC" w14:textId="053C7CA0" w:rsidR="00577542" w:rsidRDefault="00F158E7" w:rsidP="00A33149">
          <w:pPr>
            <w:pStyle w:val="TOC1"/>
            <w:rPr>
              <w:rFonts w:eastAsiaTheme="minorEastAsia" w:cstheme="minorBidi"/>
              <w:color w:val="auto"/>
              <w:sz w:val="22"/>
              <w:szCs w:val="22"/>
            </w:rPr>
          </w:pPr>
          <w:hyperlink w:anchor="_Toc57814944" w:history="1">
            <w:r w:rsidR="00577542" w:rsidRPr="00841959">
              <w:rPr>
                <w:rStyle w:val="Hyperlink"/>
              </w:rPr>
              <w:t>Results</w:t>
            </w:r>
            <w:r w:rsidR="00577542">
              <w:rPr>
                <w:webHidden/>
              </w:rPr>
              <w:tab/>
            </w:r>
            <w:r w:rsidR="00577542">
              <w:rPr>
                <w:webHidden/>
              </w:rPr>
              <w:fldChar w:fldCharType="begin"/>
            </w:r>
            <w:r w:rsidR="00577542">
              <w:rPr>
                <w:webHidden/>
              </w:rPr>
              <w:instrText xml:space="preserve"> PAGEREF _Toc57814944 \h </w:instrText>
            </w:r>
            <w:r w:rsidR="00577542">
              <w:rPr>
                <w:webHidden/>
              </w:rPr>
            </w:r>
            <w:r w:rsidR="00577542">
              <w:rPr>
                <w:webHidden/>
              </w:rPr>
              <w:fldChar w:fldCharType="separate"/>
            </w:r>
            <w:r w:rsidR="00FB2B5D">
              <w:rPr>
                <w:webHidden/>
              </w:rPr>
              <w:t>15</w:t>
            </w:r>
            <w:r w:rsidR="00577542">
              <w:rPr>
                <w:webHidden/>
              </w:rPr>
              <w:fldChar w:fldCharType="end"/>
            </w:r>
          </w:hyperlink>
        </w:p>
        <w:p w14:paraId="366C333C" w14:textId="3EC8288A" w:rsidR="00577542" w:rsidRDefault="00F158E7" w:rsidP="00A33149">
          <w:pPr>
            <w:pStyle w:val="TOC1"/>
            <w:rPr>
              <w:rFonts w:eastAsiaTheme="minorEastAsia" w:cstheme="minorBidi"/>
              <w:color w:val="auto"/>
              <w:sz w:val="22"/>
              <w:szCs w:val="22"/>
            </w:rPr>
          </w:pPr>
          <w:hyperlink w:anchor="_Toc57814945" w:history="1">
            <w:r w:rsidR="00577542" w:rsidRPr="00841959">
              <w:rPr>
                <w:rStyle w:val="Hyperlink"/>
              </w:rPr>
              <w:t>Limitations</w:t>
            </w:r>
            <w:r w:rsidR="00577542">
              <w:rPr>
                <w:webHidden/>
              </w:rPr>
              <w:tab/>
            </w:r>
            <w:r w:rsidR="00577542">
              <w:rPr>
                <w:webHidden/>
              </w:rPr>
              <w:fldChar w:fldCharType="begin"/>
            </w:r>
            <w:r w:rsidR="00577542">
              <w:rPr>
                <w:webHidden/>
              </w:rPr>
              <w:instrText xml:space="preserve"> PAGEREF _Toc57814945 \h </w:instrText>
            </w:r>
            <w:r w:rsidR="00577542">
              <w:rPr>
                <w:webHidden/>
              </w:rPr>
            </w:r>
            <w:r w:rsidR="00577542">
              <w:rPr>
                <w:webHidden/>
              </w:rPr>
              <w:fldChar w:fldCharType="separate"/>
            </w:r>
            <w:r w:rsidR="00FB2B5D">
              <w:rPr>
                <w:webHidden/>
              </w:rPr>
              <w:t>22</w:t>
            </w:r>
            <w:r w:rsidR="00577542">
              <w:rPr>
                <w:webHidden/>
              </w:rPr>
              <w:fldChar w:fldCharType="end"/>
            </w:r>
          </w:hyperlink>
        </w:p>
        <w:p w14:paraId="6FF659C3" w14:textId="29C26D86" w:rsidR="00577542" w:rsidRDefault="00F158E7" w:rsidP="00A33149">
          <w:pPr>
            <w:pStyle w:val="TOC1"/>
            <w:rPr>
              <w:rFonts w:eastAsiaTheme="minorEastAsia" w:cstheme="minorBidi"/>
              <w:color w:val="auto"/>
              <w:sz w:val="22"/>
              <w:szCs w:val="22"/>
            </w:rPr>
          </w:pPr>
          <w:hyperlink w:anchor="_Toc57814946" w:history="1">
            <w:r w:rsidR="00577542" w:rsidRPr="00841959">
              <w:rPr>
                <w:rStyle w:val="Hyperlink"/>
              </w:rPr>
              <w:t>Discussion and conclusion</w:t>
            </w:r>
            <w:r w:rsidR="00577542">
              <w:rPr>
                <w:webHidden/>
              </w:rPr>
              <w:tab/>
            </w:r>
            <w:r w:rsidR="00577542">
              <w:rPr>
                <w:webHidden/>
              </w:rPr>
              <w:fldChar w:fldCharType="begin"/>
            </w:r>
            <w:r w:rsidR="00577542">
              <w:rPr>
                <w:webHidden/>
              </w:rPr>
              <w:instrText xml:space="preserve"> PAGEREF _Toc57814946 \h </w:instrText>
            </w:r>
            <w:r w:rsidR="00577542">
              <w:rPr>
                <w:webHidden/>
              </w:rPr>
            </w:r>
            <w:r w:rsidR="00577542">
              <w:rPr>
                <w:webHidden/>
              </w:rPr>
              <w:fldChar w:fldCharType="separate"/>
            </w:r>
            <w:r w:rsidR="00FB2B5D">
              <w:rPr>
                <w:webHidden/>
              </w:rPr>
              <w:t>23</w:t>
            </w:r>
            <w:r w:rsidR="00577542">
              <w:rPr>
                <w:webHidden/>
              </w:rPr>
              <w:fldChar w:fldCharType="end"/>
            </w:r>
          </w:hyperlink>
        </w:p>
        <w:p w14:paraId="58DE8D4B" w14:textId="31E6C5F2" w:rsidR="00577542" w:rsidRDefault="00F158E7" w:rsidP="00A33149">
          <w:pPr>
            <w:pStyle w:val="TOC1"/>
            <w:rPr>
              <w:rFonts w:eastAsiaTheme="minorEastAsia" w:cstheme="minorBidi"/>
              <w:color w:val="auto"/>
              <w:sz w:val="22"/>
              <w:szCs w:val="22"/>
            </w:rPr>
          </w:pPr>
          <w:hyperlink w:anchor="_Toc57814947" w:history="1">
            <w:r w:rsidR="00577542" w:rsidRPr="00841959">
              <w:rPr>
                <w:rStyle w:val="Hyperlink"/>
              </w:rPr>
              <w:t>Appendices</w:t>
            </w:r>
            <w:r w:rsidR="00577542">
              <w:rPr>
                <w:webHidden/>
              </w:rPr>
              <w:tab/>
            </w:r>
            <w:r w:rsidR="00577542">
              <w:rPr>
                <w:webHidden/>
              </w:rPr>
              <w:fldChar w:fldCharType="begin"/>
            </w:r>
            <w:r w:rsidR="00577542">
              <w:rPr>
                <w:webHidden/>
              </w:rPr>
              <w:instrText xml:space="preserve"> PAGEREF _Toc57814947 \h </w:instrText>
            </w:r>
            <w:r w:rsidR="00577542">
              <w:rPr>
                <w:webHidden/>
              </w:rPr>
            </w:r>
            <w:r w:rsidR="00577542">
              <w:rPr>
                <w:webHidden/>
              </w:rPr>
              <w:fldChar w:fldCharType="separate"/>
            </w:r>
            <w:r w:rsidR="00FB2B5D">
              <w:rPr>
                <w:webHidden/>
              </w:rPr>
              <w:t>25</w:t>
            </w:r>
            <w:r w:rsidR="00577542">
              <w:rPr>
                <w:webHidden/>
              </w:rPr>
              <w:fldChar w:fldCharType="end"/>
            </w:r>
          </w:hyperlink>
        </w:p>
        <w:p w14:paraId="6CDF4F09" w14:textId="109307B1" w:rsidR="00577542" w:rsidRDefault="00F158E7">
          <w:pPr>
            <w:pStyle w:val="TOC2"/>
            <w:rPr>
              <w:rFonts w:eastAsiaTheme="minorEastAsia" w:cstheme="minorBidi"/>
              <w:color w:val="auto"/>
              <w:sz w:val="22"/>
              <w:szCs w:val="22"/>
            </w:rPr>
          </w:pPr>
          <w:hyperlink w:anchor="_Toc57814948" w:history="1">
            <w:r w:rsidR="00577542" w:rsidRPr="00841959">
              <w:rPr>
                <w:rStyle w:val="Hyperlink"/>
                <w:rFonts w:ascii="Helvetica" w:hAnsi="Helvetica"/>
              </w:rPr>
              <w:t>Appendix 1 -</w:t>
            </w:r>
            <w:r w:rsidR="00577542" w:rsidRPr="00841959">
              <w:rPr>
                <w:rStyle w:val="Hyperlink"/>
              </w:rPr>
              <w:t xml:space="preserve"> Evaluation design and analysis</w:t>
            </w:r>
            <w:r w:rsidR="00577542">
              <w:rPr>
                <w:webHidden/>
              </w:rPr>
              <w:tab/>
            </w:r>
            <w:r w:rsidR="00577542">
              <w:rPr>
                <w:webHidden/>
              </w:rPr>
              <w:fldChar w:fldCharType="begin"/>
            </w:r>
            <w:r w:rsidR="00577542">
              <w:rPr>
                <w:webHidden/>
              </w:rPr>
              <w:instrText xml:space="preserve"> PAGEREF _Toc57814948 \h </w:instrText>
            </w:r>
            <w:r w:rsidR="00577542">
              <w:rPr>
                <w:webHidden/>
              </w:rPr>
            </w:r>
            <w:r w:rsidR="00577542">
              <w:rPr>
                <w:webHidden/>
              </w:rPr>
              <w:fldChar w:fldCharType="separate"/>
            </w:r>
            <w:r w:rsidR="00FB2B5D">
              <w:rPr>
                <w:webHidden/>
              </w:rPr>
              <w:t>25</w:t>
            </w:r>
            <w:r w:rsidR="00577542">
              <w:rPr>
                <w:webHidden/>
              </w:rPr>
              <w:fldChar w:fldCharType="end"/>
            </w:r>
          </w:hyperlink>
        </w:p>
        <w:p w14:paraId="4DE7EF79" w14:textId="71D0EB6C" w:rsidR="00577542" w:rsidRDefault="00F158E7">
          <w:pPr>
            <w:pStyle w:val="TOC2"/>
            <w:rPr>
              <w:rFonts w:eastAsiaTheme="minorEastAsia" w:cstheme="minorBidi"/>
              <w:color w:val="auto"/>
              <w:sz w:val="22"/>
              <w:szCs w:val="22"/>
            </w:rPr>
          </w:pPr>
          <w:hyperlink w:anchor="_Toc57814949" w:history="1">
            <w:r w:rsidR="00577542" w:rsidRPr="00841959">
              <w:rPr>
                <w:rStyle w:val="Hyperlink"/>
                <w:rFonts w:ascii="Helvetica" w:hAnsi="Helvetica"/>
              </w:rPr>
              <w:t>Appendix 2 -</w:t>
            </w:r>
            <w:r w:rsidR="00577542" w:rsidRPr="00841959">
              <w:rPr>
                <w:rStyle w:val="Hyperlink"/>
              </w:rPr>
              <w:t xml:space="preserve"> Administration and events</w:t>
            </w:r>
            <w:r w:rsidR="00577542">
              <w:rPr>
                <w:webHidden/>
              </w:rPr>
              <w:tab/>
            </w:r>
            <w:r w:rsidR="00577542">
              <w:rPr>
                <w:webHidden/>
              </w:rPr>
              <w:fldChar w:fldCharType="begin"/>
            </w:r>
            <w:r w:rsidR="00577542">
              <w:rPr>
                <w:webHidden/>
              </w:rPr>
              <w:instrText xml:space="preserve"> PAGEREF _Toc57814949 \h </w:instrText>
            </w:r>
            <w:r w:rsidR="00577542">
              <w:rPr>
                <w:webHidden/>
              </w:rPr>
            </w:r>
            <w:r w:rsidR="00577542">
              <w:rPr>
                <w:webHidden/>
              </w:rPr>
              <w:fldChar w:fldCharType="separate"/>
            </w:r>
            <w:r w:rsidR="00FB2B5D">
              <w:rPr>
                <w:webHidden/>
              </w:rPr>
              <w:t>30</w:t>
            </w:r>
            <w:r w:rsidR="00577542">
              <w:rPr>
                <w:webHidden/>
              </w:rPr>
              <w:fldChar w:fldCharType="end"/>
            </w:r>
          </w:hyperlink>
        </w:p>
        <w:p w14:paraId="55DAE1AD" w14:textId="1D5EF5D6" w:rsidR="00577542" w:rsidRDefault="00F158E7">
          <w:pPr>
            <w:pStyle w:val="TOC2"/>
            <w:rPr>
              <w:rFonts w:eastAsiaTheme="minorEastAsia" w:cstheme="minorBidi"/>
              <w:color w:val="auto"/>
              <w:sz w:val="22"/>
              <w:szCs w:val="22"/>
            </w:rPr>
          </w:pPr>
          <w:hyperlink w:anchor="_Toc57814950" w:history="1">
            <w:r w:rsidR="00577542" w:rsidRPr="00841959">
              <w:rPr>
                <w:rStyle w:val="Hyperlink"/>
                <w:rFonts w:ascii="Helvetica" w:hAnsi="Helvetica"/>
              </w:rPr>
              <w:t>Appendix 3 -</w:t>
            </w:r>
            <w:r w:rsidR="00577542" w:rsidRPr="00841959">
              <w:rPr>
                <w:rStyle w:val="Hyperlink"/>
              </w:rPr>
              <w:t xml:space="preserve"> Statistical tables</w:t>
            </w:r>
            <w:r w:rsidR="00577542">
              <w:rPr>
                <w:webHidden/>
              </w:rPr>
              <w:tab/>
            </w:r>
            <w:r w:rsidR="00577542">
              <w:rPr>
                <w:webHidden/>
              </w:rPr>
              <w:fldChar w:fldCharType="begin"/>
            </w:r>
            <w:r w:rsidR="00577542">
              <w:rPr>
                <w:webHidden/>
              </w:rPr>
              <w:instrText xml:space="preserve"> PAGEREF _Toc57814950 \h </w:instrText>
            </w:r>
            <w:r w:rsidR="00577542">
              <w:rPr>
                <w:webHidden/>
              </w:rPr>
            </w:r>
            <w:r w:rsidR="00577542">
              <w:rPr>
                <w:webHidden/>
              </w:rPr>
              <w:fldChar w:fldCharType="separate"/>
            </w:r>
            <w:r w:rsidR="00FB2B5D">
              <w:rPr>
                <w:webHidden/>
              </w:rPr>
              <w:t>33</w:t>
            </w:r>
            <w:r w:rsidR="00577542">
              <w:rPr>
                <w:webHidden/>
              </w:rPr>
              <w:fldChar w:fldCharType="end"/>
            </w:r>
          </w:hyperlink>
        </w:p>
        <w:p w14:paraId="49109931" w14:textId="350FE066" w:rsidR="00577542" w:rsidRDefault="00F158E7" w:rsidP="00A33149">
          <w:pPr>
            <w:pStyle w:val="TOC1"/>
            <w:rPr>
              <w:rFonts w:eastAsiaTheme="minorEastAsia" w:cstheme="minorBidi"/>
              <w:color w:val="auto"/>
              <w:sz w:val="22"/>
              <w:szCs w:val="22"/>
            </w:rPr>
          </w:pPr>
          <w:hyperlink w:anchor="_Toc57814951" w:history="1">
            <w:r w:rsidR="00577542" w:rsidRPr="00841959">
              <w:rPr>
                <w:rStyle w:val="Hyperlink"/>
              </w:rPr>
              <w:t>References</w:t>
            </w:r>
            <w:r w:rsidR="00577542">
              <w:rPr>
                <w:webHidden/>
              </w:rPr>
              <w:tab/>
            </w:r>
            <w:r w:rsidR="00577542">
              <w:rPr>
                <w:webHidden/>
              </w:rPr>
              <w:fldChar w:fldCharType="begin"/>
            </w:r>
            <w:r w:rsidR="00577542">
              <w:rPr>
                <w:webHidden/>
              </w:rPr>
              <w:instrText xml:space="preserve"> PAGEREF _Toc57814951 \h </w:instrText>
            </w:r>
            <w:r w:rsidR="00577542">
              <w:rPr>
                <w:webHidden/>
              </w:rPr>
            </w:r>
            <w:r w:rsidR="00577542">
              <w:rPr>
                <w:webHidden/>
              </w:rPr>
              <w:fldChar w:fldCharType="separate"/>
            </w:r>
            <w:r w:rsidR="00FB2B5D">
              <w:rPr>
                <w:webHidden/>
              </w:rPr>
              <w:t>41</w:t>
            </w:r>
            <w:r w:rsidR="00577542">
              <w:rPr>
                <w:webHidden/>
              </w:rPr>
              <w:fldChar w:fldCharType="end"/>
            </w:r>
          </w:hyperlink>
        </w:p>
        <w:p w14:paraId="7C19F07D" w14:textId="6835BD7A" w:rsidR="004909C3" w:rsidRDefault="00CB1ED4">
          <w:r>
            <w:rPr>
              <w:noProof/>
              <w:color w:val="FFFFFF" w:themeColor="background1"/>
              <w:sz w:val="28"/>
            </w:rPr>
            <w:fldChar w:fldCharType="end"/>
          </w:r>
        </w:p>
      </w:sdtContent>
    </w:sdt>
    <w:p w14:paraId="50570AAA" w14:textId="77777777" w:rsidR="004909C3" w:rsidRDefault="004909C3" w:rsidP="004909C3">
      <w:pPr>
        <w:rPr>
          <w:noProof/>
        </w:rPr>
      </w:pPr>
    </w:p>
    <w:p w14:paraId="3640EFFA" w14:textId="77777777" w:rsidR="008253C4" w:rsidRDefault="008253C4" w:rsidP="00087D4E">
      <w:pPr>
        <w:rPr>
          <w:b/>
          <w:noProof/>
          <w:color w:val="FFFFFF" w:themeColor="background1"/>
          <w:sz w:val="28"/>
        </w:rPr>
        <w:sectPr w:rsidR="008253C4" w:rsidSect="008253C4">
          <w:pgSz w:w="11906" w:h="16838" w:code="9"/>
          <w:pgMar w:top="2041" w:right="2381" w:bottom="1247" w:left="1247" w:header="720" w:footer="851" w:gutter="0"/>
          <w:cols w:space="708"/>
          <w:docGrid w:linePitch="360"/>
        </w:sectPr>
      </w:pPr>
    </w:p>
    <w:p w14:paraId="506A425D" w14:textId="3BF5CE1B" w:rsidR="0074630F" w:rsidRPr="00F478EE" w:rsidRDefault="0074630F" w:rsidP="00F478EE">
      <w:pPr>
        <w:pStyle w:val="Heading2"/>
      </w:pPr>
      <w:bookmarkStart w:id="2" w:name="_Toc57814941"/>
      <w:r w:rsidRPr="00F478EE">
        <w:t>Executive summary</w:t>
      </w:r>
      <w:bookmarkEnd w:id="2"/>
    </w:p>
    <w:p w14:paraId="59DF50EC" w14:textId="3BF4AD63" w:rsidR="004A39C7" w:rsidRDefault="004A39C7" w:rsidP="00C03A8E">
      <w:r>
        <w:t xml:space="preserve">Economists </w:t>
      </w:r>
      <w:r w:rsidR="00D41776">
        <w:t xml:space="preserve">play a </w:t>
      </w:r>
      <w:r>
        <w:t xml:space="preserve">central </w:t>
      </w:r>
      <w:r w:rsidR="00D41776">
        <w:t xml:space="preserve">role in </w:t>
      </w:r>
      <w:r>
        <w:t>the analysis and decisions affect</w:t>
      </w:r>
      <w:r w:rsidR="00A23B80">
        <w:t>ing</w:t>
      </w:r>
      <w:r>
        <w:t xml:space="preserve"> the wellbeing of the community. </w:t>
      </w:r>
      <w:r w:rsidR="00A23B80">
        <w:t>I</w:t>
      </w:r>
      <w:r>
        <w:t>n Australia, and overseas, women are under</w:t>
      </w:r>
      <w:r w:rsidR="00BC2A59">
        <w:noBreakHyphen/>
      </w:r>
      <w:r>
        <w:t>represented in these influential roles. Increasing female representation depends on attracting and retaining women in the ‘economics pipeline’ yet this is not occurring in practice</w:t>
      </w:r>
      <w:r w:rsidR="00750D11">
        <w:t>.</w:t>
      </w:r>
    </w:p>
    <w:p w14:paraId="5D02BA53" w14:textId="36E1617B" w:rsidR="004A39C7" w:rsidRDefault="002A0A62" w:rsidP="004A39C7">
      <w:r w:rsidRPr="002A0A62">
        <w:t>‘Leakage</w:t>
      </w:r>
      <w:r>
        <w:t>’</w:t>
      </w:r>
      <w:r w:rsidRPr="002A0A62">
        <w:t xml:space="preserve"> of women from economics is occurring</w:t>
      </w:r>
      <w:r>
        <w:t xml:space="preserve"> during their u</w:t>
      </w:r>
      <w:r w:rsidRPr="002A0A62">
        <w:t xml:space="preserve">niversity studies and early career. </w:t>
      </w:r>
      <w:r w:rsidR="004A39C7">
        <w:t xml:space="preserve">Past research suggests several factors may explain </w:t>
      </w:r>
      <w:r>
        <w:t>why this is the case</w:t>
      </w:r>
      <w:r w:rsidR="004A39C7">
        <w:t xml:space="preserve">. First, a lack of female role models. Second, women may find they relate less to highly theoretical subject matter. Third, </w:t>
      </w:r>
      <w:r w:rsidR="00A23B80">
        <w:t xml:space="preserve">misperceptions about career paths for </w:t>
      </w:r>
      <w:r w:rsidR="004A39C7">
        <w:t xml:space="preserve">economics </w:t>
      </w:r>
      <w:r w:rsidR="00A23B80">
        <w:t>graduates</w:t>
      </w:r>
      <w:r w:rsidR="004A39C7">
        <w:t>. Fourth, women may perform more strongly in other subjects relative to introductory economics. Finally, women may find a competitive class environment more offputting than their male counterparts.</w:t>
      </w:r>
    </w:p>
    <w:p w14:paraId="3803759D" w14:textId="77777777" w:rsidR="00976DEC" w:rsidRDefault="004A39C7" w:rsidP="00976DEC">
      <w:r>
        <w:t xml:space="preserve">In response to these findings, </w:t>
      </w:r>
      <w:r w:rsidR="0074630F">
        <w:t>the</w:t>
      </w:r>
      <w:r>
        <w:t xml:space="preserve"> ACT Women in Economics Network, </w:t>
      </w:r>
      <w:r w:rsidR="0074630F">
        <w:t>in collaboration with the Department of the Prime Minister and Cabinet and the Australian National University</w:t>
      </w:r>
      <w:r w:rsidR="00976DEC">
        <w:t xml:space="preserve"> (ANU)</w:t>
      </w:r>
      <w:r>
        <w:t>,</w:t>
      </w:r>
      <w:r w:rsidR="0074630F">
        <w:t xml:space="preserve"> established a mentoring program</w:t>
      </w:r>
      <w:r>
        <w:t xml:space="preserve"> in 2018</w:t>
      </w:r>
      <w:r>
        <w:noBreakHyphen/>
        <w:t>19</w:t>
      </w:r>
      <w:r w:rsidR="0074630F">
        <w:t xml:space="preserve"> for women enrolled in economics courses </w:t>
      </w:r>
      <w:r>
        <w:t xml:space="preserve">at ANU. </w:t>
      </w:r>
      <w:r w:rsidR="00976DEC">
        <w:t>Students were matched with mid</w:t>
      </w:r>
      <w:r w:rsidR="00976DEC">
        <w:noBreakHyphen/>
        <w:t xml:space="preserve">level or senior women economists and were encouraged to meet at least four times during the course of the year. The program also included three networking events. </w:t>
      </w:r>
    </w:p>
    <w:p w14:paraId="55308981" w14:textId="69F2F82B" w:rsidR="00F7434B" w:rsidRDefault="00A23B80" w:rsidP="00976DEC">
      <w:r>
        <w:t>T</w:t>
      </w:r>
      <w:r w:rsidR="00F7434B">
        <w:t>he program aimed to encourage students to continue with their economics</w:t>
      </w:r>
      <w:r>
        <w:t xml:space="preserve"> studies</w:t>
      </w:r>
      <w:r w:rsidR="00F7434B">
        <w:t xml:space="preserve"> and pursue a career in economics. It </w:t>
      </w:r>
      <w:r w:rsidR="00BC2A59">
        <w:t xml:space="preserve">sought to </w:t>
      </w:r>
      <w:r w:rsidR="00F7434B">
        <w:t xml:space="preserve">do this by </w:t>
      </w:r>
      <w:r w:rsidR="00976DEC">
        <w:t>providing</w:t>
      </w:r>
      <w:r w:rsidR="00F7434B">
        <w:t xml:space="preserve"> students with:</w:t>
      </w:r>
      <w:r w:rsidR="00976DEC">
        <w:t xml:space="preserve"> </w:t>
      </w:r>
      <w:r w:rsidR="00F7434B">
        <w:t xml:space="preserve">a role model, a broader perspective on career options for economics graduates, </w:t>
      </w:r>
      <w:r w:rsidR="00976DEC">
        <w:t>and</w:t>
      </w:r>
      <w:r w:rsidR="001F5B84">
        <w:t xml:space="preserve"> an</w:t>
      </w:r>
      <w:r w:rsidR="00976DEC">
        <w:t xml:space="preserve"> </w:t>
      </w:r>
      <w:r w:rsidR="00F7434B">
        <w:t>insight into the practical applications of economics.</w:t>
      </w:r>
    </w:p>
    <w:p w14:paraId="2E461F59" w14:textId="77777777" w:rsidR="00081BBD" w:rsidRDefault="00322758" w:rsidP="00B44534">
      <w:r>
        <w:t xml:space="preserve">We evaluated the mentoring program using a randomised controlled trial, drawing on a combination of university administrative data and surveys at the commencement and conclusion of the program. </w:t>
      </w:r>
      <w:r w:rsidR="00980312">
        <w:t>We estimate students in the mentoring program were around 13</w:t>
      </w:r>
      <w:r w:rsidR="007417C1">
        <w:t> </w:t>
      </w:r>
      <w:r w:rsidR="00980312">
        <w:t xml:space="preserve">percentage points more likely to continue with economics, when compared with a control group, although </w:t>
      </w:r>
      <w:r w:rsidR="004540DE">
        <w:t>this estimate</w:t>
      </w:r>
      <w:r w:rsidR="00980312">
        <w:t xml:space="preserve"> </w:t>
      </w:r>
      <w:r w:rsidR="004540DE">
        <w:t xml:space="preserve">is </w:t>
      </w:r>
      <w:r w:rsidR="00980312">
        <w:t>imprecise</w:t>
      </w:r>
      <w:r w:rsidR="00CA59B3">
        <w:t xml:space="preserve"> due to the small sample size </w:t>
      </w:r>
      <w:r w:rsidR="001E5B4C">
        <w:t>(</w:t>
      </w:r>
      <w:r w:rsidR="00CA59B3">
        <w:t>88 students</w:t>
      </w:r>
      <w:r w:rsidR="001E5B4C">
        <w:t>)</w:t>
      </w:r>
      <w:r w:rsidR="00980312">
        <w:t>.</w:t>
      </w:r>
      <w:r w:rsidR="00197EBC">
        <w:t xml:space="preserve"> In an end</w:t>
      </w:r>
      <w:r w:rsidR="00197EBC">
        <w:noBreakHyphen/>
        <w:t>of</w:t>
      </w:r>
      <w:r w:rsidR="00197EBC">
        <w:noBreakHyphen/>
        <w:t xml:space="preserve">program survey, 70 per cent of </w:t>
      </w:r>
      <w:r w:rsidR="00BC2A59">
        <w:t xml:space="preserve">student </w:t>
      </w:r>
      <w:r w:rsidR="00197EBC">
        <w:t xml:space="preserve">respondents agreed they were more likely to pursue a job in economics due to the program. </w:t>
      </w:r>
    </w:p>
    <w:p w14:paraId="49150D87" w14:textId="0D05B038" w:rsidR="00B44534" w:rsidRDefault="00197EBC" w:rsidP="00B44534">
      <w:r>
        <w:t>While each source of evidence, individually, ha</w:t>
      </w:r>
      <w:r w:rsidR="00980312">
        <w:t>s</w:t>
      </w:r>
      <w:r>
        <w:t xml:space="preserve"> limitations, </w:t>
      </w:r>
      <w:r w:rsidRPr="00B44534">
        <w:t xml:space="preserve">taken together </w:t>
      </w:r>
      <w:r w:rsidR="00D41776">
        <w:t xml:space="preserve">the evidence </w:t>
      </w:r>
      <w:r w:rsidRPr="00B44534">
        <w:t>suggest</w:t>
      </w:r>
      <w:r w:rsidR="00D41776">
        <w:t>s</w:t>
      </w:r>
      <w:r w:rsidRPr="00B44534">
        <w:t xml:space="preserve"> the mentoring program had a material impact on students’ decisions to continue with economics.</w:t>
      </w:r>
      <w:r>
        <w:t xml:space="preserve">  </w:t>
      </w:r>
    </w:p>
    <w:p w14:paraId="363B6F55" w14:textId="73F67A93" w:rsidR="00973B23" w:rsidRDefault="00B44534" w:rsidP="00CA787C">
      <w:r w:rsidRPr="00B44534">
        <w:t xml:space="preserve">Mentoring programs should, therefore, be </w:t>
      </w:r>
      <w:r w:rsidR="00A23B80">
        <w:t xml:space="preserve">considered </w:t>
      </w:r>
      <w:r w:rsidRPr="00B44534">
        <w:t xml:space="preserve">in the suite of options for encouraging women students to continue economics studies and pursue an economics career. However, the potential benefits need to be </w:t>
      </w:r>
      <w:r w:rsidR="00CA59B3">
        <w:t xml:space="preserve">weighed against </w:t>
      </w:r>
      <w:r w:rsidRPr="00B44534">
        <w:t xml:space="preserve">the </w:t>
      </w:r>
      <w:r w:rsidR="00CA59B3" w:rsidRPr="00B44534">
        <w:t xml:space="preserve">program’s costs </w:t>
      </w:r>
      <w:r w:rsidR="00CA59B3">
        <w:t xml:space="preserve">and the </w:t>
      </w:r>
      <w:r w:rsidRPr="00B44534">
        <w:t>moderate confidence we have in our results</w:t>
      </w:r>
      <w:r w:rsidR="002A0A62">
        <w:t xml:space="preserve">. </w:t>
      </w:r>
      <w:r w:rsidR="00706883">
        <w:t>C</w:t>
      </w:r>
      <w:r w:rsidR="00284434">
        <w:t xml:space="preserve">ontext </w:t>
      </w:r>
      <w:r w:rsidR="00706883">
        <w:t xml:space="preserve">also </w:t>
      </w:r>
      <w:r w:rsidR="00284434">
        <w:t>matters: the impact may be different for a different group of mentors and students, in a different university context.</w:t>
      </w:r>
      <w:r w:rsidR="00973B23">
        <w:br w:type="page"/>
      </w:r>
    </w:p>
    <w:p w14:paraId="212AEE84" w14:textId="29829D2A" w:rsidR="00973B23" w:rsidRPr="00F478EE" w:rsidRDefault="00306D2B" w:rsidP="00F478EE">
      <w:pPr>
        <w:pStyle w:val="Heading2"/>
      </w:pPr>
      <w:bookmarkStart w:id="3" w:name="_Toc57814942"/>
      <w:r w:rsidRPr="00F478EE">
        <w:t>The problem</w:t>
      </w:r>
      <w:bookmarkEnd w:id="3"/>
    </w:p>
    <w:p w14:paraId="0E6277F2" w14:textId="1E49579C" w:rsidR="002A0A62" w:rsidRDefault="002A0A62" w:rsidP="0058017C">
      <w:r w:rsidRPr="002A0A62">
        <w:t xml:space="preserve">Economists </w:t>
      </w:r>
      <w:r w:rsidR="00D41776">
        <w:t xml:space="preserve">play a </w:t>
      </w:r>
      <w:r w:rsidRPr="002A0A62">
        <w:t xml:space="preserve">central </w:t>
      </w:r>
      <w:r w:rsidR="00D41776">
        <w:t xml:space="preserve">role in </w:t>
      </w:r>
      <w:r w:rsidRPr="002A0A62">
        <w:t xml:space="preserve">public policy and decision making. They are often the financial gatekeepers, key advisors for economic and public policy decisions on expenditure and taxation and play a critical role in both championing policies </w:t>
      </w:r>
      <w:r w:rsidR="00D41776">
        <w:t xml:space="preserve">to </w:t>
      </w:r>
      <w:r w:rsidRPr="002A0A62">
        <w:t>improve wellbeing, but also preventing policies detrimental to society.</w:t>
      </w:r>
    </w:p>
    <w:p w14:paraId="6847AC91" w14:textId="3F67A576" w:rsidR="0058017C" w:rsidRDefault="0058017C" w:rsidP="0058017C">
      <w:r>
        <w:t>Yet in Australia, and overseas, women are underrepresented in these influential</w:t>
      </w:r>
      <w:r w:rsidR="00DB7F5C">
        <w:t xml:space="preserve"> roles</w:t>
      </w:r>
      <w:r w:rsidR="002A0A62">
        <w:t>, particularly senior leadership roles</w:t>
      </w:r>
      <w:r w:rsidR="00DB7F5C">
        <w:t>. In Australia, around 30 per </w:t>
      </w:r>
      <w:r>
        <w:t xml:space="preserve">cent of senior management at </w:t>
      </w:r>
      <w:r w:rsidR="00D41776">
        <w:t xml:space="preserve">the Department of the </w:t>
      </w:r>
      <w:r>
        <w:t xml:space="preserve">Treasury and the Reserve Bank of Australia are women. In the economics </w:t>
      </w:r>
      <w:r w:rsidR="002A0A62">
        <w:t>departments of Australian</w:t>
      </w:r>
      <w:r>
        <w:t xml:space="preserve"> universities,</w:t>
      </w:r>
      <w:r w:rsidR="002A0A62">
        <w:t xml:space="preserve"> women make up half the faculty but represent</w:t>
      </w:r>
      <w:r>
        <w:t xml:space="preserve"> just over a quarte</w:t>
      </w:r>
      <w:r w:rsidR="00DB7F5C">
        <w:t>r of senior lecturers, and only 15 per </w:t>
      </w:r>
      <w:r>
        <w:t>cent of associate professors and professors</w:t>
      </w:r>
      <w:r w:rsidR="002A0A62">
        <w:t xml:space="preserve"> (Wood 2017)</w:t>
      </w:r>
      <w:r>
        <w:t xml:space="preserve">. </w:t>
      </w:r>
      <w:r w:rsidR="002A0A62">
        <w:t xml:space="preserve">Women’s voices are also underrepresented in </w:t>
      </w:r>
      <w:r>
        <w:t>Australi</w:t>
      </w:r>
      <w:r w:rsidR="002A0A62">
        <w:t xml:space="preserve">a’s major newspapers: </w:t>
      </w:r>
      <w:r w:rsidR="00DB7F5C">
        <w:t>just nine per </w:t>
      </w:r>
      <w:r>
        <w:t xml:space="preserve">cent of those who describe themselves as </w:t>
      </w:r>
      <w:r w:rsidR="002A0A62">
        <w:t xml:space="preserve">an </w:t>
      </w:r>
      <w:r>
        <w:t>‘analyst’ or ‘economist’ were women</w:t>
      </w:r>
      <w:r w:rsidR="002A0A62">
        <w:t xml:space="preserve"> (</w:t>
      </w:r>
      <w:r w:rsidR="00E400A5" w:rsidRPr="00E400A5">
        <w:t xml:space="preserve">Women’s Leadership Institute Australia </w:t>
      </w:r>
      <w:r w:rsidR="002A0A62">
        <w:t>2016).</w:t>
      </w:r>
      <w:r>
        <w:t xml:space="preserve"> </w:t>
      </w:r>
    </w:p>
    <w:p w14:paraId="20B43143" w14:textId="2BE3CEAE" w:rsidR="0058017C" w:rsidRDefault="0058017C" w:rsidP="0058017C">
      <w:r>
        <w:t>The representation of women in economics matters for a number of reasons. Where there is imbalance, policy issues affect</w:t>
      </w:r>
      <w:r w:rsidR="00A23B80">
        <w:t>ing</w:t>
      </w:r>
      <w:r>
        <w:t xml:space="preserve"> women may not be adequately recognised. This</w:t>
      </w:r>
      <w:r w:rsidR="00D41776">
        <w:t xml:space="preserve"> is</w:t>
      </w:r>
      <w:r>
        <w:t xml:space="preserve"> partly </w:t>
      </w:r>
      <w:r w:rsidR="00706883">
        <w:t xml:space="preserve">because </w:t>
      </w:r>
      <w:r>
        <w:t xml:space="preserve">women </w:t>
      </w:r>
      <w:r w:rsidR="00706883">
        <w:t xml:space="preserve">and men </w:t>
      </w:r>
      <w:r>
        <w:t xml:space="preserve">have different views </w:t>
      </w:r>
      <w:r w:rsidR="00706883">
        <w:t>on these issues</w:t>
      </w:r>
      <w:r>
        <w:t xml:space="preserve">. Research from Europe and the US found women economists focus on different policy problems and reach different conclusions on fundamental issues like the role of government intervention versus market solutions, free trade and labour standards, the minimum wage, environmental protection, and the gender wage gap (May, McGarvey and Kucera 2018; May, McGarvey and Whaples 2013). </w:t>
      </w:r>
    </w:p>
    <w:p w14:paraId="7A2CC356" w14:textId="6B7830EF" w:rsidR="002A0A62" w:rsidRDefault="00706883" w:rsidP="002A0A62">
      <w:r>
        <w:t>D</w:t>
      </w:r>
      <w:r w:rsidR="002A0A62">
        <w:t xml:space="preserve">ecision making is </w:t>
      </w:r>
      <w:r>
        <w:t xml:space="preserve">also </w:t>
      </w:r>
      <w:r w:rsidR="002A0A62">
        <w:t>likely to be poorer due to a lack of diversity. Increasing the number of women in senior leadership positions has been shown to increase cognitive variety and knowledge stocks contributing to a wider array of solutions to problems and deeper debates, which in turn lead to more effective decision making (Adams and Ferreira 2009; Klein 2017; Ma</w:t>
      </w:r>
      <w:r w:rsidR="00E400A5">
        <w:t>t</w:t>
      </w:r>
      <w:r w:rsidR="002A0A62">
        <w:t xml:space="preserve">sa and Miller 2013). Women leaders also tend to work more collaboratively and democratically, which promotes sharing of key information, and enhanced decision making (Daily and Dalton 2003; Moreno-Gomez </w:t>
      </w:r>
      <w:r w:rsidR="00E400A5" w:rsidRPr="00E400A5">
        <w:t xml:space="preserve">Lafuente and Vaillant </w:t>
      </w:r>
      <w:r w:rsidR="002A0A62">
        <w:t>2018).</w:t>
      </w:r>
    </w:p>
    <w:p w14:paraId="3BD2911C" w14:textId="35F36B0D" w:rsidR="0058017C" w:rsidRDefault="0058017C" w:rsidP="0058017C">
      <w:r>
        <w:t xml:space="preserve">Key to increasing female representation is the attraction and retention of women in the economics pipeline. </w:t>
      </w:r>
      <w:r w:rsidR="00706883">
        <w:t>T</w:t>
      </w:r>
      <w:r>
        <w:t>his is not occurring in practice, as indicated by the decline in the number and proportion of women studying economics over time</w:t>
      </w:r>
      <w:r w:rsidR="002A0A62">
        <w:t xml:space="preserve"> (Dwyer 2018).</w:t>
      </w:r>
      <w:r w:rsidR="002A0A62">
        <w:rPr>
          <w:rStyle w:val="FootnoteReference"/>
        </w:rPr>
        <w:footnoteReference w:id="1"/>
      </w:r>
      <w:r>
        <w:t xml:space="preserve"> </w:t>
      </w:r>
      <w:r w:rsidRPr="0076030C">
        <w:rPr>
          <w:b/>
        </w:rPr>
        <w:t>There are now around twice as many male students as female students enrolled in economics at Australian universities.</w:t>
      </w:r>
      <w:r>
        <w:t xml:space="preserve"> This gap has widened over time</w:t>
      </w:r>
      <w:r w:rsidR="004A39C7">
        <w:t>—i</w:t>
      </w:r>
      <w:r>
        <w:t>n 2001 the share of women enrolled in economics courses was 43</w:t>
      </w:r>
      <w:r w:rsidR="00C03A8E">
        <w:t> </w:t>
      </w:r>
      <w:r>
        <w:t>per</w:t>
      </w:r>
      <w:r w:rsidR="00C03A8E">
        <w:t> </w:t>
      </w:r>
      <w:r>
        <w:t xml:space="preserve">cent while in 2016 it was around 34 per cent (Dwyer 2018). </w:t>
      </w:r>
    </w:p>
    <w:p w14:paraId="1815BABD" w14:textId="7AFE45EB" w:rsidR="0058017C" w:rsidRDefault="0058017C" w:rsidP="0058017C">
      <w:r>
        <w:t xml:space="preserve">Further, it is possible the number of women studying economics declines over the course of the degree. Data from the Research School of Economics at the Australian National University (ANU) indicates enrolment of men and women in first year microeconomics is </w:t>
      </w:r>
      <w:r w:rsidR="00C03A8E">
        <w:t xml:space="preserve">reasonably balanced </w:t>
      </w:r>
      <w:r>
        <w:t>but by third year microecon</w:t>
      </w:r>
      <w:r w:rsidR="00C03A8E">
        <w:t>omics it is</w:t>
      </w:r>
      <w:r w:rsidR="00706883">
        <w:t xml:space="preserve"> substantially</w:t>
      </w:r>
      <w:r w:rsidR="00C03A8E">
        <w:t xml:space="preserve"> lower (</w:t>
      </w:r>
      <w:r w:rsidR="004A39C7">
        <w:t xml:space="preserve">Figure </w:t>
      </w:r>
      <w:r w:rsidR="00C03A8E">
        <w:t>1)</w:t>
      </w:r>
      <w:r>
        <w:t>.</w:t>
      </w:r>
    </w:p>
    <w:p w14:paraId="14A996CA" w14:textId="7C7D3D04" w:rsidR="0058017C" w:rsidRDefault="0058017C" w:rsidP="0058017C">
      <w:r>
        <w:t>Universities are not alone in this challenge. Of the 5</w:t>
      </w:r>
      <w:r w:rsidR="00C03A8E">
        <w:t>,</w:t>
      </w:r>
      <w:r>
        <w:t xml:space="preserve">000 </w:t>
      </w:r>
      <w:r w:rsidR="00C03A8E">
        <w:t xml:space="preserve">high school </w:t>
      </w:r>
      <w:r>
        <w:t>students enrolled in economics in New South Wales in 2017, there were roughly twice as many males as females (Dwyer 2018).</w:t>
      </w:r>
    </w:p>
    <w:p w14:paraId="13A75CF0" w14:textId="3A04D3A4" w:rsidR="0074630F" w:rsidRDefault="00BF743C" w:rsidP="00BF743C">
      <w:pPr>
        <w:pStyle w:val="FigureHeading"/>
        <w:numPr>
          <w:ilvl w:val="0"/>
          <w:numId w:val="0"/>
        </w:numPr>
        <w:ind w:left="1429" w:hanging="720"/>
        <w:outlineLvl w:val="2"/>
      </w:pPr>
      <w:r>
        <w:t xml:space="preserve">Figure 1: </w:t>
      </w:r>
      <w:r w:rsidR="0074630F">
        <w:t>Enrolment in undergraduate microeconomics courses, ANU</w:t>
      </w:r>
    </w:p>
    <w:tbl>
      <w:tblPr>
        <w:tblW w:w="8354" w:type="dxa"/>
        <w:tblLook w:val="04A0" w:firstRow="1" w:lastRow="0" w:firstColumn="1" w:lastColumn="0" w:noHBand="0" w:noVBand="1"/>
        <w:tblCaption w:val="Figure 1: Enrolment in undergraduat microeconomics courses, ANU"/>
      </w:tblPr>
      <w:tblGrid>
        <w:gridCol w:w="702"/>
        <w:gridCol w:w="907"/>
        <w:gridCol w:w="906"/>
        <w:gridCol w:w="737"/>
        <w:gridCol w:w="907"/>
        <w:gridCol w:w="907"/>
        <w:gridCol w:w="737"/>
        <w:gridCol w:w="907"/>
        <w:gridCol w:w="907"/>
        <w:gridCol w:w="737"/>
      </w:tblGrid>
      <w:tr w:rsidR="0074630F" w:rsidRPr="0074630F" w14:paraId="14793794" w14:textId="77777777" w:rsidTr="00731CEB">
        <w:trPr>
          <w:trHeight w:val="288"/>
          <w:tblHeader/>
        </w:trPr>
        <w:tc>
          <w:tcPr>
            <w:tcW w:w="702" w:type="dxa"/>
            <w:tcBorders>
              <w:top w:val="nil"/>
              <w:left w:val="nil"/>
              <w:bottom w:val="nil"/>
              <w:right w:val="nil"/>
            </w:tcBorders>
            <w:shd w:val="clear" w:color="000000" w:fill="142E3A"/>
            <w:noWrap/>
            <w:vAlign w:val="center"/>
            <w:hideMark/>
          </w:tcPr>
          <w:p w14:paraId="7F44C94A" w14:textId="7BD5D7BE" w:rsidR="0074630F" w:rsidRPr="0074630F" w:rsidRDefault="0074630F" w:rsidP="00CB0062">
            <w:pPr>
              <w:keepNext/>
              <w:spacing w:before="0" w:after="0" w:line="240" w:lineRule="auto"/>
              <w:rPr>
                <w:rFonts w:ascii="Arial" w:hAnsi="Arial" w:cs="Arial"/>
                <w:b/>
                <w:bCs/>
                <w:color w:val="FFFFFF"/>
                <w:szCs w:val="20"/>
              </w:rPr>
            </w:pPr>
            <w:r w:rsidRPr="0074630F">
              <w:rPr>
                <w:rFonts w:ascii="Arial" w:hAnsi="Arial" w:cs="Arial"/>
                <w:b/>
                <w:bCs/>
                <w:color w:val="FFFFFF"/>
                <w:szCs w:val="20"/>
              </w:rPr>
              <w:t>Year</w:t>
            </w:r>
          </w:p>
        </w:tc>
        <w:tc>
          <w:tcPr>
            <w:tcW w:w="2550" w:type="dxa"/>
            <w:gridSpan w:val="3"/>
            <w:tcBorders>
              <w:top w:val="nil"/>
              <w:left w:val="nil"/>
              <w:bottom w:val="nil"/>
              <w:right w:val="nil"/>
            </w:tcBorders>
            <w:shd w:val="clear" w:color="000000" w:fill="142E3A"/>
            <w:noWrap/>
            <w:vAlign w:val="center"/>
            <w:hideMark/>
          </w:tcPr>
          <w:p w14:paraId="314BEFD6" w14:textId="0E774F72" w:rsidR="0074630F" w:rsidRPr="0074630F" w:rsidRDefault="0074630F" w:rsidP="00CB0062">
            <w:pPr>
              <w:keepNext/>
              <w:spacing w:before="0" w:after="0" w:line="240" w:lineRule="auto"/>
              <w:jc w:val="center"/>
              <w:rPr>
                <w:rFonts w:ascii="Arial" w:hAnsi="Arial" w:cs="Arial"/>
                <w:b/>
                <w:bCs/>
                <w:color w:val="FFFFFF"/>
                <w:szCs w:val="20"/>
              </w:rPr>
            </w:pPr>
            <w:r w:rsidRPr="0074630F">
              <w:rPr>
                <w:rFonts w:ascii="Arial" w:hAnsi="Arial" w:cs="Arial"/>
                <w:b/>
                <w:bCs/>
                <w:color w:val="FFFFFF"/>
                <w:szCs w:val="20"/>
              </w:rPr>
              <w:t>Micro</w:t>
            </w:r>
            <w:r w:rsidR="008201BD">
              <w:rPr>
                <w:rFonts w:ascii="Arial" w:hAnsi="Arial" w:cs="Arial"/>
                <w:b/>
                <w:bCs/>
                <w:color w:val="FFFFFF"/>
                <w:szCs w:val="20"/>
              </w:rPr>
              <w:t>economics</w:t>
            </w:r>
            <w:r w:rsidRPr="0074630F">
              <w:rPr>
                <w:rFonts w:ascii="Arial" w:hAnsi="Arial" w:cs="Arial"/>
                <w:b/>
                <w:bCs/>
                <w:color w:val="FFFFFF"/>
                <w:szCs w:val="20"/>
              </w:rPr>
              <w:t xml:space="preserve"> 1</w:t>
            </w:r>
          </w:p>
        </w:tc>
        <w:tc>
          <w:tcPr>
            <w:tcW w:w="2551" w:type="dxa"/>
            <w:gridSpan w:val="3"/>
            <w:tcBorders>
              <w:top w:val="nil"/>
              <w:left w:val="nil"/>
              <w:bottom w:val="nil"/>
              <w:right w:val="nil"/>
            </w:tcBorders>
            <w:shd w:val="clear" w:color="000000" w:fill="142E3A"/>
            <w:noWrap/>
            <w:vAlign w:val="center"/>
            <w:hideMark/>
          </w:tcPr>
          <w:p w14:paraId="0A58A2E6" w14:textId="3A466DF9" w:rsidR="0074630F" w:rsidRPr="0074630F" w:rsidRDefault="0074630F" w:rsidP="00CB0062">
            <w:pPr>
              <w:keepNext/>
              <w:spacing w:before="0" w:after="0" w:line="240" w:lineRule="auto"/>
              <w:jc w:val="center"/>
              <w:rPr>
                <w:rFonts w:ascii="Arial" w:hAnsi="Arial" w:cs="Arial"/>
                <w:b/>
                <w:bCs/>
                <w:color w:val="FFFFFF"/>
                <w:szCs w:val="20"/>
              </w:rPr>
            </w:pPr>
            <w:r w:rsidRPr="0074630F">
              <w:rPr>
                <w:rFonts w:ascii="Arial" w:hAnsi="Arial" w:cs="Arial"/>
                <w:b/>
                <w:bCs/>
                <w:color w:val="FFFFFF"/>
                <w:szCs w:val="20"/>
              </w:rPr>
              <w:t>Micro</w:t>
            </w:r>
            <w:r w:rsidR="008201BD">
              <w:rPr>
                <w:rFonts w:ascii="Arial" w:hAnsi="Arial" w:cs="Arial"/>
                <w:b/>
                <w:bCs/>
                <w:color w:val="FFFFFF"/>
                <w:szCs w:val="20"/>
              </w:rPr>
              <w:t>economics</w:t>
            </w:r>
            <w:r w:rsidRPr="0074630F">
              <w:rPr>
                <w:rFonts w:ascii="Arial" w:hAnsi="Arial" w:cs="Arial"/>
                <w:b/>
                <w:bCs/>
                <w:color w:val="FFFFFF"/>
                <w:szCs w:val="20"/>
              </w:rPr>
              <w:t xml:space="preserve"> 2</w:t>
            </w:r>
          </w:p>
        </w:tc>
        <w:tc>
          <w:tcPr>
            <w:tcW w:w="2551" w:type="dxa"/>
            <w:gridSpan w:val="3"/>
            <w:tcBorders>
              <w:top w:val="nil"/>
              <w:left w:val="nil"/>
              <w:bottom w:val="nil"/>
              <w:right w:val="nil"/>
            </w:tcBorders>
            <w:shd w:val="clear" w:color="000000" w:fill="142E3A"/>
            <w:noWrap/>
            <w:vAlign w:val="center"/>
            <w:hideMark/>
          </w:tcPr>
          <w:p w14:paraId="3C048543" w14:textId="1F29B380" w:rsidR="0074630F" w:rsidRPr="0074630F" w:rsidRDefault="0074630F" w:rsidP="00CB0062">
            <w:pPr>
              <w:keepNext/>
              <w:spacing w:before="0" w:after="0" w:line="240" w:lineRule="auto"/>
              <w:jc w:val="center"/>
              <w:rPr>
                <w:rFonts w:ascii="Arial" w:hAnsi="Arial" w:cs="Arial"/>
                <w:b/>
                <w:bCs/>
                <w:color w:val="FFFFFF"/>
                <w:szCs w:val="20"/>
              </w:rPr>
            </w:pPr>
            <w:r w:rsidRPr="0074630F">
              <w:rPr>
                <w:rFonts w:ascii="Arial" w:hAnsi="Arial" w:cs="Arial"/>
                <w:b/>
                <w:bCs/>
                <w:color w:val="FFFFFF"/>
                <w:szCs w:val="20"/>
              </w:rPr>
              <w:t>Micro</w:t>
            </w:r>
            <w:r w:rsidR="008201BD">
              <w:rPr>
                <w:rFonts w:ascii="Arial" w:hAnsi="Arial" w:cs="Arial"/>
                <w:b/>
                <w:bCs/>
                <w:color w:val="FFFFFF"/>
                <w:szCs w:val="20"/>
              </w:rPr>
              <w:t>economics</w:t>
            </w:r>
            <w:r w:rsidRPr="0074630F">
              <w:rPr>
                <w:rFonts w:ascii="Arial" w:hAnsi="Arial" w:cs="Arial"/>
                <w:b/>
                <w:bCs/>
                <w:color w:val="FFFFFF"/>
                <w:szCs w:val="20"/>
              </w:rPr>
              <w:t xml:space="preserve"> 3</w:t>
            </w:r>
          </w:p>
        </w:tc>
      </w:tr>
      <w:tr w:rsidR="0074630F" w:rsidRPr="0074630F" w14:paraId="5B19BCF7" w14:textId="77777777" w:rsidTr="00731CEB">
        <w:trPr>
          <w:trHeight w:val="288"/>
          <w:tblHeader/>
        </w:trPr>
        <w:tc>
          <w:tcPr>
            <w:tcW w:w="702" w:type="dxa"/>
            <w:tcBorders>
              <w:top w:val="nil"/>
              <w:left w:val="nil"/>
              <w:bottom w:val="nil"/>
              <w:right w:val="nil"/>
            </w:tcBorders>
            <w:shd w:val="clear" w:color="000000" w:fill="142E3A"/>
            <w:noWrap/>
            <w:vAlign w:val="center"/>
            <w:hideMark/>
          </w:tcPr>
          <w:p w14:paraId="0955F33F" w14:textId="2386419D" w:rsidR="0074630F" w:rsidRPr="0074630F" w:rsidRDefault="0074630F" w:rsidP="00CB0062">
            <w:pPr>
              <w:keepNext/>
              <w:spacing w:before="0" w:after="0" w:line="240" w:lineRule="auto"/>
              <w:jc w:val="center"/>
              <w:rPr>
                <w:rFonts w:ascii="Arial" w:hAnsi="Arial" w:cs="Arial"/>
                <w:b/>
                <w:bCs/>
                <w:color w:val="FFFFFF"/>
                <w:szCs w:val="20"/>
              </w:rPr>
            </w:pPr>
          </w:p>
        </w:tc>
        <w:tc>
          <w:tcPr>
            <w:tcW w:w="907" w:type="dxa"/>
            <w:tcBorders>
              <w:top w:val="nil"/>
              <w:left w:val="nil"/>
              <w:bottom w:val="nil"/>
              <w:right w:val="nil"/>
            </w:tcBorders>
            <w:shd w:val="clear" w:color="000000" w:fill="142E3A"/>
            <w:noWrap/>
            <w:vAlign w:val="center"/>
            <w:hideMark/>
          </w:tcPr>
          <w:p w14:paraId="4161807E" w14:textId="77777777" w:rsidR="0074630F" w:rsidRPr="0074630F" w:rsidRDefault="0074630F" w:rsidP="00CB0062">
            <w:pPr>
              <w:keepNext/>
              <w:spacing w:before="0" w:after="0" w:line="240" w:lineRule="auto"/>
              <w:jc w:val="center"/>
              <w:rPr>
                <w:rFonts w:ascii="Arial" w:hAnsi="Arial" w:cs="Arial"/>
                <w:b/>
                <w:bCs/>
                <w:color w:val="FFFFFF"/>
                <w:szCs w:val="20"/>
              </w:rPr>
            </w:pPr>
            <w:r w:rsidRPr="0074630F">
              <w:rPr>
                <w:rFonts w:ascii="Arial" w:hAnsi="Arial" w:cs="Arial"/>
                <w:b/>
                <w:bCs/>
                <w:color w:val="FFFFFF"/>
                <w:szCs w:val="20"/>
              </w:rPr>
              <w:t>Male</w:t>
            </w:r>
          </w:p>
        </w:tc>
        <w:tc>
          <w:tcPr>
            <w:tcW w:w="906" w:type="dxa"/>
            <w:tcBorders>
              <w:top w:val="nil"/>
              <w:left w:val="nil"/>
              <w:bottom w:val="nil"/>
              <w:right w:val="nil"/>
            </w:tcBorders>
            <w:shd w:val="clear" w:color="000000" w:fill="142E3A"/>
            <w:noWrap/>
            <w:vAlign w:val="center"/>
            <w:hideMark/>
          </w:tcPr>
          <w:p w14:paraId="548B3BFC" w14:textId="77777777" w:rsidR="0074630F" w:rsidRPr="0074630F" w:rsidRDefault="0074630F" w:rsidP="00CB0062">
            <w:pPr>
              <w:keepNext/>
              <w:spacing w:before="0" w:after="0" w:line="240" w:lineRule="auto"/>
              <w:jc w:val="center"/>
              <w:rPr>
                <w:rFonts w:ascii="Arial" w:hAnsi="Arial" w:cs="Arial"/>
                <w:b/>
                <w:bCs/>
                <w:color w:val="FFFFFF"/>
                <w:szCs w:val="20"/>
              </w:rPr>
            </w:pPr>
            <w:r w:rsidRPr="0074630F">
              <w:rPr>
                <w:rFonts w:ascii="Arial" w:hAnsi="Arial" w:cs="Arial"/>
                <w:b/>
                <w:bCs/>
                <w:color w:val="FFFFFF"/>
                <w:szCs w:val="20"/>
              </w:rPr>
              <w:t>Female</w:t>
            </w:r>
          </w:p>
        </w:tc>
        <w:tc>
          <w:tcPr>
            <w:tcW w:w="737" w:type="dxa"/>
            <w:tcBorders>
              <w:top w:val="nil"/>
              <w:left w:val="nil"/>
              <w:bottom w:val="nil"/>
              <w:right w:val="nil"/>
            </w:tcBorders>
            <w:shd w:val="clear" w:color="000000" w:fill="142E3A"/>
            <w:noWrap/>
            <w:vAlign w:val="center"/>
            <w:hideMark/>
          </w:tcPr>
          <w:p w14:paraId="7C89270F" w14:textId="44BAD39B" w:rsidR="0074630F" w:rsidRPr="0074630F" w:rsidRDefault="0074630F" w:rsidP="00CB0062">
            <w:pPr>
              <w:keepNext/>
              <w:spacing w:before="0" w:after="0" w:line="240" w:lineRule="auto"/>
              <w:jc w:val="center"/>
              <w:rPr>
                <w:rFonts w:ascii="Arial" w:hAnsi="Arial" w:cs="Arial"/>
                <w:b/>
                <w:bCs/>
                <w:color w:val="FFFFFF"/>
                <w:szCs w:val="20"/>
              </w:rPr>
            </w:pPr>
            <w:r>
              <w:rPr>
                <w:rFonts w:ascii="Arial" w:hAnsi="Arial" w:cs="Arial"/>
                <w:b/>
                <w:bCs/>
                <w:color w:val="FFFFFF"/>
                <w:szCs w:val="20"/>
              </w:rPr>
              <w:t>All</w:t>
            </w:r>
          </w:p>
        </w:tc>
        <w:tc>
          <w:tcPr>
            <w:tcW w:w="907" w:type="dxa"/>
            <w:tcBorders>
              <w:top w:val="nil"/>
              <w:left w:val="nil"/>
              <w:bottom w:val="nil"/>
              <w:right w:val="nil"/>
            </w:tcBorders>
            <w:shd w:val="clear" w:color="000000" w:fill="142E3A"/>
            <w:noWrap/>
            <w:vAlign w:val="center"/>
            <w:hideMark/>
          </w:tcPr>
          <w:p w14:paraId="34AC5599" w14:textId="77777777" w:rsidR="0074630F" w:rsidRPr="0074630F" w:rsidRDefault="0074630F" w:rsidP="00CB0062">
            <w:pPr>
              <w:keepNext/>
              <w:spacing w:before="0" w:after="0" w:line="240" w:lineRule="auto"/>
              <w:jc w:val="center"/>
              <w:rPr>
                <w:rFonts w:ascii="Arial" w:hAnsi="Arial" w:cs="Arial"/>
                <w:b/>
                <w:bCs/>
                <w:color w:val="FFFFFF"/>
                <w:szCs w:val="20"/>
              </w:rPr>
            </w:pPr>
            <w:r w:rsidRPr="0074630F">
              <w:rPr>
                <w:rFonts w:ascii="Arial" w:hAnsi="Arial" w:cs="Arial"/>
                <w:b/>
                <w:bCs/>
                <w:color w:val="FFFFFF"/>
                <w:szCs w:val="20"/>
              </w:rPr>
              <w:t>Male</w:t>
            </w:r>
          </w:p>
        </w:tc>
        <w:tc>
          <w:tcPr>
            <w:tcW w:w="907" w:type="dxa"/>
            <w:tcBorders>
              <w:top w:val="nil"/>
              <w:left w:val="nil"/>
              <w:bottom w:val="nil"/>
              <w:right w:val="nil"/>
            </w:tcBorders>
            <w:shd w:val="clear" w:color="000000" w:fill="142E3A"/>
            <w:noWrap/>
            <w:vAlign w:val="center"/>
            <w:hideMark/>
          </w:tcPr>
          <w:p w14:paraId="525C9ED4" w14:textId="77777777" w:rsidR="0074630F" w:rsidRPr="0074630F" w:rsidRDefault="0074630F" w:rsidP="00CB0062">
            <w:pPr>
              <w:keepNext/>
              <w:spacing w:before="0" w:after="0" w:line="240" w:lineRule="auto"/>
              <w:jc w:val="center"/>
              <w:rPr>
                <w:rFonts w:ascii="Arial" w:hAnsi="Arial" w:cs="Arial"/>
                <w:b/>
                <w:bCs/>
                <w:color w:val="FFFFFF"/>
                <w:szCs w:val="20"/>
              </w:rPr>
            </w:pPr>
            <w:r w:rsidRPr="0074630F">
              <w:rPr>
                <w:rFonts w:ascii="Arial" w:hAnsi="Arial" w:cs="Arial"/>
                <w:b/>
                <w:bCs/>
                <w:color w:val="FFFFFF"/>
                <w:szCs w:val="20"/>
              </w:rPr>
              <w:t>Female</w:t>
            </w:r>
          </w:p>
        </w:tc>
        <w:tc>
          <w:tcPr>
            <w:tcW w:w="737" w:type="dxa"/>
            <w:tcBorders>
              <w:top w:val="nil"/>
              <w:left w:val="nil"/>
              <w:bottom w:val="nil"/>
              <w:right w:val="nil"/>
            </w:tcBorders>
            <w:shd w:val="clear" w:color="000000" w:fill="142E3A"/>
            <w:noWrap/>
            <w:vAlign w:val="center"/>
            <w:hideMark/>
          </w:tcPr>
          <w:p w14:paraId="46461976" w14:textId="1C8D7C1A" w:rsidR="0074630F" w:rsidRPr="0074630F" w:rsidRDefault="0074630F" w:rsidP="00CB0062">
            <w:pPr>
              <w:keepNext/>
              <w:spacing w:before="0" w:after="0" w:line="240" w:lineRule="auto"/>
              <w:jc w:val="center"/>
              <w:rPr>
                <w:rFonts w:ascii="Arial" w:hAnsi="Arial" w:cs="Arial"/>
                <w:b/>
                <w:bCs/>
                <w:color w:val="FFFFFF"/>
                <w:szCs w:val="20"/>
              </w:rPr>
            </w:pPr>
            <w:r>
              <w:rPr>
                <w:rFonts w:ascii="Arial" w:hAnsi="Arial" w:cs="Arial"/>
                <w:b/>
                <w:bCs/>
                <w:color w:val="FFFFFF"/>
                <w:szCs w:val="20"/>
              </w:rPr>
              <w:t>All</w:t>
            </w:r>
          </w:p>
        </w:tc>
        <w:tc>
          <w:tcPr>
            <w:tcW w:w="907" w:type="dxa"/>
            <w:tcBorders>
              <w:top w:val="nil"/>
              <w:left w:val="nil"/>
              <w:bottom w:val="nil"/>
              <w:right w:val="nil"/>
            </w:tcBorders>
            <w:shd w:val="clear" w:color="000000" w:fill="142E3A"/>
            <w:noWrap/>
            <w:vAlign w:val="center"/>
            <w:hideMark/>
          </w:tcPr>
          <w:p w14:paraId="0A4B93AB" w14:textId="77777777" w:rsidR="0074630F" w:rsidRPr="0074630F" w:rsidRDefault="0074630F" w:rsidP="00CB0062">
            <w:pPr>
              <w:keepNext/>
              <w:spacing w:before="0" w:after="0" w:line="240" w:lineRule="auto"/>
              <w:jc w:val="center"/>
              <w:rPr>
                <w:rFonts w:ascii="Arial" w:hAnsi="Arial" w:cs="Arial"/>
                <w:b/>
                <w:bCs/>
                <w:color w:val="FFFFFF"/>
                <w:szCs w:val="20"/>
              </w:rPr>
            </w:pPr>
            <w:r w:rsidRPr="0074630F">
              <w:rPr>
                <w:rFonts w:ascii="Arial" w:hAnsi="Arial" w:cs="Arial"/>
                <w:b/>
                <w:bCs/>
                <w:color w:val="FFFFFF"/>
                <w:szCs w:val="20"/>
              </w:rPr>
              <w:t>Male</w:t>
            </w:r>
          </w:p>
        </w:tc>
        <w:tc>
          <w:tcPr>
            <w:tcW w:w="907" w:type="dxa"/>
            <w:tcBorders>
              <w:top w:val="nil"/>
              <w:left w:val="nil"/>
              <w:bottom w:val="nil"/>
              <w:right w:val="nil"/>
            </w:tcBorders>
            <w:shd w:val="clear" w:color="000000" w:fill="142E3A"/>
            <w:noWrap/>
            <w:vAlign w:val="center"/>
            <w:hideMark/>
          </w:tcPr>
          <w:p w14:paraId="106CCBC2" w14:textId="77777777" w:rsidR="0074630F" w:rsidRPr="0074630F" w:rsidRDefault="0074630F" w:rsidP="00CB0062">
            <w:pPr>
              <w:keepNext/>
              <w:spacing w:before="0" w:after="0" w:line="240" w:lineRule="auto"/>
              <w:jc w:val="center"/>
              <w:rPr>
                <w:rFonts w:ascii="Arial" w:hAnsi="Arial" w:cs="Arial"/>
                <w:b/>
                <w:bCs/>
                <w:color w:val="FFFFFF"/>
                <w:szCs w:val="20"/>
              </w:rPr>
            </w:pPr>
            <w:r w:rsidRPr="0074630F">
              <w:rPr>
                <w:rFonts w:ascii="Arial" w:hAnsi="Arial" w:cs="Arial"/>
                <w:b/>
                <w:bCs/>
                <w:color w:val="FFFFFF"/>
                <w:szCs w:val="20"/>
              </w:rPr>
              <w:t>Female</w:t>
            </w:r>
          </w:p>
        </w:tc>
        <w:tc>
          <w:tcPr>
            <w:tcW w:w="737" w:type="dxa"/>
            <w:tcBorders>
              <w:top w:val="nil"/>
              <w:left w:val="nil"/>
              <w:bottom w:val="nil"/>
              <w:right w:val="nil"/>
            </w:tcBorders>
            <w:shd w:val="clear" w:color="000000" w:fill="142E3A"/>
            <w:noWrap/>
            <w:vAlign w:val="center"/>
            <w:hideMark/>
          </w:tcPr>
          <w:p w14:paraId="38D193A4" w14:textId="3499F236" w:rsidR="0074630F" w:rsidRPr="0074630F" w:rsidRDefault="0074630F" w:rsidP="00CB0062">
            <w:pPr>
              <w:keepNext/>
              <w:spacing w:before="0" w:after="0" w:line="240" w:lineRule="auto"/>
              <w:jc w:val="center"/>
              <w:rPr>
                <w:rFonts w:ascii="Arial" w:hAnsi="Arial" w:cs="Arial"/>
                <w:b/>
                <w:bCs/>
                <w:color w:val="FFFFFF"/>
                <w:szCs w:val="20"/>
              </w:rPr>
            </w:pPr>
            <w:r>
              <w:rPr>
                <w:rFonts w:ascii="Arial" w:hAnsi="Arial" w:cs="Arial"/>
                <w:b/>
                <w:bCs/>
                <w:color w:val="FFFFFF"/>
                <w:szCs w:val="20"/>
              </w:rPr>
              <w:t>All</w:t>
            </w:r>
          </w:p>
        </w:tc>
      </w:tr>
      <w:tr w:rsidR="0074630F" w:rsidRPr="0074630F" w14:paraId="41331B83" w14:textId="77777777" w:rsidTr="00731CEB">
        <w:trPr>
          <w:trHeight w:val="288"/>
          <w:tblHeader/>
        </w:trPr>
        <w:tc>
          <w:tcPr>
            <w:tcW w:w="702" w:type="dxa"/>
            <w:tcBorders>
              <w:top w:val="nil"/>
              <w:left w:val="nil"/>
              <w:bottom w:val="nil"/>
              <w:right w:val="nil"/>
            </w:tcBorders>
            <w:shd w:val="clear" w:color="000000" w:fill="142E3A"/>
            <w:noWrap/>
            <w:vAlign w:val="center"/>
            <w:hideMark/>
          </w:tcPr>
          <w:p w14:paraId="05732707" w14:textId="3C46EC15" w:rsidR="0074630F" w:rsidRPr="0074630F" w:rsidRDefault="0074630F" w:rsidP="00CB0062">
            <w:pPr>
              <w:keepNext/>
              <w:spacing w:before="0" w:after="0" w:line="240" w:lineRule="auto"/>
              <w:jc w:val="center"/>
              <w:rPr>
                <w:rFonts w:ascii="Arial" w:hAnsi="Arial" w:cs="Arial"/>
                <w:color w:val="FFFFFF"/>
                <w:szCs w:val="20"/>
              </w:rPr>
            </w:pPr>
          </w:p>
        </w:tc>
        <w:tc>
          <w:tcPr>
            <w:tcW w:w="907" w:type="dxa"/>
            <w:tcBorders>
              <w:top w:val="nil"/>
              <w:left w:val="nil"/>
              <w:bottom w:val="nil"/>
              <w:right w:val="nil"/>
            </w:tcBorders>
            <w:shd w:val="clear" w:color="000000" w:fill="142E3A"/>
            <w:noWrap/>
            <w:vAlign w:val="center"/>
            <w:hideMark/>
          </w:tcPr>
          <w:p w14:paraId="2DACDC1C" w14:textId="77777777" w:rsidR="0074630F" w:rsidRPr="0074630F" w:rsidRDefault="0074630F" w:rsidP="00CB0062">
            <w:pPr>
              <w:keepNext/>
              <w:spacing w:before="0" w:after="0" w:line="240" w:lineRule="auto"/>
              <w:jc w:val="center"/>
              <w:rPr>
                <w:rFonts w:ascii="Arial" w:hAnsi="Arial" w:cs="Arial"/>
                <w:color w:val="FFFFFF"/>
                <w:sz w:val="18"/>
                <w:szCs w:val="20"/>
              </w:rPr>
            </w:pPr>
            <w:r w:rsidRPr="0074630F">
              <w:rPr>
                <w:rFonts w:ascii="Arial" w:hAnsi="Arial" w:cs="Arial"/>
                <w:color w:val="FFFFFF"/>
                <w:sz w:val="18"/>
                <w:szCs w:val="20"/>
              </w:rPr>
              <w:t>per cent</w:t>
            </w:r>
          </w:p>
        </w:tc>
        <w:tc>
          <w:tcPr>
            <w:tcW w:w="906" w:type="dxa"/>
            <w:tcBorders>
              <w:top w:val="nil"/>
              <w:left w:val="nil"/>
              <w:bottom w:val="nil"/>
              <w:right w:val="nil"/>
            </w:tcBorders>
            <w:shd w:val="clear" w:color="000000" w:fill="142E3A"/>
            <w:noWrap/>
            <w:vAlign w:val="center"/>
            <w:hideMark/>
          </w:tcPr>
          <w:p w14:paraId="5B84EA39" w14:textId="77777777" w:rsidR="0074630F" w:rsidRPr="0074630F" w:rsidRDefault="0074630F" w:rsidP="00CB0062">
            <w:pPr>
              <w:keepNext/>
              <w:spacing w:before="0" w:after="0" w:line="240" w:lineRule="auto"/>
              <w:jc w:val="center"/>
              <w:rPr>
                <w:rFonts w:ascii="Arial" w:hAnsi="Arial" w:cs="Arial"/>
                <w:color w:val="FFFFFF"/>
                <w:sz w:val="18"/>
                <w:szCs w:val="20"/>
              </w:rPr>
            </w:pPr>
            <w:r w:rsidRPr="0074630F">
              <w:rPr>
                <w:rFonts w:ascii="Arial" w:hAnsi="Arial" w:cs="Arial"/>
                <w:color w:val="FFFFFF"/>
                <w:sz w:val="18"/>
                <w:szCs w:val="20"/>
              </w:rPr>
              <w:t>per cent</w:t>
            </w:r>
          </w:p>
        </w:tc>
        <w:tc>
          <w:tcPr>
            <w:tcW w:w="737" w:type="dxa"/>
            <w:tcBorders>
              <w:top w:val="nil"/>
              <w:left w:val="nil"/>
              <w:bottom w:val="nil"/>
              <w:right w:val="nil"/>
            </w:tcBorders>
            <w:shd w:val="clear" w:color="000000" w:fill="142E3A"/>
            <w:noWrap/>
            <w:vAlign w:val="center"/>
            <w:hideMark/>
          </w:tcPr>
          <w:p w14:paraId="151A7490" w14:textId="77777777" w:rsidR="0074630F" w:rsidRPr="0074630F" w:rsidRDefault="0074630F" w:rsidP="00CB0062">
            <w:pPr>
              <w:keepNext/>
              <w:spacing w:before="0" w:after="0" w:line="240" w:lineRule="auto"/>
              <w:jc w:val="center"/>
              <w:rPr>
                <w:rFonts w:ascii="Arial" w:hAnsi="Arial" w:cs="Arial"/>
                <w:color w:val="FFFFFF"/>
                <w:sz w:val="18"/>
                <w:szCs w:val="20"/>
              </w:rPr>
            </w:pPr>
            <w:r w:rsidRPr="0074630F">
              <w:rPr>
                <w:rFonts w:ascii="Arial" w:hAnsi="Arial" w:cs="Arial"/>
                <w:color w:val="FFFFFF"/>
                <w:sz w:val="18"/>
                <w:szCs w:val="20"/>
              </w:rPr>
              <w:t>n</w:t>
            </w:r>
          </w:p>
        </w:tc>
        <w:tc>
          <w:tcPr>
            <w:tcW w:w="907" w:type="dxa"/>
            <w:tcBorders>
              <w:top w:val="nil"/>
              <w:left w:val="nil"/>
              <w:bottom w:val="nil"/>
              <w:right w:val="nil"/>
            </w:tcBorders>
            <w:shd w:val="clear" w:color="000000" w:fill="142E3A"/>
            <w:noWrap/>
            <w:vAlign w:val="center"/>
            <w:hideMark/>
          </w:tcPr>
          <w:p w14:paraId="32F66259" w14:textId="77777777" w:rsidR="0074630F" w:rsidRPr="0074630F" w:rsidRDefault="0074630F" w:rsidP="00CB0062">
            <w:pPr>
              <w:keepNext/>
              <w:spacing w:before="0" w:after="0" w:line="240" w:lineRule="auto"/>
              <w:jc w:val="center"/>
              <w:rPr>
                <w:rFonts w:ascii="Arial" w:hAnsi="Arial" w:cs="Arial"/>
                <w:color w:val="FFFFFF"/>
                <w:sz w:val="18"/>
                <w:szCs w:val="20"/>
              </w:rPr>
            </w:pPr>
            <w:r w:rsidRPr="0074630F">
              <w:rPr>
                <w:rFonts w:ascii="Arial" w:hAnsi="Arial" w:cs="Arial"/>
                <w:color w:val="FFFFFF"/>
                <w:sz w:val="18"/>
                <w:szCs w:val="20"/>
              </w:rPr>
              <w:t>per cent</w:t>
            </w:r>
          </w:p>
        </w:tc>
        <w:tc>
          <w:tcPr>
            <w:tcW w:w="907" w:type="dxa"/>
            <w:tcBorders>
              <w:top w:val="nil"/>
              <w:left w:val="nil"/>
              <w:bottom w:val="nil"/>
              <w:right w:val="nil"/>
            </w:tcBorders>
            <w:shd w:val="clear" w:color="000000" w:fill="142E3A"/>
            <w:noWrap/>
            <w:vAlign w:val="center"/>
            <w:hideMark/>
          </w:tcPr>
          <w:p w14:paraId="3127C65A" w14:textId="77777777" w:rsidR="0074630F" w:rsidRPr="0074630F" w:rsidRDefault="0074630F" w:rsidP="00CB0062">
            <w:pPr>
              <w:keepNext/>
              <w:spacing w:before="0" w:after="0" w:line="240" w:lineRule="auto"/>
              <w:jc w:val="center"/>
              <w:rPr>
                <w:rFonts w:ascii="Arial" w:hAnsi="Arial" w:cs="Arial"/>
                <w:color w:val="FFFFFF"/>
                <w:sz w:val="18"/>
                <w:szCs w:val="20"/>
              </w:rPr>
            </w:pPr>
            <w:r w:rsidRPr="0074630F">
              <w:rPr>
                <w:rFonts w:ascii="Arial" w:hAnsi="Arial" w:cs="Arial"/>
                <w:color w:val="FFFFFF"/>
                <w:sz w:val="18"/>
                <w:szCs w:val="20"/>
              </w:rPr>
              <w:t>per cent</w:t>
            </w:r>
          </w:p>
        </w:tc>
        <w:tc>
          <w:tcPr>
            <w:tcW w:w="737" w:type="dxa"/>
            <w:tcBorders>
              <w:top w:val="nil"/>
              <w:left w:val="nil"/>
              <w:bottom w:val="nil"/>
              <w:right w:val="nil"/>
            </w:tcBorders>
            <w:shd w:val="clear" w:color="000000" w:fill="142E3A"/>
            <w:noWrap/>
            <w:vAlign w:val="center"/>
            <w:hideMark/>
          </w:tcPr>
          <w:p w14:paraId="5DF13240" w14:textId="77777777" w:rsidR="0074630F" w:rsidRPr="0074630F" w:rsidRDefault="0074630F" w:rsidP="00CB0062">
            <w:pPr>
              <w:keepNext/>
              <w:spacing w:before="0" w:after="0" w:line="240" w:lineRule="auto"/>
              <w:jc w:val="center"/>
              <w:rPr>
                <w:rFonts w:ascii="Arial" w:hAnsi="Arial" w:cs="Arial"/>
                <w:color w:val="FFFFFF"/>
                <w:sz w:val="18"/>
                <w:szCs w:val="20"/>
              </w:rPr>
            </w:pPr>
            <w:r w:rsidRPr="0074630F">
              <w:rPr>
                <w:rFonts w:ascii="Arial" w:hAnsi="Arial" w:cs="Arial"/>
                <w:color w:val="FFFFFF"/>
                <w:sz w:val="18"/>
                <w:szCs w:val="20"/>
              </w:rPr>
              <w:t>n</w:t>
            </w:r>
          </w:p>
        </w:tc>
        <w:tc>
          <w:tcPr>
            <w:tcW w:w="907" w:type="dxa"/>
            <w:tcBorders>
              <w:top w:val="nil"/>
              <w:left w:val="nil"/>
              <w:bottom w:val="nil"/>
              <w:right w:val="nil"/>
            </w:tcBorders>
            <w:shd w:val="clear" w:color="000000" w:fill="142E3A"/>
            <w:noWrap/>
            <w:vAlign w:val="center"/>
            <w:hideMark/>
          </w:tcPr>
          <w:p w14:paraId="0921AD00" w14:textId="77777777" w:rsidR="0074630F" w:rsidRPr="0074630F" w:rsidRDefault="0074630F" w:rsidP="00CB0062">
            <w:pPr>
              <w:keepNext/>
              <w:spacing w:before="0" w:after="0" w:line="240" w:lineRule="auto"/>
              <w:jc w:val="center"/>
              <w:rPr>
                <w:rFonts w:ascii="Arial" w:hAnsi="Arial" w:cs="Arial"/>
                <w:color w:val="FFFFFF"/>
                <w:sz w:val="18"/>
                <w:szCs w:val="20"/>
              </w:rPr>
            </w:pPr>
            <w:r w:rsidRPr="0074630F">
              <w:rPr>
                <w:rFonts w:ascii="Arial" w:hAnsi="Arial" w:cs="Arial"/>
                <w:color w:val="FFFFFF"/>
                <w:sz w:val="18"/>
                <w:szCs w:val="20"/>
              </w:rPr>
              <w:t>per cent</w:t>
            </w:r>
          </w:p>
        </w:tc>
        <w:tc>
          <w:tcPr>
            <w:tcW w:w="907" w:type="dxa"/>
            <w:tcBorders>
              <w:top w:val="nil"/>
              <w:left w:val="nil"/>
              <w:bottom w:val="nil"/>
              <w:right w:val="nil"/>
            </w:tcBorders>
            <w:shd w:val="clear" w:color="000000" w:fill="142E3A"/>
            <w:noWrap/>
            <w:vAlign w:val="center"/>
            <w:hideMark/>
          </w:tcPr>
          <w:p w14:paraId="6BF6941E" w14:textId="77777777" w:rsidR="0074630F" w:rsidRPr="0074630F" w:rsidRDefault="0074630F" w:rsidP="00CB0062">
            <w:pPr>
              <w:keepNext/>
              <w:spacing w:before="0" w:after="0" w:line="240" w:lineRule="auto"/>
              <w:jc w:val="center"/>
              <w:rPr>
                <w:rFonts w:ascii="Arial" w:hAnsi="Arial" w:cs="Arial"/>
                <w:color w:val="FFFFFF"/>
                <w:sz w:val="18"/>
                <w:szCs w:val="20"/>
              </w:rPr>
            </w:pPr>
            <w:r w:rsidRPr="0074630F">
              <w:rPr>
                <w:rFonts w:ascii="Arial" w:hAnsi="Arial" w:cs="Arial"/>
                <w:color w:val="FFFFFF"/>
                <w:sz w:val="18"/>
                <w:szCs w:val="20"/>
              </w:rPr>
              <w:t>per cent</w:t>
            </w:r>
          </w:p>
        </w:tc>
        <w:tc>
          <w:tcPr>
            <w:tcW w:w="737" w:type="dxa"/>
            <w:tcBorders>
              <w:top w:val="nil"/>
              <w:left w:val="nil"/>
              <w:bottom w:val="nil"/>
              <w:right w:val="nil"/>
            </w:tcBorders>
            <w:shd w:val="clear" w:color="000000" w:fill="142E3A"/>
            <w:noWrap/>
            <w:vAlign w:val="center"/>
            <w:hideMark/>
          </w:tcPr>
          <w:p w14:paraId="6D9D28CC" w14:textId="77777777" w:rsidR="0074630F" w:rsidRPr="0074630F" w:rsidRDefault="0074630F" w:rsidP="00CB0062">
            <w:pPr>
              <w:keepNext/>
              <w:spacing w:before="0" w:after="0" w:line="240" w:lineRule="auto"/>
              <w:jc w:val="center"/>
              <w:rPr>
                <w:rFonts w:ascii="Arial" w:hAnsi="Arial" w:cs="Arial"/>
                <w:color w:val="FFFFFF"/>
                <w:sz w:val="18"/>
                <w:szCs w:val="20"/>
              </w:rPr>
            </w:pPr>
            <w:r w:rsidRPr="0074630F">
              <w:rPr>
                <w:rFonts w:ascii="Arial" w:hAnsi="Arial" w:cs="Arial"/>
                <w:color w:val="FFFFFF"/>
                <w:sz w:val="18"/>
                <w:szCs w:val="20"/>
              </w:rPr>
              <w:t>n</w:t>
            </w:r>
          </w:p>
        </w:tc>
      </w:tr>
      <w:tr w:rsidR="0074630F" w:rsidRPr="0074630F" w14:paraId="22617622" w14:textId="77777777" w:rsidTr="006041E2">
        <w:trPr>
          <w:trHeight w:val="288"/>
        </w:trPr>
        <w:tc>
          <w:tcPr>
            <w:tcW w:w="702" w:type="dxa"/>
            <w:tcBorders>
              <w:top w:val="nil"/>
              <w:left w:val="nil"/>
              <w:bottom w:val="nil"/>
              <w:right w:val="nil"/>
            </w:tcBorders>
            <w:shd w:val="clear" w:color="000000" w:fill="F2F2F2"/>
            <w:vAlign w:val="center"/>
            <w:hideMark/>
          </w:tcPr>
          <w:p w14:paraId="60B33EBD" w14:textId="77777777" w:rsidR="0074630F" w:rsidRPr="0074630F" w:rsidRDefault="0074630F" w:rsidP="00CB0062">
            <w:pPr>
              <w:keepNext/>
              <w:spacing w:before="0" w:after="0" w:line="240" w:lineRule="auto"/>
              <w:rPr>
                <w:rFonts w:ascii="Arial" w:hAnsi="Arial" w:cs="Arial"/>
                <w:color w:val="000000"/>
                <w:szCs w:val="20"/>
              </w:rPr>
            </w:pPr>
            <w:r w:rsidRPr="0074630F">
              <w:rPr>
                <w:rFonts w:ascii="Arial" w:hAnsi="Arial" w:cs="Arial"/>
                <w:color w:val="000000"/>
                <w:szCs w:val="20"/>
              </w:rPr>
              <w:t>2018</w:t>
            </w:r>
          </w:p>
        </w:tc>
        <w:tc>
          <w:tcPr>
            <w:tcW w:w="907" w:type="dxa"/>
            <w:tcBorders>
              <w:top w:val="nil"/>
              <w:left w:val="nil"/>
              <w:bottom w:val="nil"/>
              <w:right w:val="nil"/>
            </w:tcBorders>
            <w:shd w:val="clear" w:color="auto" w:fill="F2F2F2" w:themeFill="background1" w:themeFillShade="F2"/>
            <w:noWrap/>
            <w:vAlign w:val="center"/>
            <w:hideMark/>
          </w:tcPr>
          <w:p w14:paraId="577AC3CE"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54</w:t>
            </w:r>
          </w:p>
        </w:tc>
        <w:tc>
          <w:tcPr>
            <w:tcW w:w="906" w:type="dxa"/>
            <w:tcBorders>
              <w:top w:val="nil"/>
              <w:left w:val="nil"/>
              <w:bottom w:val="nil"/>
              <w:right w:val="nil"/>
            </w:tcBorders>
            <w:shd w:val="clear" w:color="auto" w:fill="F2F2F2" w:themeFill="background1" w:themeFillShade="F2"/>
            <w:noWrap/>
            <w:vAlign w:val="center"/>
            <w:hideMark/>
          </w:tcPr>
          <w:p w14:paraId="1BB6AC4D"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46</w:t>
            </w:r>
          </w:p>
        </w:tc>
        <w:tc>
          <w:tcPr>
            <w:tcW w:w="737" w:type="dxa"/>
            <w:tcBorders>
              <w:top w:val="nil"/>
              <w:left w:val="nil"/>
              <w:bottom w:val="nil"/>
              <w:right w:val="nil"/>
            </w:tcBorders>
            <w:shd w:val="clear" w:color="auto" w:fill="F2F2F2" w:themeFill="background1" w:themeFillShade="F2"/>
            <w:noWrap/>
            <w:vAlign w:val="center"/>
            <w:hideMark/>
          </w:tcPr>
          <w:p w14:paraId="49FCC01E"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1,001</w:t>
            </w:r>
          </w:p>
        </w:tc>
        <w:tc>
          <w:tcPr>
            <w:tcW w:w="907" w:type="dxa"/>
            <w:tcBorders>
              <w:top w:val="nil"/>
              <w:left w:val="nil"/>
              <w:bottom w:val="nil"/>
              <w:right w:val="nil"/>
            </w:tcBorders>
            <w:shd w:val="clear" w:color="auto" w:fill="D9D9D9" w:themeFill="background1" w:themeFillShade="D9"/>
            <w:noWrap/>
            <w:vAlign w:val="center"/>
            <w:hideMark/>
          </w:tcPr>
          <w:p w14:paraId="006316F2"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57</w:t>
            </w:r>
          </w:p>
        </w:tc>
        <w:tc>
          <w:tcPr>
            <w:tcW w:w="907" w:type="dxa"/>
            <w:tcBorders>
              <w:top w:val="nil"/>
              <w:left w:val="nil"/>
              <w:bottom w:val="nil"/>
              <w:right w:val="nil"/>
            </w:tcBorders>
            <w:shd w:val="clear" w:color="auto" w:fill="D9D9D9" w:themeFill="background1" w:themeFillShade="D9"/>
            <w:noWrap/>
            <w:vAlign w:val="center"/>
            <w:hideMark/>
          </w:tcPr>
          <w:p w14:paraId="7473DF6F"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43</w:t>
            </w:r>
          </w:p>
        </w:tc>
        <w:tc>
          <w:tcPr>
            <w:tcW w:w="737" w:type="dxa"/>
            <w:tcBorders>
              <w:top w:val="nil"/>
              <w:left w:val="nil"/>
              <w:bottom w:val="nil"/>
              <w:right w:val="nil"/>
            </w:tcBorders>
            <w:shd w:val="clear" w:color="auto" w:fill="D9D9D9" w:themeFill="background1" w:themeFillShade="D9"/>
            <w:noWrap/>
            <w:vAlign w:val="center"/>
            <w:hideMark/>
          </w:tcPr>
          <w:p w14:paraId="1C4F94E5"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375</w:t>
            </w:r>
          </w:p>
        </w:tc>
        <w:tc>
          <w:tcPr>
            <w:tcW w:w="907" w:type="dxa"/>
            <w:tcBorders>
              <w:top w:val="nil"/>
              <w:left w:val="nil"/>
              <w:bottom w:val="nil"/>
              <w:right w:val="nil"/>
            </w:tcBorders>
            <w:shd w:val="clear" w:color="auto" w:fill="BFBFBF" w:themeFill="background1" w:themeFillShade="BF"/>
            <w:noWrap/>
            <w:vAlign w:val="center"/>
            <w:hideMark/>
          </w:tcPr>
          <w:p w14:paraId="340FE8E3"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58</w:t>
            </w:r>
          </w:p>
        </w:tc>
        <w:tc>
          <w:tcPr>
            <w:tcW w:w="907" w:type="dxa"/>
            <w:tcBorders>
              <w:top w:val="nil"/>
              <w:left w:val="nil"/>
              <w:bottom w:val="nil"/>
              <w:right w:val="nil"/>
            </w:tcBorders>
            <w:shd w:val="clear" w:color="auto" w:fill="BFBFBF" w:themeFill="background1" w:themeFillShade="BF"/>
            <w:noWrap/>
            <w:vAlign w:val="center"/>
            <w:hideMark/>
          </w:tcPr>
          <w:p w14:paraId="6166222E"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42</w:t>
            </w:r>
          </w:p>
        </w:tc>
        <w:tc>
          <w:tcPr>
            <w:tcW w:w="737" w:type="dxa"/>
            <w:tcBorders>
              <w:top w:val="nil"/>
              <w:left w:val="nil"/>
              <w:bottom w:val="nil"/>
              <w:right w:val="nil"/>
            </w:tcBorders>
            <w:shd w:val="clear" w:color="auto" w:fill="BFBFBF" w:themeFill="background1" w:themeFillShade="BF"/>
            <w:noWrap/>
            <w:vAlign w:val="center"/>
            <w:hideMark/>
          </w:tcPr>
          <w:p w14:paraId="263A371F"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161</w:t>
            </w:r>
          </w:p>
        </w:tc>
      </w:tr>
      <w:tr w:rsidR="0074630F" w:rsidRPr="0074630F" w14:paraId="00C18514" w14:textId="77777777" w:rsidTr="006041E2">
        <w:trPr>
          <w:trHeight w:val="288"/>
        </w:trPr>
        <w:tc>
          <w:tcPr>
            <w:tcW w:w="702" w:type="dxa"/>
            <w:tcBorders>
              <w:top w:val="nil"/>
              <w:left w:val="nil"/>
              <w:bottom w:val="nil"/>
              <w:right w:val="nil"/>
            </w:tcBorders>
            <w:shd w:val="clear" w:color="000000" w:fill="F2F2F2"/>
            <w:vAlign w:val="center"/>
            <w:hideMark/>
          </w:tcPr>
          <w:p w14:paraId="0FFDAFFA" w14:textId="77777777" w:rsidR="0074630F" w:rsidRPr="0074630F" w:rsidRDefault="0074630F" w:rsidP="00CB0062">
            <w:pPr>
              <w:keepNext/>
              <w:spacing w:before="0" w:after="0" w:line="240" w:lineRule="auto"/>
              <w:rPr>
                <w:rFonts w:ascii="Arial" w:hAnsi="Arial" w:cs="Arial"/>
                <w:color w:val="000000"/>
                <w:szCs w:val="20"/>
              </w:rPr>
            </w:pPr>
            <w:r w:rsidRPr="0074630F">
              <w:rPr>
                <w:rFonts w:ascii="Arial" w:hAnsi="Arial" w:cs="Arial"/>
                <w:color w:val="000000"/>
                <w:szCs w:val="20"/>
              </w:rPr>
              <w:t>2017</w:t>
            </w:r>
          </w:p>
        </w:tc>
        <w:tc>
          <w:tcPr>
            <w:tcW w:w="907" w:type="dxa"/>
            <w:tcBorders>
              <w:top w:val="nil"/>
              <w:left w:val="nil"/>
              <w:bottom w:val="nil"/>
              <w:right w:val="nil"/>
            </w:tcBorders>
            <w:shd w:val="clear" w:color="auto" w:fill="D9D9D9" w:themeFill="background1" w:themeFillShade="D9"/>
            <w:noWrap/>
            <w:vAlign w:val="center"/>
            <w:hideMark/>
          </w:tcPr>
          <w:p w14:paraId="1254B116"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49</w:t>
            </w:r>
          </w:p>
        </w:tc>
        <w:tc>
          <w:tcPr>
            <w:tcW w:w="906" w:type="dxa"/>
            <w:tcBorders>
              <w:top w:val="nil"/>
              <w:left w:val="nil"/>
              <w:bottom w:val="nil"/>
              <w:right w:val="nil"/>
            </w:tcBorders>
            <w:shd w:val="clear" w:color="auto" w:fill="D9D9D9" w:themeFill="background1" w:themeFillShade="D9"/>
            <w:noWrap/>
            <w:vAlign w:val="center"/>
            <w:hideMark/>
          </w:tcPr>
          <w:p w14:paraId="561A535C"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51</w:t>
            </w:r>
          </w:p>
        </w:tc>
        <w:tc>
          <w:tcPr>
            <w:tcW w:w="737" w:type="dxa"/>
            <w:tcBorders>
              <w:top w:val="nil"/>
              <w:left w:val="nil"/>
              <w:bottom w:val="nil"/>
              <w:right w:val="nil"/>
            </w:tcBorders>
            <w:shd w:val="clear" w:color="auto" w:fill="D9D9D9" w:themeFill="background1" w:themeFillShade="D9"/>
            <w:noWrap/>
            <w:vAlign w:val="center"/>
            <w:hideMark/>
          </w:tcPr>
          <w:p w14:paraId="4AFCDD5E"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1,559</w:t>
            </w:r>
          </w:p>
        </w:tc>
        <w:tc>
          <w:tcPr>
            <w:tcW w:w="907" w:type="dxa"/>
            <w:tcBorders>
              <w:top w:val="nil"/>
              <w:left w:val="nil"/>
              <w:bottom w:val="nil"/>
              <w:right w:val="nil"/>
            </w:tcBorders>
            <w:shd w:val="clear" w:color="auto" w:fill="BFBFBF" w:themeFill="background1" w:themeFillShade="BF"/>
            <w:noWrap/>
            <w:vAlign w:val="center"/>
            <w:hideMark/>
          </w:tcPr>
          <w:p w14:paraId="61C53D08"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53</w:t>
            </w:r>
          </w:p>
        </w:tc>
        <w:tc>
          <w:tcPr>
            <w:tcW w:w="907" w:type="dxa"/>
            <w:tcBorders>
              <w:top w:val="nil"/>
              <w:left w:val="nil"/>
              <w:bottom w:val="nil"/>
              <w:right w:val="nil"/>
            </w:tcBorders>
            <w:shd w:val="clear" w:color="auto" w:fill="BFBFBF" w:themeFill="background1" w:themeFillShade="BF"/>
            <w:noWrap/>
            <w:vAlign w:val="center"/>
            <w:hideMark/>
          </w:tcPr>
          <w:p w14:paraId="66C34C99"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47</w:t>
            </w:r>
          </w:p>
        </w:tc>
        <w:tc>
          <w:tcPr>
            <w:tcW w:w="737" w:type="dxa"/>
            <w:tcBorders>
              <w:top w:val="nil"/>
              <w:left w:val="nil"/>
              <w:bottom w:val="nil"/>
              <w:right w:val="nil"/>
            </w:tcBorders>
            <w:shd w:val="clear" w:color="auto" w:fill="BFBFBF" w:themeFill="background1" w:themeFillShade="BF"/>
            <w:noWrap/>
            <w:vAlign w:val="center"/>
            <w:hideMark/>
          </w:tcPr>
          <w:p w14:paraId="6D5E6A9D"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512</w:t>
            </w:r>
          </w:p>
        </w:tc>
        <w:tc>
          <w:tcPr>
            <w:tcW w:w="907" w:type="dxa"/>
            <w:tcBorders>
              <w:top w:val="nil"/>
              <w:left w:val="nil"/>
              <w:bottom w:val="nil"/>
              <w:right w:val="nil"/>
            </w:tcBorders>
            <w:shd w:val="clear" w:color="auto" w:fill="A6A6A6" w:themeFill="background1" w:themeFillShade="A6"/>
            <w:noWrap/>
            <w:vAlign w:val="center"/>
            <w:hideMark/>
          </w:tcPr>
          <w:p w14:paraId="5A2CEB7D"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69</w:t>
            </w:r>
          </w:p>
        </w:tc>
        <w:tc>
          <w:tcPr>
            <w:tcW w:w="907" w:type="dxa"/>
            <w:tcBorders>
              <w:top w:val="nil"/>
              <w:left w:val="nil"/>
              <w:bottom w:val="nil"/>
              <w:right w:val="nil"/>
            </w:tcBorders>
            <w:shd w:val="clear" w:color="auto" w:fill="A6A6A6" w:themeFill="background1" w:themeFillShade="A6"/>
            <w:noWrap/>
            <w:vAlign w:val="center"/>
            <w:hideMark/>
          </w:tcPr>
          <w:p w14:paraId="08530E54"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31</w:t>
            </w:r>
          </w:p>
        </w:tc>
        <w:tc>
          <w:tcPr>
            <w:tcW w:w="737" w:type="dxa"/>
            <w:tcBorders>
              <w:top w:val="nil"/>
              <w:left w:val="nil"/>
              <w:bottom w:val="nil"/>
              <w:right w:val="nil"/>
            </w:tcBorders>
            <w:shd w:val="clear" w:color="auto" w:fill="A6A6A6" w:themeFill="background1" w:themeFillShade="A6"/>
            <w:noWrap/>
            <w:vAlign w:val="center"/>
            <w:hideMark/>
          </w:tcPr>
          <w:p w14:paraId="75595FEA"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170</w:t>
            </w:r>
          </w:p>
        </w:tc>
      </w:tr>
      <w:tr w:rsidR="0074630F" w:rsidRPr="0074630F" w14:paraId="1E67DD6D" w14:textId="77777777" w:rsidTr="006041E2">
        <w:trPr>
          <w:trHeight w:val="288"/>
        </w:trPr>
        <w:tc>
          <w:tcPr>
            <w:tcW w:w="702" w:type="dxa"/>
            <w:tcBorders>
              <w:top w:val="nil"/>
              <w:left w:val="nil"/>
              <w:bottom w:val="nil"/>
              <w:right w:val="nil"/>
            </w:tcBorders>
            <w:shd w:val="clear" w:color="000000" w:fill="F2F2F2"/>
            <w:vAlign w:val="center"/>
            <w:hideMark/>
          </w:tcPr>
          <w:p w14:paraId="1B1B077E" w14:textId="77777777" w:rsidR="0074630F" w:rsidRPr="0074630F" w:rsidRDefault="0074630F" w:rsidP="00CB0062">
            <w:pPr>
              <w:keepNext/>
              <w:spacing w:before="0" w:after="0" w:line="240" w:lineRule="auto"/>
              <w:rPr>
                <w:rFonts w:ascii="Arial" w:hAnsi="Arial" w:cs="Arial"/>
                <w:color w:val="000000"/>
                <w:szCs w:val="20"/>
              </w:rPr>
            </w:pPr>
            <w:r w:rsidRPr="0074630F">
              <w:rPr>
                <w:rFonts w:ascii="Arial" w:hAnsi="Arial" w:cs="Arial"/>
                <w:color w:val="000000"/>
                <w:szCs w:val="20"/>
              </w:rPr>
              <w:t>2016</w:t>
            </w:r>
          </w:p>
        </w:tc>
        <w:tc>
          <w:tcPr>
            <w:tcW w:w="907" w:type="dxa"/>
            <w:tcBorders>
              <w:top w:val="nil"/>
              <w:left w:val="nil"/>
              <w:bottom w:val="nil"/>
              <w:right w:val="nil"/>
            </w:tcBorders>
            <w:shd w:val="clear" w:color="auto" w:fill="BFBFBF" w:themeFill="background1" w:themeFillShade="BF"/>
            <w:noWrap/>
            <w:vAlign w:val="center"/>
            <w:hideMark/>
          </w:tcPr>
          <w:p w14:paraId="76FB1B3A"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51</w:t>
            </w:r>
          </w:p>
        </w:tc>
        <w:tc>
          <w:tcPr>
            <w:tcW w:w="906" w:type="dxa"/>
            <w:tcBorders>
              <w:top w:val="nil"/>
              <w:left w:val="nil"/>
              <w:bottom w:val="nil"/>
              <w:right w:val="nil"/>
            </w:tcBorders>
            <w:shd w:val="clear" w:color="auto" w:fill="BFBFBF" w:themeFill="background1" w:themeFillShade="BF"/>
            <w:noWrap/>
            <w:vAlign w:val="center"/>
            <w:hideMark/>
          </w:tcPr>
          <w:p w14:paraId="1A507D17"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49</w:t>
            </w:r>
          </w:p>
        </w:tc>
        <w:tc>
          <w:tcPr>
            <w:tcW w:w="737" w:type="dxa"/>
            <w:tcBorders>
              <w:top w:val="nil"/>
              <w:left w:val="nil"/>
              <w:bottom w:val="nil"/>
              <w:right w:val="nil"/>
            </w:tcBorders>
            <w:shd w:val="clear" w:color="auto" w:fill="BFBFBF" w:themeFill="background1" w:themeFillShade="BF"/>
            <w:noWrap/>
            <w:vAlign w:val="center"/>
            <w:hideMark/>
          </w:tcPr>
          <w:p w14:paraId="1CDBA4B6"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1,388</w:t>
            </w:r>
          </w:p>
        </w:tc>
        <w:tc>
          <w:tcPr>
            <w:tcW w:w="907" w:type="dxa"/>
            <w:tcBorders>
              <w:top w:val="nil"/>
              <w:left w:val="nil"/>
              <w:bottom w:val="nil"/>
              <w:right w:val="nil"/>
            </w:tcBorders>
            <w:shd w:val="clear" w:color="auto" w:fill="A6A6A6" w:themeFill="background1" w:themeFillShade="A6"/>
            <w:noWrap/>
            <w:vAlign w:val="center"/>
            <w:hideMark/>
          </w:tcPr>
          <w:p w14:paraId="314AAD4A"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60</w:t>
            </w:r>
          </w:p>
        </w:tc>
        <w:tc>
          <w:tcPr>
            <w:tcW w:w="907" w:type="dxa"/>
            <w:tcBorders>
              <w:top w:val="nil"/>
              <w:left w:val="nil"/>
              <w:bottom w:val="nil"/>
              <w:right w:val="nil"/>
            </w:tcBorders>
            <w:shd w:val="clear" w:color="auto" w:fill="A6A6A6" w:themeFill="background1" w:themeFillShade="A6"/>
            <w:noWrap/>
            <w:vAlign w:val="center"/>
            <w:hideMark/>
          </w:tcPr>
          <w:p w14:paraId="18E6BB30"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40</w:t>
            </w:r>
          </w:p>
        </w:tc>
        <w:tc>
          <w:tcPr>
            <w:tcW w:w="737" w:type="dxa"/>
            <w:tcBorders>
              <w:top w:val="nil"/>
              <w:left w:val="nil"/>
              <w:bottom w:val="nil"/>
              <w:right w:val="nil"/>
            </w:tcBorders>
            <w:shd w:val="clear" w:color="auto" w:fill="A6A6A6" w:themeFill="background1" w:themeFillShade="A6"/>
            <w:noWrap/>
            <w:vAlign w:val="center"/>
            <w:hideMark/>
          </w:tcPr>
          <w:p w14:paraId="66A7E8F7"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542</w:t>
            </w:r>
          </w:p>
        </w:tc>
        <w:tc>
          <w:tcPr>
            <w:tcW w:w="907" w:type="dxa"/>
            <w:tcBorders>
              <w:top w:val="nil"/>
              <w:left w:val="nil"/>
              <w:bottom w:val="nil"/>
              <w:right w:val="nil"/>
            </w:tcBorders>
            <w:shd w:val="clear" w:color="auto" w:fill="808080" w:themeFill="background1" w:themeFillShade="80"/>
            <w:noWrap/>
            <w:vAlign w:val="center"/>
            <w:hideMark/>
          </w:tcPr>
          <w:p w14:paraId="52A14557"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64</w:t>
            </w:r>
          </w:p>
        </w:tc>
        <w:tc>
          <w:tcPr>
            <w:tcW w:w="907" w:type="dxa"/>
            <w:tcBorders>
              <w:top w:val="nil"/>
              <w:left w:val="nil"/>
              <w:bottom w:val="nil"/>
              <w:right w:val="nil"/>
            </w:tcBorders>
            <w:shd w:val="clear" w:color="auto" w:fill="808080" w:themeFill="background1" w:themeFillShade="80"/>
            <w:noWrap/>
            <w:vAlign w:val="center"/>
            <w:hideMark/>
          </w:tcPr>
          <w:p w14:paraId="0FEDECE1"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36</w:t>
            </w:r>
          </w:p>
        </w:tc>
        <w:tc>
          <w:tcPr>
            <w:tcW w:w="737" w:type="dxa"/>
            <w:tcBorders>
              <w:top w:val="nil"/>
              <w:left w:val="nil"/>
              <w:bottom w:val="nil"/>
              <w:right w:val="nil"/>
            </w:tcBorders>
            <w:shd w:val="clear" w:color="auto" w:fill="808080" w:themeFill="background1" w:themeFillShade="80"/>
            <w:noWrap/>
            <w:vAlign w:val="center"/>
            <w:hideMark/>
          </w:tcPr>
          <w:p w14:paraId="35A53826"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118</w:t>
            </w:r>
          </w:p>
        </w:tc>
      </w:tr>
      <w:tr w:rsidR="0074630F" w:rsidRPr="0074630F" w14:paraId="14521A7A" w14:textId="77777777" w:rsidTr="006041E2">
        <w:trPr>
          <w:trHeight w:val="288"/>
        </w:trPr>
        <w:tc>
          <w:tcPr>
            <w:tcW w:w="702" w:type="dxa"/>
            <w:tcBorders>
              <w:top w:val="nil"/>
              <w:left w:val="nil"/>
              <w:bottom w:val="nil"/>
              <w:right w:val="nil"/>
            </w:tcBorders>
            <w:shd w:val="clear" w:color="000000" w:fill="F2F2F2"/>
            <w:vAlign w:val="center"/>
            <w:hideMark/>
          </w:tcPr>
          <w:p w14:paraId="11A66D5A" w14:textId="77777777" w:rsidR="0074630F" w:rsidRPr="0074630F" w:rsidRDefault="0074630F" w:rsidP="00CB0062">
            <w:pPr>
              <w:keepNext/>
              <w:spacing w:before="0" w:after="0" w:line="240" w:lineRule="auto"/>
              <w:rPr>
                <w:rFonts w:ascii="Arial" w:hAnsi="Arial" w:cs="Arial"/>
                <w:color w:val="000000"/>
                <w:szCs w:val="20"/>
              </w:rPr>
            </w:pPr>
            <w:r w:rsidRPr="0074630F">
              <w:rPr>
                <w:rFonts w:ascii="Arial" w:hAnsi="Arial" w:cs="Arial"/>
                <w:color w:val="000000"/>
                <w:szCs w:val="20"/>
              </w:rPr>
              <w:t>2015</w:t>
            </w:r>
          </w:p>
        </w:tc>
        <w:tc>
          <w:tcPr>
            <w:tcW w:w="907" w:type="dxa"/>
            <w:tcBorders>
              <w:top w:val="nil"/>
              <w:left w:val="nil"/>
              <w:bottom w:val="nil"/>
              <w:right w:val="nil"/>
            </w:tcBorders>
            <w:shd w:val="clear" w:color="auto" w:fill="A6A6A6" w:themeFill="background1" w:themeFillShade="A6"/>
            <w:noWrap/>
            <w:vAlign w:val="center"/>
            <w:hideMark/>
          </w:tcPr>
          <w:p w14:paraId="38BDC580"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53</w:t>
            </w:r>
          </w:p>
        </w:tc>
        <w:tc>
          <w:tcPr>
            <w:tcW w:w="906" w:type="dxa"/>
            <w:tcBorders>
              <w:top w:val="nil"/>
              <w:left w:val="nil"/>
              <w:bottom w:val="nil"/>
              <w:right w:val="nil"/>
            </w:tcBorders>
            <w:shd w:val="clear" w:color="auto" w:fill="A6A6A6" w:themeFill="background1" w:themeFillShade="A6"/>
            <w:noWrap/>
            <w:vAlign w:val="center"/>
            <w:hideMark/>
          </w:tcPr>
          <w:p w14:paraId="634E94FE"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47</w:t>
            </w:r>
          </w:p>
        </w:tc>
        <w:tc>
          <w:tcPr>
            <w:tcW w:w="737" w:type="dxa"/>
            <w:tcBorders>
              <w:top w:val="nil"/>
              <w:left w:val="nil"/>
              <w:bottom w:val="nil"/>
              <w:right w:val="nil"/>
            </w:tcBorders>
            <w:shd w:val="clear" w:color="auto" w:fill="A6A6A6" w:themeFill="background1" w:themeFillShade="A6"/>
            <w:noWrap/>
            <w:vAlign w:val="center"/>
            <w:hideMark/>
          </w:tcPr>
          <w:p w14:paraId="58B6B7C7"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1,357</w:t>
            </w:r>
          </w:p>
        </w:tc>
        <w:tc>
          <w:tcPr>
            <w:tcW w:w="907" w:type="dxa"/>
            <w:tcBorders>
              <w:top w:val="nil"/>
              <w:left w:val="nil"/>
              <w:bottom w:val="nil"/>
              <w:right w:val="nil"/>
            </w:tcBorders>
            <w:shd w:val="clear" w:color="auto" w:fill="808080" w:themeFill="background1" w:themeFillShade="80"/>
            <w:noWrap/>
            <w:vAlign w:val="center"/>
            <w:hideMark/>
          </w:tcPr>
          <w:p w14:paraId="74B52F85"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64</w:t>
            </w:r>
          </w:p>
        </w:tc>
        <w:tc>
          <w:tcPr>
            <w:tcW w:w="907" w:type="dxa"/>
            <w:tcBorders>
              <w:top w:val="nil"/>
              <w:left w:val="nil"/>
              <w:bottom w:val="nil"/>
              <w:right w:val="nil"/>
            </w:tcBorders>
            <w:shd w:val="clear" w:color="auto" w:fill="808080" w:themeFill="background1" w:themeFillShade="80"/>
            <w:noWrap/>
            <w:vAlign w:val="center"/>
            <w:hideMark/>
          </w:tcPr>
          <w:p w14:paraId="65ED0689"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36</w:t>
            </w:r>
          </w:p>
        </w:tc>
        <w:tc>
          <w:tcPr>
            <w:tcW w:w="737" w:type="dxa"/>
            <w:tcBorders>
              <w:top w:val="nil"/>
              <w:left w:val="nil"/>
              <w:bottom w:val="nil"/>
              <w:right w:val="nil"/>
            </w:tcBorders>
            <w:shd w:val="clear" w:color="auto" w:fill="808080" w:themeFill="background1" w:themeFillShade="80"/>
            <w:noWrap/>
            <w:vAlign w:val="center"/>
            <w:hideMark/>
          </w:tcPr>
          <w:p w14:paraId="5120B479"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210</w:t>
            </w:r>
          </w:p>
        </w:tc>
        <w:tc>
          <w:tcPr>
            <w:tcW w:w="907" w:type="dxa"/>
            <w:tcBorders>
              <w:top w:val="nil"/>
              <w:left w:val="nil"/>
              <w:bottom w:val="nil"/>
              <w:right w:val="nil"/>
            </w:tcBorders>
            <w:shd w:val="clear" w:color="auto" w:fill="auto"/>
            <w:noWrap/>
            <w:vAlign w:val="center"/>
            <w:hideMark/>
          </w:tcPr>
          <w:p w14:paraId="6EB865B6"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66</w:t>
            </w:r>
          </w:p>
        </w:tc>
        <w:tc>
          <w:tcPr>
            <w:tcW w:w="907" w:type="dxa"/>
            <w:tcBorders>
              <w:top w:val="nil"/>
              <w:left w:val="nil"/>
              <w:bottom w:val="nil"/>
              <w:right w:val="nil"/>
            </w:tcBorders>
            <w:shd w:val="clear" w:color="auto" w:fill="auto"/>
            <w:noWrap/>
            <w:vAlign w:val="center"/>
            <w:hideMark/>
          </w:tcPr>
          <w:p w14:paraId="3322FC91"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34</w:t>
            </w:r>
          </w:p>
        </w:tc>
        <w:tc>
          <w:tcPr>
            <w:tcW w:w="737" w:type="dxa"/>
            <w:tcBorders>
              <w:top w:val="nil"/>
              <w:left w:val="nil"/>
              <w:bottom w:val="nil"/>
              <w:right w:val="nil"/>
            </w:tcBorders>
            <w:shd w:val="clear" w:color="auto" w:fill="auto"/>
            <w:noWrap/>
            <w:vAlign w:val="center"/>
            <w:hideMark/>
          </w:tcPr>
          <w:p w14:paraId="60400D7B" w14:textId="77777777" w:rsidR="0074630F" w:rsidRPr="0074630F" w:rsidRDefault="0074630F" w:rsidP="00CB0062">
            <w:pPr>
              <w:keepNext/>
              <w:spacing w:before="0" w:after="0" w:line="240" w:lineRule="auto"/>
              <w:jc w:val="right"/>
              <w:rPr>
                <w:rFonts w:ascii="Arial" w:hAnsi="Arial" w:cs="Arial"/>
                <w:color w:val="000000"/>
                <w:szCs w:val="20"/>
              </w:rPr>
            </w:pPr>
            <w:r w:rsidRPr="0074630F">
              <w:rPr>
                <w:rFonts w:ascii="Arial" w:hAnsi="Arial" w:cs="Arial"/>
                <w:color w:val="000000"/>
                <w:szCs w:val="20"/>
              </w:rPr>
              <w:t>106</w:t>
            </w:r>
          </w:p>
        </w:tc>
      </w:tr>
    </w:tbl>
    <w:p w14:paraId="42674D7B" w14:textId="6868E080" w:rsidR="0074630F" w:rsidRPr="0074630F" w:rsidRDefault="00980312" w:rsidP="00980312">
      <w:pPr>
        <w:spacing w:before="0" w:line="240" w:lineRule="exact"/>
        <w:rPr>
          <w:sz w:val="16"/>
        </w:rPr>
      </w:pPr>
      <w:r w:rsidRPr="00980312">
        <w:rPr>
          <w:b/>
          <w:sz w:val="16"/>
        </w:rPr>
        <w:t>Note</w:t>
      </w:r>
      <w:r>
        <w:rPr>
          <w:sz w:val="16"/>
        </w:rPr>
        <w:t xml:space="preserve">: </w:t>
      </w:r>
      <w:r w:rsidR="008201BD">
        <w:rPr>
          <w:sz w:val="16"/>
        </w:rPr>
        <w:t xml:space="preserve">Female student retention or ‘leakage’ can be tracked </w:t>
      </w:r>
      <w:r w:rsidR="008201BD" w:rsidRPr="003978D0">
        <w:rPr>
          <w:i/>
          <w:sz w:val="16"/>
        </w:rPr>
        <w:t>diagonally</w:t>
      </w:r>
      <w:r w:rsidR="008201BD">
        <w:rPr>
          <w:sz w:val="16"/>
        </w:rPr>
        <w:t xml:space="preserve">. For example, for the 2015 cohort, 47% enrolled in micro 1, 40% enrolled in micro 2 in 2016 and 31% in micro 3 in 2017. </w:t>
      </w:r>
      <w:r w:rsidR="0074630F" w:rsidRPr="0074630F">
        <w:rPr>
          <w:sz w:val="16"/>
        </w:rPr>
        <w:t xml:space="preserve">The data for Micro 1 in 2015-2017 </w:t>
      </w:r>
      <w:r w:rsidR="008201BD">
        <w:rPr>
          <w:sz w:val="16"/>
        </w:rPr>
        <w:t>and Micro 2 in 2016</w:t>
      </w:r>
      <w:r w:rsidR="008201BD">
        <w:rPr>
          <w:sz w:val="16"/>
        </w:rPr>
        <w:noBreakHyphen/>
        <w:t xml:space="preserve">17 </w:t>
      </w:r>
      <w:r w:rsidR="0074630F" w:rsidRPr="0074630F">
        <w:rPr>
          <w:sz w:val="16"/>
        </w:rPr>
        <w:t>include</w:t>
      </w:r>
      <w:r w:rsidR="0074630F">
        <w:rPr>
          <w:sz w:val="16"/>
        </w:rPr>
        <w:t>s</w:t>
      </w:r>
      <w:r w:rsidR="0074630F" w:rsidRPr="0074630F">
        <w:rPr>
          <w:sz w:val="16"/>
        </w:rPr>
        <w:t xml:space="preserve"> enrolments in semesters 1 and 2. </w:t>
      </w:r>
      <w:r>
        <w:rPr>
          <w:sz w:val="16"/>
        </w:rPr>
        <w:br/>
      </w:r>
      <w:r w:rsidR="0074630F" w:rsidRPr="0074630F">
        <w:rPr>
          <w:b/>
          <w:sz w:val="16"/>
        </w:rPr>
        <w:t>Source</w:t>
      </w:r>
      <w:r w:rsidR="0074630F" w:rsidRPr="0074630F">
        <w:rPr>
          <w:sz w:val="16"/>
        </w:rPr>
        <w:t>: ANU Research School of Economics</w:t>
      </w:r>
    </w:p>
    <w:p w14:paraId="490A8AB7" w14:textId="0871DFE7" w:rsidR="0058017C" w:rsidRPr="00F478EE" w:rsidRDefault="0058017C" w:rsidP="00F478EE">
      <w:pPr>
        <w:pStyle w:val="Heading3"/>
      </w:pPr>
      <w:r w:rsidRPr="00F478EE">
        <w:t>What is turning women away?</w:t>
      </w:r>
    </w:p>
    <w:p w14:paraId="34786553" w14:textId="0975BF12" w:rsidR="0058017C" w:rsidRDefault="0058017C" w:rsidP="0058017C">
      <w:r>
        <w:t>The literature has examined reasons behind the declining number of women in economics but does not reach a consensus on whether any particular issue is driving the trend. Instead a range of factors appear to be at play. These include:</w:t>
      </w:r>
    </w:p>
    <w:p w14:paraId="09D3E8A3" w14:textId="1CAD28D9" w:rsidR="0058017C" w:rsidRDefault="00BF743C" w:rsidP="00BF743C">
      <w:pPr>
        <w:ind w:left="720" w:hanging="720"/>
      </w:pPr>
      <w:r>
        <w:rPr>
          <w:rFonts w:ascii="Helvetica" w:hAnsi="Helvetica" w:cs="Helvetica"/>
        </w:rPr>
        <w:t>•</w:t>
      </w:r>
      <w:r>
        <w:rPr>
          <w:rFonts w:ascii="Helvetica" w:hAnsi="Helvetica" w:cs="Helvetica"/>
        </w:rPr>
        <w:tab/>
      </w:r>
      <w:r w:rsidR="0058017C">
        <w:t>A lack of female role models</w:t>
      </w:r>
      <w:r w:rsidR="00DB7F5C">
        <w:t>—</w:t>
      </w:r>
      <w:r w:rsidR="0058017C">
        <w:t>female students are unable to observe someone with similar characteristics who is</w:t>
      </w:r>
      <w:r w:rsidR="00DB7F5C">
        <w:t xml:space="preserve"> accomplished in the field. (S</w:t>
      </w:r>
      <w:r w:rsidR="0058017C">
        <w:t>ee for example, Haslehurst, Hopkins, and Thorpe 1998; Neumark and Ga</w:t>
      </w:r>
      <w:r w:rsidR="00E477E5">
        <w:t>rdecki</w:t>
      </w:r>
      <w:r w:rsidR="0058017C">
        <w:t xml:space="preserve"> 1998; Bayer and Rouse 2016; Jonung and Stahlberg 2008; Hale and Regev 2014; Carrell, Page, and West 2010</w:t>
      </w:r>
      <w:r w:rsidR="00DB7F5C">
        <w:t>.</w:t>
      </w:r>
      <w:r w:rsidR="0058017C">
        <w:t>)</w:t>
      </w:r>
    </w:p>
    <w:p w14:paraId="219073A2" w14:textId="5AA34E4B" w:rsidR="0058017C" w:rsidRDefault="00BF743C" w:rsidP="00BF743C">
      <w:pPr>
        <w:ind w:left="720" w:hanging="720"/>
      </w:pPr>
      <w:r>
        <w:rPr>
          <w:rFonts w:ascii="Helvetica" w:hAnsi="Helvetica" w:cs="Helvetica"/>
        </w:rPr>
        <w:t>•</w:t>
      </w:r>
      <w:r>
        <w:rPr>
          <w:rFonts w:ascii="Helvetica" w:hAnsi="Helvetica" w:cs="Helvetica"/>
        </w:rPr>
        <w:tab/>
      </w:r>
      <w:r w:rsidR="0058017C">
        <w:t>Women do not relate to what they are studying</w:t>
      </w:r>
      <w:r w:rsidR="00DB7F5C">
        <w:t>—</w:t>
      </w:r>
      <w:r w:rsidR="0058017C">
        <w:t xml:space="preserve">for example, they may be deterred by highly theoretical subject matter; hold divergent views on the material taught and </w:t>
      </w:r>
      <w:r w:rsidR="00AF0F05">
        <w:t xml:space="preserve">in </w:t>
      </w:r>
      <w:r w:rsidR="0058017C">
        <w:t>the curriculum; and not be able to see themselves in the textbooks and other material that contributes t</w:t>
      </w:r>
      <w:r w:rsidR="00DB7F5C">
        <w:t>o the curriculum. (S</w:t>
      </w:r>
      <w:r w:rsidR="0058017C">
        <w:t>ee, for example, Jensen and Owen 2001; Jensen and Owen 2000; May, McGarvey and Whaples 2013; Ferber 1995; Nelson 1995; Stevenson and Zlotnick 2018</w:t>
      </w:r>
      <w:r w:rsidR="00DB7F5C">
        <w:t>.</w:t>
      </w:r>
      <w:r w:rsidR="0058017C">
        <w:t xml:space="preserve">) </w:t>
      </w:r>
    </w:p>
    <w:p w14:paraId="3DB0CD17" w14:textId="70F215D0" w:rsidR="0058017C" w:rsidRDefault="00BF743C" w:rsidP="00BF743C">
      <w:pPr>
        <w:ind w:left="720" w:hanging="720"/>
      </w:pPr>
      <w:r>
        <w:rPr>
          <w:rFonts w:ascii="Helvetica" w:hAnsi="Helvetica" w:cs="Helvetica"/>
        </w:rPr>
        <w:t>•</w:t>
      </w:r>
      <w:r>
        <w:rPr>
          <w:rFonts w:ascii="Helvetica" w:hAnsi="Helvetica" w:cs="Helvetica"/>
        </w:rPr>
        <w:tab/>
      </w:r>
      <w:r w:rsidR="0058017C">
        <w:t>Economics career paths are not well understood</w:t>
      </w:r>
      <w:r w:rsidR="00DB7F5C">
        <w:t>—</w:t>
      </w:r>
      <w:r w:rsidR="0058017C">
        <w:t>there may be a perception economics leads to a career in finance or banking, and the work is not societally meaningful</w:t>
      </w:r>
      <w:r w:rsidR="00DB7F5C">
        <w:t>.</w:t>
      </w:r>
      <w:r w:rsidR="0058017C">
        <w:t xml:space="preserve"> (</w:t>
      </w:r>
      <w:r w:rsidR="00DB7F5C">
        <w:t>S</w:t>
      </w:r>
      <w:r w:rsidR="0058017C">
        <w:t>ee, for example, Turner and Bowen 1999; Smith and Zenker 2014; Bansak and Starr 2006</w:t>
      </w:r>
      <w:r w:rsidR="00DB7F5C">
        <w:t>.</w:t>
      </w:r>
      <w:r w:rsidR="0058017C">
        <w:t>)</w:t>
      </w:r>
    </w:p>
    <w:p w14:paraId="42B8D0E2" w14:textId="2D1CE5A4" w:rsidR="0058017C" w:rsidRDefault="00BF743C" w:rsidP="00BF743C">
      <w:pPr>
        <w:ind w:left="720" w:hanging="720"/>
      </w:pPr>
      <w:r>
        <w:rPr>
          <w:rFonts w:ascii="Helvetica" w:hAnsi="Helvetica" w:cs="Helvetica"/>
        </w:rPr>
        <w:t>•</w:t>
      </w:r>
      <w:r>
        <w:rPr>
          <w:rFonts w:ascii="Helvetica" w:hAnsi="Helvetica" w:cs="Helvetica"/>
        </w:rPr>
        <w:tab/>
      </w:r>
      <w:r w:rsidR="0058017C">
        <w:t>Perceptions of their academic performance</w:t>
      </w:r>
      <w:r w:rsidR="00DB7F5C">
        <w:t>—</w:t>
      </w:r>
      <w:r w:rsidR="0058017C">
        <w:t xml:space="preserve">stronger performance in other subjects relative to introductory economics may lead to the student pursuing a different major. </w:t>
      </w:r>
      <w:r w:rsidR="00076014">
        <w:t>A student’s m</w:t>
      </w:r>
      <w:r w:rsidR="0058017C">
        <w:t>aths aptitude (or their perception of it) may also play a role. (</w:t>
      </w:r>
      <w:r w:rsidR="00DB7F5C">
        <w:t>S</w:t>
      </w:r>
      <w:r w:rsidR="0058017C">
        <w:t>ee for example, Dynan and Rouse 199</w:t>
      </w:r>
      <w:r w:rsidR="00412637">
        <w:t>7</w:t>
      </w:r>
      <w:r w:rsidR="0058017C">
        <w:t>; Bayer and Rouse 2016; Rask and Tiefenthaler 2008; H</w:t>
      </w:r>
      <w:r w:rsidR="00E477E5">
        <w:t xml:space="preserve">aslehurst, Hopkins, and Thorpe </w:t>
      </w:r>
      <w:r w:rsidR="0058017C">
        <w:t>1998; Dynan and Rouse 1997; Smith and Zenker 2014</w:t>
      </w:r>
      <w:r w:rsidR="00DB7F5C">
        <w:t>.</w:t>
      </w:r>
      <w:r w:rsidR="0058017C">
        <w:t xml:space="preserve">) </w:t>
      </w:r>
    </w:p>
    <w:p w14:paraId="47324CA9" w14:textId="02B40AC5" w:rsidR="0058017C" w:rsidRDefault="00BF743C" w:rsidP="00BF743C">
      <w:pPr>
        <w:ind w:left="720" w:hanging="720"/>
      </w:pPr>
      <w:r>
        <w:rPr>
          <w:rFonts w:ascii="Helvetica" w:hAnsi="Helvetica" w:cs="Helvetica"/>
        </w:rPr>
        <w:t>•</w:t>
      </w:r>
      <w:r>
        <w:rPr>
          <w:rFonts w:ascii="Helvetica" w:hAnsi="Helvetica" w:cs="Helvetica"/>
        </w:rPr>
        <w:tab/>
      </w:r>
      <w:r w:rsidR="0058017C">
        <w:t>There may be a chilly or competitive class environment, w</w:t>
      </w:r>
      <w:r w:rsidR="00E477E5">
        <w:t>hich they find offputting (Kahn</w:t>
      </w:r>
      <w:r w:rsidR="0058017C">
        <w:t xml:space="preserve"> 1995; Niederle and Vesterlund 2011</w:t>
      </w:r>
      <w:r w:rsidR="002A0A62">
        <w:t>; Vedel and Thomsen 2017</w:t>
      </w:r>
      <w:r w:rsidR="0058017C">
        <w:t>).</w:t>
      </w:r>
    </w:p>
    <w:p w14:paraId="046A1040" w14:textId="77D7E595" w:rsidR="002A0A62" w:rsidRDefault="00BF743C" w:rsidP="00BF743C">
      <w:pPr>
        <w:ind w:left="720" w:hanging="720"/>
      </w:pPr>
      <w:r>
        <w:rPr>
          <w:rFonts w:ascii="Helvetica" w:hAnsi="Helvetica" w:cs="Helvetica"/>
        </w:rPr>
        <w:t>•</w:t>
      </w:r>
      <w:r>
        <w:rPr>
          <w:rFonts w:ascii="Helvetica" w:hAnsi="Helvetica" w:cs="Helvetica"/>
        </w:rPr>
        <w:tab/>
      </w:r>
      <w:r w:rsidR="002A0A62" w:rsidRPr="002A0A62">
        <w:t xml:space="preserve">There </w:t>
      </w:r>
      <w:r w:rsidR="00076014">
        <w:t>may be a</w:t>
      </w:r>
      <w:r w:rsidR="002A0A62" w:rsidRPr="002A0A62">
        <w:t xml:space="preserve"> culture of hostility, sexism and discrimination (Wu 2017; American Economics Association 2019)</w:t>
      </w:r>
      <w:r w:rsidR="00076014">
        <w:t>.</w:t>
      </w:r>
    </w:p>
    <w:p w14:paraId="5D6E1886" w14:textId="308AAE40" w:rsidR="0058017C" w:rsidRDefault="0058017C" w:rsidP="00A50820">
      <w:r>
        <w:t>Some of these findings were supported by a small focus group held with ANU students prior to the launch of the program (see box 1 below).</w:t>
      </w:r>
    </w:p>
    <w:p w14:paraId="1428CC91" w14:textId="77777777" w:rsidR="001A549D" w:rsidRPr="00F71E3D" w:rsidRDefault="001A549D" w:rsidP="001A549D">
      <w:pPr>
        <w:shd w:val="clear" w:color="auto" w:fill="23316C"/>
        <w:rPr>
          <w:b/>
          <w:color w:val="FFFFFF" w:themeColor="background1"/>
          <w:sz w:val="22"/>
          <w:szCs w:val="22"/>
        </w:rPr>
      </w:pPr>
      <w:r w:rsidRPr="00F71E3D">
        <w:rPr>
          <w:b/>
          <w:color w:val="FFFFFF" w:themeColor="background1"/>
          <w:sz w:val="22"/>
          <w:szCs w:val="22"/>
        </w:rPr>
        <w:t>Box 1: Focus group—barriers to pursuing economics</w:t>
      </w:r>
    </w:p>
    <w:p w14:paraId="7C3C86C7" w14:textId="77777777" w:rsidR="001A549D" w:rsidRDefault="001A549D" w:rsidP="00F71E3D">
      <w:pPr>
        <w:shd w:val="clear" w:color="auto" w:fill="F2F2F2" w:themeFill="background1" w:themeFillShade="F2"/>
      </w:pPr>
      <w:r>
        <w:t xml:space="preserve">On 12 April 2018, we held a one hour focus group with six female economics students at the Australian National University. The students were part of the Momentum program, which offered mentoring along with other job ready skills training for students in the College of Business and Economics. </w:t>
      </w:r>
    </w:p>
    <w:p w14:paraId="390B71A9" w14:textId="77777777" w:rsidR="001A549D" w:rsidRDefault="001A549D" w:rsidP="00F71E3D">
      <w:pPr>
        <w:shd w:val="clear" w:color="auto" w:fill="F2F2F2" w:themeFill="background1" w:themeFillShade="F2"/>
      </w:pPr>
      <w:r>
        <w:t>All six students were later year, full-time students. Most were undergraduates and most were studying a combined degree. There were three international students and three domestic students.</w:t>
      </w:r>
    </w:p>
    <w:p w14:paraId="0714337E" w14:textId="77777777" w:rsidR="001A549D" w:rsidRDefault="001A549D" w:rsidP="00F71E3D">
      <w:pPr>
        <w:shd w:val="clear" w:color="auto" w:fill="F2F2F2" w:themeFill="background1" w:themeFillShade="F2"/>
      </w:pPr>
      <w:r>
        <w:t>The discussion explored why they were interested in economics and what they saw as potential barriers.</w:t>
      </w:r>
    </w:p>
    <w:p w14:paraId="2D082D1C" w14:textId="7CA86930" w:rsidR="001A549D" w:rsidRDefault="001A549D" w:rsidP="00312500">
      <w:pPr>
        <w:shd w:val="clear" w:color="auto" w:fill="F2F2F2" w:themeFill="background1" w:themeFillShade="F2"/>
      </w:pPr>
      <w:r>
        <w:t>•</w:t>
      </w:r>
      <w:r w:rsidR="00F71E3D">
        <w:tab/>
      </w:r>
      <w:r>
        <w:t xml:space="preserve">Why economics? Most of the group became interested in economics because of its practical applications. Several were strongly influenced by inspiring high school teachers. </w:t>
      </w:r>
    </w:p>
    <w:p w14:paraId="2DB757D3" w14:textId="77777777" w:rsidR="001A549D" w:rsidRDefault="001A549D" w:rsidP="00F71E3D">
      <w:pPr>
        <w:shd w:val="clear" w:color="auto" w:fill="F2F2F2" w:themeFill="background1" w:themeFillShade="F2"/>
      </w:pPr>
      <w:r>
        <w:t>•</w:t>
      </w:r>
      <w:r>
        <w:tab/>
        <w:t>Emphasis on maths: Most students found the level of maths challenging and most also felt it was a negative factor that detracted from ‘real-world applications’. There were two dissenting voices, however, who enjoyed the challenges of the maths content.</w:t>
      </w:r>
    </w:p>
    <w:p w14:paraId="6DB10C85" w14:textId="77777777" w:rsidR="001A549D" w:rsidRDefault="001A549D" w:rsidP="00F71E3D">
      <w:pPr>
        <w:shd w:val="clear" w:color="auto" w:fill="F2F2F2" w:themeFill="background1" w:themeFillShade="F2"/>
      </w:pPr>
      <w:r>
        <w:t>•</w:t>
      </w:r>
      <w:r>
        <w:tab/>
        <w:t>Impact of marks on decision to continue with economics: This was not deemed to be a significant issue, although one student described how the lecturer presented the assessment in an intimidating way and several agreed this sort of presentation was off-putting.</w:t>
      </w:r>
    </w:p>
    <w:p w14:paraId="3C3A4679" w14:textId="77777777" w:rsidR="001A549D" w:rsidRDefault="001A549D" w:rsidP="00F71E3D">
      <w:pPr>
        <w:shd w:val="clear" w:color="auto" w:fill="F2F2F2" w:themeFill="background1" w:themeFillShade="F2"/>
      </w:pPr>
      <w:r>
        <w:t>•</w:t>
      </w:r>
      <w:r>
        <w:tab/>
        <w:t xml:space="preserve">Career aspirations: Participants had varied views about career directions, and noted it was only something they thought about in later years of study. During their first year they were more focused on what courses looked interesting. </w:t>
      </w:r>
    </w:p>
    <w:p w14:paraId="63C48FD2" w14:textId="22AE690D" w:rsidR="00A50820" w:rsidRDefault="001A549D" w:rsidP="0050069A">
      <w:pPr>
        <w:shd w:val="clear" w:color="auto" w:fill="F2F2F2" w:themeFill="background1" w:themeFillShade="F2"/>
      </w:pPr>
      <w:r>
        <w:t>•</w:t>
      </w:r>
      <w:r>
        <w:tab/>
        <w:t>Role models: Two participants said female role models may have subconsciously influenced their decision to continue with economics? Female lecturers were nominated as role models: ‘How can I be like you?’, ‘Helps me see that I could do it.’</w:t>
      </w:r>
    </w:p>
    <w:p w14:paraId="7BF947FB" w14:textId="77777777" w:rsidR="00973B23" w:rsidRDefault="00973B23" w:rsidP="00973B23">
      <w:r>
        <w:br w:type="page"/>
      </w:r>
    </w:p>
    <w:p w14:paraId="254B725A" w14:textId="19C9E841" w:rsidR="00973B23" w:rsidRPr="00AB1258" w:rsidRDefault="00A50820" w:rsidP="00AB1258">
      <w:pPr>
        <w:pStyle w:val="Heading2"/>
      </w:pPr>
      <w:bookmarkStart w:id="4" w:name="_Toc57814943"/>
      <w:r w:rsidRPr="00AB1258">
        <w:t>M</w:t>
      </w:r>
      <w:r w:rsidR="00141458" w:rsidRPr="00AB1258">
        <w:t>entoring program</w:t>
      </w:r>
      <w:r w:rsidRPr="00AB1258">
        <w:t xml:space="preserve"> design</w:t>
      </w:r>
      <w:bookmarkEnd w:id="4"/>
    </w:p>
    <w:p w14:paraId="5A6EBE6F" w14:textId="7FCA5E64" w:rsidR="00973B23" w:rsidRDefault="00196157" w:rsidP="00973B23">
      <w:pPr>
        <w:pStyle w:val="Intro"/>
      </w:pPr>
      <w:r>
        <w:t>W</w:t>
      </w:r>
      <w:r w:rsidRPr="00196157">
        <w:t>e developed a mentoring program for women studying undergradua</w:t>
      </w:r>
      <w:r>
        <w:t xml:space="preserve">te economics at ANU in Canberra. </w:t>
      </w:r>
    </w:p>
    <w:p w14:paraId="7EA14407" w14:textId="7BEC1A12" w:rsidR="00196157" w:rsidRDefault="00196157" w:rsidP="00196157">
      <w:r>
        <w:t xml:space="preserve">This section provides the details of the mentoring program including: </w:t>
      </w:r>
    </w:p>
    <w:p w14:paraId="6B531F6B" w14:textId="69F4B303" w:rsidR="00196157" w:rsidRDefault="00BF743C" w:rsidP="00BF743C">
      <w:pPr>
        <w:ind w:left="720" w:hanging="720"/>
      </w:pPr>
      <w:r>
        <w:rPr>
          <w:rFonts w:ascii="Helvetica" w:hAnsi="Helvetica" w:cs="Helvetica"/>
        </w:rPr>
        <w:t>•</w:t>
      </w:r>
      <w:r>
        <w:rPr>
          <w:rFonts w:ascii="Helvetica" w:hAnsi="Helvetica" w:cs="Helvetica"/>
        </w:rPr>
        <w:tab/>
      </w:r>
      <w:r w:rsidR="00196157">
        <w:t>The p</w:t>
      </w:r>
      <w:r w:rsidR="00196157" w:rsidRPr="00196157">
        <w:t>rogram</w:t>
      </w:r>
      <w:r w:rsidR="00196157">
        <w:t>’s objectives</w:t>
      </w:r>
    </w:p>
    <w:p w14:paraId="62FED8FD" w14:textId="7EF828A2" w:rsidR="00196157" w:rsidRDefault="00BF743C" w:rsidP="00BF743C">
      <w:pPr>
        <w:ind w:left="720" w:hanging="720"/>
      </w:pPr>
      <w:r>
        <w:rPr>
          <w:rFonts w:ascii="Helvetica" w:hAnsi="Helvetica" w:cs="Helvetica"/>
        </w:rPr>
        <w:t>•</w:t>
      </w:r>
      <w:r>
        <w:rPr>
          <w:rFonts w:ascii="Helvetica" w:hAnsi="Helvetica" w:cs="Helvetica"/>
        </w:rPr>
        <w:tab/>
      </w:r>
      <w:r w:rsidR="00196157">
        <w:t>A description of the s</w:t>
      </w:r>
      <w:r w:rsidR="00196157" w:rsidRPr="00196157">
        <w:t>tudent mentees</w:t>
      </w:r>
      <w:r w:rsidR="00196157">
        <w:t xml:space="preserve"> and the m</w:t>
      </w:r>
      <w:r w:rsidR="00196157" w:rsidRPr="00196157">
        <w:t>entors</w:t>
      </w:r>
    </w:p>
    <w:p w14:paraId="134F5C22" w14:textId="5A627FC3" w:rsidR="00196157" w:rsidRDefault="00BF743C" w:rsidP="00BF743C">
      <w:pPr>
        <w:ind w:left="720" w:hanging="720"/>
      </w:pPr>
      <w:r>
        <w:rPr>
          <w:rFonts w:ascii="Helvetica" w:hAnsi="Helvetica" w:cs="Helvetica"/>
        </w:rPr>
        <w:t>•</w:t>
      </w:r>
      <w:r>
        <w:rPr>
          <w:rFonts w:ascii="Helvetica" w:hAnsi="Helvetica" w:cs="Helvetica"/>
        </w:rPr>
        <w:tab/>
      </w:r>
      <w:r w:rsidR="00196157">
        <w:t>The design details, such as the matching process, guidance materials, and networking events</w:t>
      </w:r>
    </w:p>
    <w:p w14:paraId="395D3CEE" w14:textId="016F8471" w:rsidR="00196157" w:rsidRDefault="00BF743C" w:rsidP="00BF743C">
      <w:pPr>
        <w:ind w:left="720" w:hanging="720"/>
      </w:pPr>
      <w:r>
        <w:rPr>
          <w:rFonts w:ascii="Helvetica" w:hAnsi="Helvetica" w:cs="Helvetica"/>
        </w:rPr>
        <w:t>•</w:t>
      </w:r>
      <w:r>
        <w:rPr>
          <w:rFonts w:ascii="Helvetica" w:hAnsi="Helvetica" w:cs="Helvetica"/>
        </w:rPr>
        <w:tab/>
      </w:r>
      <w:r w:rsidR="00196157">
        <w:t xml:space="preserve">The evaluation design, including surveys of students and mentors </w:t>
      </w:r>
    </w:p>
    <w:p w14:paraId="20A80728" w14:textId="107B7563" w:rsidR="0058017C" w:rsidRPr="00AB1258" w:rsidRDefault="007C1323" w:rsidP="00F478EE">
      <w:pPr>
        <w:pStyle w:val="Heading3"/>
      </w:pPr>
      <w:r w:rsidRPr="00AB1258">
        <w:t xml:space="preserve">Program </w:t>
      </w:r>
      <w:r w:rsidR="0058017C" w:rsidRPr="00AB1258">
        <w:t xml:space="preserve">objectives </w:t>
      </w:r>
      <w:r w:rsidRPr="00AB1258">
        <w:t>and overview</w:t>
      </w:r>
    </w:p>
    <w:p w14:paraId="69275AC0" w14:textId="425A73FA" w:rsidR="0058017C" w:rsidRDefault="0058017C" w:rsidP="0058017C">
      <w:r>
        <w:t xml:space="preserve">Given the barriers to women studying economics noted above, </w:t>
      </w:r>
      <w:r w:rsidR="00255B7B">
        <w:t xml:space="preserve">the </w:t>
      </w:r>
      <w:r w:rsidR="00076014">
        <w:t xml:space="preserve">ACT </w:t>
      </w:r>
      <w:r w:rsidR="00255B7B">
        <w:t xml:space="preserve">Women in Economics Network (WEN), with input from BETA, </w:t>
      </w:r>
      <w:r w:rsidR="00DB7F5C">
        <w:t>developed</w:t>
      </w:r>
      <w:r>
        <w:t xml:space="preserve"> a mentoring program for women studying undergraduate economics at ANU in Canberra</w:t>
      </w:r>
      <w:r w:rsidR="007C1323">
        <w:t>. Ultimately, the program aimed to encourage students to continue with their economics stud</w:t>
      </w:r>
      <w:r w:rsidR="00076014">
        <w:t>ies</w:t>
      </w:r>
      <w:r w:rsidR="007C1323">
        <w:t xml:space="preserve"> and pursue a career in economics. It would do this by </w:t>
      </w:r>
      <w:r>
        <w:t>provid</w:t>
      </w:r>
      <w:r w:rsidR="007C1323">
        <w:t>ing</w:t>
      </w:r>
      <w:r>
        <w:t xml:space="preserve"> students with:  </w:t>
      </w:r>
    </w:p>
    <w:p w14:paraId="25D1740F" w14:textId="2A97BB66" w:rsidR="0058017C" w:rsidRDefault="00BF743C" w:rsidP="00BF743C">
      <w:pPr>
        <w:ind w:left="720" w:hanging="720"/>
      </w:pPr>
      <w:r>
        <w:rPr>
          <w:rFonts w:ascii="Helvetica" w:hAnsi="Helvetica" w:cs="Helvetica"/>
        </w:rPr>
        <w:t>•</w:t>
      </w:r>
      <w:r>
        <w:rPr>
          <w:rFonts w:ascii="Helvetica" w:hAnsi="Helvetica" w:cs="Helvetica"/>
        </w:rPr>
        <w:tab/>
      </w:r>
      <w:r w:rsidR="00DB7F5C">
        <w:t>a role model, making a degree and/or career</w:t>
      </w:r>
      <w:r w:rsidR="0058017C">
        <w:t xml:space="preserve"> in economics seem more tangible and attractive </w:t>
      </w:r>
    </w:p>
    <w:p w14:paraId="6F5E2409" w14:textId="04A031F2" w:rsidR="0058017C" w:rsidRDefault="00BF743C" w:rsidP="00BF743C">
      <w:pPr>
        <w:ind w:left="720" w:hanging="720"/>
      </w:pPr>
      <w:r>
        <w:rPr>
          <w:rFonts w:ascii="Helvetica" w:hAnsi="Helvetica" w:cs="Helvetica"/>
        </w:rPr>
        <w:t>•</w:t>
      </w:r>
      <w:r>
        <w:rPr>
          <w:rFonts w:ascii="Helvetica" w:hAnsi="Helvetica" w:cs="Helvetica"/>
        </w:rPr>
        <w:tab/>
      </w:r>
      <w:r w:rsidR="0058017C">
        <w:t>a broader perspective on career options for economics graduates, making an economics degree more attractive</w:t>
      </w:r>
    </w:p>
    <w:p w14:paraId="09995D24" w14:textId="608ADB7D" w:rsidR="0058017C" w:rsidRDefault="00BF743C" w:rsidP="00BF743C">
      <w:pPr>
        <w:ind w:left="720" w:hanging="720"/>
      </w:pPr>
      <w:r>
        <w:rPr>
          <w:rFonts w:ascii="Helvetica" w:hAnsi="Helvetica" w:cs="Helvetica"/>
        </w:rPr>
        <w:t>•</w:t>
      </w:r>
      <w:r>
        <w:rPr>
          <w:rFonts w:ascii="Helvetica" w:hAnsi="Helvetica" w:cs="Helvetica"/>
        </w:rPr>
        <w:tab/>
      </w:r>
      <w:r w:rsidR="0058017C">
        <w:t>an insight into the practical applications of economics, helping to make economics studies more interesting and relevant for the students.</w:t>
      </w:r>
    </w:p>
    <w:p w14:paraId="5B96E8E5" w14:textId="258BEBA1" w:rsidR="0058017C" w:rsidRDefault="0058017C" w:rsidP="0058017C">
      <w:r>
        <w:t xml:space="preserve">We also anticipated broader benefits from the program. For example, </w:t>
      </w:r>
      <w:r w:rsidR="00DB7F5C">
        <w:t xml:space="preserve">through the mentoring program, </w:t>
      </w:r>
      <w:r w:rsidR="00AF0F05">
        <w:t xml:space="preserve">we hoped </w:t>
      </w:r>
      <w:r w:rsidR="00DB7F5C">
        <w:t xml:space="preserve">students </w:t>
      </w:r>
      <w:r>
        <w:t>could expect personal satisfaction, opportunities for reflection, knowledge of more recent research or economics teaching and further development of interpersonal skills. Further, the economics faculty of the students would benefit through improved student satisfaction, (potentially) improved student outcomes, higher rates of student retention and stronger links with those practicing in the field.</w:t>
      </w:r>
    </w:p>
    <w:p w14:paraId="58ABDB3C" w14:textId="59412115" w:rsidR="0058017C" w:rsidRDefault="007C1323" w:rsidP="0058017C">
      <w:r>
        <w:t xml:space="preserve">Our design of the mentoring program was also informed by feedback provided by the </w:t>
      </w:r>
      <w:r w:rsidR="0058017C">
        <w:t>focus group noted above (</w:t>
      </w:r>
      <w:r>
        <w:t>B</w:t>
      </w:r>
      <w:r w:rsidR="0058017C">
        <w:t>ox 2).</w:t>
      </w:r>
    </w:p>
    <w:p w14:paraId="10A587EC" w14:textId="77777777" w:rsidR="00312500" w:rsidRPr="00312500" w:rsidRDefault="00312500" w:rsidP="004A3832">
      <w:pPr>
        <w:keepNext/>
        <w:pBdr>
          <w:top w:val="single" w:sz="4" w:space="5" w:color="auto"/>
          <w:left w:val="single" w:sz="4" w:space="10" w:color="auto"/>
          <w:bottom w:val="single" w:sz="4" w:space="5" w:color="auto"/>
          <w:right w:val="single" w:sz="4" w:space="10" w:color="auto"/>
        </w:pBdr>
        <w:shd w:val="clear" w:color="auto" w:fill="23316C"/>
        <w:spacing w:after="0"/>
        <w:rPr>
          <w:b/>
          <w:color w:val="FFFFFF" w:themeColor="background1"/>
          <w:sz w:val="22"/>
          <w:szCs w:val="22"/>
        </w:rPr>
      </w:pPr>
      <w:r w:rsidRPr="00312500">
        <w:rPr>
          <w:b/>
          <w:color w:val="FFFFFF" w:themeColor="background1"/>
          <w:sz w:val="22"/>
          <w:szCs w:val="22"/>
        </w:rPr>
        <w:t>Box 2: Focus group—benefits and design of a mentoring program</w:t>
      </w:r>
    </w:p>
    <w:p w14:paraId="395C323D" w14:textId="77777777" w:rsidR="00312500" w:rsidRDefault="00312500" w:rsidP="004A3832">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t xml:space="preserve">The focus group with ANU students discussed the perceived benefits of mentoring. Students indicated mentoring could provide an insight into what it looks like to work as an economist. Mentoring could make the world of work (or various career paths) feel more tangible and achievable. And it could provide exposure to opportunities students aren’t typically aware of. </w:t>
      </w:r>
    </w:p>
    <w:p w14:paraId="4929954A" w14:textId="0763B3D6" w:rsidR="00541CFD" w:rsidRDefault="00312500" w:rsidP="004A3832">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after="0"/>
        <w:contextualSpacing/>
        <w:sectPr w:rsidR="00541CFD" w:rsidSect="008253C4">
          <w:headerReference w:type="default" r:id="rId22"/>
          <w:footerReference w:type="default" r:id="rId23"/>
          <w:pgSz w:w="11906" w:h="16838" w:code="9"/>
          <w:pgMar w:top="2041" w:right="2381" w:bottom="1247" w:left="1247" w:header="720" w:footer="851" w:gutter="0"/>
          <w:cols w:space="708"/>
          <w:docGrid w:linePitch="360"/>
        </w:sectPr>
      </w:pPr>
      <w:r>
        <w:t>We also sought suggestions for the design of the mentoring program:</w:t>
      </w:r>
    </w:p>
    <w:p w14:paraId="63610C1E" w14:textId="2C06CF10" w:rsidR="00541CFD" w:rsidRDefault="00BF743C" w:rsidP="00BF743C">
      <w:pPr>
        <w:pBdr>
          <w:top w:val="single" w:sz="4" w:space="5"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0"/>
        <w:ind w:left="714" w:hanging="357"/>
      </w:pPr>
      <w:r>
        <w:rPr>
          <w:rFonts w:ascii="Symbol" w:hAnsi="Symbol"/>
        </w:rPr>
        <w:t></w:t>
      </w:r>
      <w:r>
        <w:rPr>
          <w:rFonts w:ascii="Symbol" w:hAnsi="Symbol"/>
        </w:rPr>
        <w:tab/>
      </w:r>
      <w:r w:rsidR="00312500">
        <w:t>Type of mentor: Most participants agreed they would appreciate a mentor with an economics background and it would be preferable to have a female mentor: ‘she would be a role model’, ‘I could ask her about work/family’, ‘I’d just prefer it’. There were mixed views about the age or experience of the mentor.</w:t>
      </w:r>
    </w:p>
    <w:p w14:paraId="7D2A1444" w14:textId="590073FA" w:rsidR="00312500" w:rsidRDefault="00BF743C" w:rsidP="00BF743C">
      <w:pPr>
        <w:pBdr>
          <w:top w:val="single" w:sz="4" w:space="5"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0"/>
        <w:ind w:left="714" w:hanging="357"/>
      </w:pPr>
      <w:r>
        <w:rPr>
          <w:rFonts w:ascii="Symbol" w:hAnsi="Symbol"/>
        </w:rPr>
        <w:t></w:t>
      </w:r>
      <w:r>
        <w:rPr>
          <w:rFonts w:ascii="Symbol" w:hAnsi="Symbol"/>
        </w:rPr>
        <w:tab/>
      </w:r>
      <w:r w:rsidR="00312500">
        <w:t>Type of meeting: Most participants would prefer face-to-face meetings.</w:t>
      </w:r>
    </w:p>
    <w:p w14:paraId="52586745" w14:textId="26A6FD2A" w:rsidR="00312500" w:rsidRDefault="00BF743C" w:rsidP="00BF743C">
      <w:pPr>
        <w:pBdr>
          <w:top w:val="single" w:sz="4" w:space="5"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ind w:left="714" w:hanging="357"/>
      </w:pPr>
      <w:r>
        <w:rPr>
          <w:rFonts w:ascii="Symbol" w:hAnsi="Symbol"/>
        </w:rPr>
        <w:t></w:t>
      </w:r>
      <w:r>
        <w:rPr>
          <w:rFonts w:ascii="Symbol" w:hAnsi="Symbol"/>
        </w:rPr>
        <w:tab/>
      </w:r>
      <w:r w:rsidR="00312500">
        <w:t>Making contact: It would help if the mentor reached out to mentees, especially for the first meeting but also subsequently. ‘Meeting the mentor can be daunting.’</w:t>
      </w:r>
    </w:p>
    <w:p w14:paraId="247E9191" w14:textId="4B872463" w:rsidR="00312500" w:rsidRDefault="00BF743C" w:rsidP="00BF743C">
      <w:pPr>
        <w:pBdr>
          <w:top w:val="single" w:sz="4" w:space="5"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ind w:left="714" w:hanging="357"/>
      </w:pPr>
      <w:r>
        <w:rPr>
          <w:rFonts w:ascii="Symbol" w:hAnsi="Symbol"/>
        </w:rPr>
        <w:t></w:t>
      </w:r>
      <w:r>
        <w:rPr>
          <w:rFonts w:ascii="Symbol" w:hAnsi="Symbol"/>
        </w:rPr>
        <w:tab/>
      </w:r>
      <w:r w:rsidR="00312500">
        <w:t xml:space="preserve">Conversation guides/structure: It would help to provide some structure for what to talk about with the mentor at each meeting. </w:t>
      </w:r>
    </w:p>
    <w:p w14:paraId="48CA8C7F" w14:textId="10F451F4" w:rsidR="004A3832" w:rsidRDefault="00BF743C" w:rsidP="00BF743C">
      <w:pPr>
        <w:pBdr>
          <w:top w:val="single" w:sz="4" w:space="5"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after="240"/>
        <w:ind w:left="714" w:hanging="357"/>
        <w:sectPr w:rsidR="004A3832" w:rsidSect="00541CFD">
          <w:type w:val="continuous"/>
          <w:pgSz w:w="11906" w:h="16838" w:code="9"/>
          <w:pgMar w:top="2041" w:right="2381" w:bottom="1247" w:left="907" w:header="720" w:footer="851" w:gutter="0"/>
          <w:cols w:space="708"/>
          <w:docGrid w:linePitch="360"/>
        </w:sectPr>
      </w:pPr>
      <w:r>
        <w:rPr>
          <w:rFonts w:ascii="Symbol" w:hAnsi="Symbol"/>
        </w:rPr>
        <w:t></w:t>
      </w:r>
      <w:r>
        <w:rPr>
          <w:rFonts w:ascii="Symbol" w:hAnsi="Symbol"/>
        </w:rPr>
        <w:tab/>
      </w:r>
      <w:r w:rsidR="00312500">
        <w:t>Networking: Networking with other mentors and mentees could be an added benefit of the program, in addition to engagement with one’s own mentor.</w:t>
      </w:r>
    </w:p>
    <w:p w14:paraId="59AC9AE6" w14:textId="0D04CC5E" w:rsidR="007C1323" w:rsidRDefault="00D156DE" w:rsidP="007C1323">
      <w:r>
        <w:t xml:space="preserve">The program </w:t>
      </w:r>
      <w:r w:rsidR="00076014">
        <w:t>ran for one</w:t>
      </w:r>
      <w:r w:rsidR="007C1323">
        <w:t xml:space="preserve"> year</w:t>
      </w:r>
      <w:r>
        <w:t xml:space="preserve"> (covering Semester Two 2018 and Semester One 2019) and</w:t>
      </w:r>
      <w:r w:rsidR="007C1323">
        <w:t xml:space="preserve"> students and mentors were encouraged to meet at least four times</w:t>
      </w:r>
      <w:r>
        <w:t xml:space="preserve">, in person if possible. They were provided with guidance on topics to discuss </w:t>
      </w:r>
      <w:r w:rsidR="00076014">
        <w:t xml:space="preserve">and a possible meeting plan, </w:t>
      </w:r>
      <w:r>
        <w:t xml:space="preserve">but </w:t>
      </w:r>
      <w:r w:rsidR="00076014">
        <w:t xml:space="preserve">were </w:t>
      </w:r>
      <w:r>
        <w:t>otherwise left to develop the mentoring relationship as they thought best. The mentoring meetings were accompanied by three networking events.</w:t>
      </w:r>
    </w:p>
    <w:p w14:paraId="46C84750" w14:textId="299DBB1C" w:rsidR="00D156DE" w:rsidRDefault="00D156DE" w:rsidP="007C1323">
      <w:r>
        <w:t xml:space="preserve">The program had two </w:t>
      </w:r>
      <w:r w:rsidR="007C1323">
        <w:t>distinctive feature</w:t>
      </w:r>
      <w:r>
        <w:t xml:space="preserve">s, both of which are described in more detail below. First, </w:t>
      </w:r>
      <w:r w:rsidR="007C1323">
        <w:t>the mentor</w:t>
      </w:r>
      <w:r>
        <w:t>s were all experienced professional women economists rather than later year students or early graduates. Second, the program was not confined to those enrolled in an economics degree. Instead, any students enrolled in a</w:t>
      </w:r>
      <w:r w:rsidRPr="00D156DE">
        <w:t xml:space="preserve"> </w:t>
      </w:r>
      <w:r>
        <w:t>first</w:t>
      </w:r>
      <w:r>
        <w:noBreakHyphen/>
        <w:t xml:space="preserve"> or second</w:t>
      </w:r>
      <w:r>
        <w:noBreakHyphen/>
        <w:t>year economics subject were eligible to apply.</w:t>
      </w:r>
    </w:p>
    <w:p w14:paraId="51E5F03A" w14:textId="336D28B3" w:rsidR="0058017C" w:rsidRPr="00AB1258" w:rsidRDefault="007C1323" w:rsidP="00F478EE">
      <w:pPr>
        <w:pStyle w:val="Heading3"/>
      </w:pPr>
      <w:r w:rsidRPr="00AB1258">
        <w:t xml:space="preserve">Student </w:t>
      </w:r>
      <w:r w:rsidR="0058017C" w:rsidRPr="00AB1258">
        <w:t>mentees</w:t>
      </w:r>
    </w:p>
    <w:p w14:paraId="60F40581" w14:textId="4E9A05DA" w:rsidR="00D156DE" w:rsidRDefault="0058017C" w:rsidP="0058017C">
      <w:r>
        <w:t xml:space="preserve">The program was open to all women students at ANU who were enrolled in a </w:t>
      </w:r>
      <w:r w:rsidR="00D156DE">
        <w:t>first</w:t>
      </w:r>
      <w:r w:rsidR="00D156DE">
        <w:noBreakHyphen/>
        <w:t>year or second</w:t>
      </w:r>
      <w:r w:rsidR="00D156DE">
        <w:noBreakHyphen/>
      </w:r>
      <w:r>
        <w:t xml:space="preserve">year economics subject in second semester 2018. </w:t>
      </w:r>
      <w:r w:rsidR="00D156DE" w:rsidRPr="00C03A8E">
        <w:t xml:space="preserve">The </w:t>
      </w:r>
      <w:r w:rsidR="005D4382">
        <w:t xml:space="preserve">focus on </w:t>
      </w:r>
      <w:r w:rsidR="00D156DE" w:rsidRPr="00C03A8E">
        <w:t>first</w:t>
      </w:r>
      <w:r w:rsidR="005D4382">
        <w:t>- and second</w:t>
      </w:r>
      <w:r w:rsidR="005D4382">
        <w:noBreakHyphen/>
      </w:r>
      <w:r w:rsidR="00D156DE" w:rsidRPr="00C03A8E">
        <w:t xml:space="preserve">year enrolments was informed by administrative data </w:t>
      </w:r>
      <w:r w:rsidR="005D4382">
        <w:t>indicating the proportion of women students declined between first and second year</w:t>
      </w:r>
      <w:r w:rsidR="00F03B44">
        <w:t>,</w:t>
      </w:r>
      <w:r w:rsidR="005D4382">
        <w:t xml:space="preserve"> and again between second and third year (see </w:t>
      </w:r>
      <w:r w:rsidR="00CB0062">
        <w:t>Figure </w:t>
      </w:r>
      <w:r w:rsidR="005D4382">
        <w:t>1 above).</w:t>
      </w:r>
      <w:r w:rsidR="00F03B44">
        <w:t xml:space="preserve"> </w:t>
      </w:r>
    </w:p>
    <w:p w14:paraId="2B5B2C4A" w14:textId="602B6411" w:rsidR="005D4382" w:rsidRDefault="000F0238" w:rsidP="005D4382">
      <w:r w:rsidRPr="000F0238">
        <w:t>The program was open to both domestic and international students</w:t>
      </w:r>
      <w:r w:rsidR="005D4382">
        <w:t xml:space="preserve">, and </w:t>
      </w:r>
      <w:r w:rsidR="00F03B44">
        <w:t xml:space="preserve">both </w:t>
      </w:r>
      <w:r w:rsidR="005D4382">
        <w:t>undergraduate and postgraduate students</w:t>
      </w:r>
      <w:r w:rsidRPr="000F0238">
        <w:t xml:space="preserve">. Eligibility was not confined to students enrolled in a Bachelor of Economics, as one of the program aims was to increase the retention rate of women studying economics as a major and potentially </w:t>
      </w:r>
      <w:r w:rsidR="005D4382">
        <w:t>as a degree</w:t>
      </w:r>
      <w:r w:rsidRPr="000F0238">
        <w:t xml:space="preserve">. </w:t>
      </w:r>
    </w:p>
    <w:p w14:paraId="673D6872" w14:textId="77777777" w:rsidR="0002784D" w:rsidRDefault="00F03B44" w:rsidP="00C7539C">
      <w:r>
        <w:t>We conducted t</w:t>
      </w:r>
      <w:r w:rsidR="005D4382">
        <w:t>he application process in August 2018 and received 88 applications</w:t>
      </w:r>
      <w:r w:rsidR="0002784D">
        <w:t>. There were 1,376 students enrolled in microeconomics 1 or 2 in semester one 2018 of whom 620 were women, suggesting our applications comprised about 14 per cent of the potential eligible population</w:t>
      </w:r>
      <w:r w:rsidR="005D4382">
        <w:t xml:space="preserve">. </w:t>
      </w:r>
    </w:p>
    <w:p w14:paraId="0D421CCB" w14:textId="39FD90CA" w:rsidR="005D4382" w:rsidRDefault="003978D0" w:rsidP="00C7539C">
      <w:r>
        <w:t xml:space="preserve">Applications </w:t>
      </w:r>
      <w:r w:rsidR="005D4382">
        <w:t>included a baseline survey</w:t>
      </w:r>
      <w:r w:rsidR="00283BE5">
        <w:t>, which revealed</w:t>
      </w:r>
      <w:r w:rsidR="00C7539C">
        <w:t xml:space="preserve"> </w:t>
      </w:r>
      <w:r w:rsidR="00F03B44">
        <w:t>a</w:t>
      </w:r>
      <w:r w:rsidR="00283BE5">
        <w:t xml:space="preserve">lmost all </w:t>
      </w:r>
      <w:r>
        <w:t xml:space="preserve">students </w:t>
      </w:r>
      <w:r w:rsidR="00283BE5">
        <w:t xml:space="preserve">were </w:t>
      </w:r>
      <w:r w:rsidR="00F03B44">
        <w:t>studying full</w:t>
      </w:r>
      <w:r w:rsidR="00F03B44">
        <w:noBreakHyphen/>
      </w:r>
      <w:r w:rsidR="00283BE5">
        <w:t>time</w:t>
      </w:r>
      <w:r w:rsidR="00F03B44">
        <w:t xml:space="preserve"> and were in first or second year</w:t>
      </w:r>
      <w:r w:rsidR="00C7539C">
        <w:t xml:space="preserve"> (Figure </w:t>
      </w:r>
      <w:r w:rsidR="000F3E99">
        <w:t>2</w:t>
      </w:r>
      <w:r w:rsidR="00C7539C">
        <w:t>)</w:t>
      </w:r>
      <w:r w:rsidR="00F03B44">
        <w:t>. (</w:t>
      </w:r>
      <w:r w:rsidR="00C7539C">
        <w:t>L</w:t>
      </w:r>
      <w:r w:rsidR="00196157">
        <w:t>ater</w:t>
      </w:r>
      <w:r w:rsidR="00196157">
        <w:noBreakHyphen/>
      </w:r>
      <w:r w:rsidR="00F03B44">
        <w:t xml:space="preserve">year </w:t>
      </w:r>
      <w:r w:rsidR="00AF0F05">
        <w:t xml:space="preserve">and graduate </w:t>
      </w:r>
      <w:r w:rsidR="00F03B44">
        <w:t xml:space="preserve">students </w:t>
      </w:r>
      <w:r w:rsidR="00C7539C">
        <w:t>can enrol</w:t>
      </w:r>
      <w:r w:rsidR="00F03B44">
        <w:t xml:space="preserve"> in first- or second</w:t>
      </w:r>
      <w:r w:rsidR="00F03B44">
        <w:noBreakHyphen/>
        <w:t xml:space="preserve">year subjects and </w:t>
      </w:r>
      <w:r w:rsidR="00AF0F05">
        <w:t xml:space="preserve">so </w:t>
      </w:r>
      <w:r w:rsidR="00C7539C">
        <w:t xml:space="preserve">could be </w:t>
      </w:r>
      <w:r w:rsidR="00F03B44">
        <w:t>eligible for the program.)</w:t>
      </w:r>
      <w:r w:rsidR="00C7539C">
        <w:t xml:space="preserve"> </w:t>
      </w:r>
      <w:r w:rsidR="003B3E26">
        <w:t xml:space="preserve">Most were undergraduates, </w:t>
      </w:r>
      <w:r w:rsidR="005D4382">
        <w:t>domestic students</w:t>
      </w:r>
      <w:r w:rsidR="003B3E26">
        <w:t xml:space="preserve"> and </w:t>
      </w:r>
      <w:r w:rsidR="00196157">
        <w:t>working part</w:t>
      </w:r>
      <w:r w:rsidR="00196157">
        <w:noBreakHyphen/>
        <w:t>time</w:t>
      </w:r>
      <w:r w:rsidR="003B3E26">
        <w:t xml:space="preserve">, however </w:t>
      </w:r>
      <w:r w:rsidR="00C7539C">
        <w:t>l</w:t>
      </w:r>
      <w:r w:rsidR="00283BE5">
        <w:t>ess than half (</w:t>
      </w:r>
      <w:r w:rsidR="005D4382">
        <w:t>4</w:t>
      </w:r>
      <w:r w:rsidR="00D76076">
        <w:t>4</w:t>
      </w:r>
      <w:r w:rsidR="005D4382">
        <w:t> per cent</w:t>
      </w:r>
      <w:r w:rsidR="00D76076">
        <w:t>, or 39 students</w:t>
      </w:r>
      <w:r w:rsidR="00283BE5">
        <w:t>)</w:t>
      </w:r>
      <w:r w:rsidR="005D4382">
        <w:t xml:space="preserve"> were enrolled in a Bachelor of Economics</w:t>
      </w:r>
      <w:r w:rsidR="00283BE5">
        <w:t>.</w:t>
      </w:r>
      <w:r w:rsidR="00AF0F05">
        <w:t xml:space="preserve"> </w:t>
      </w:r>
      <w:r w:rsidR="00D76076">
        <w:t xml:space="preserve">Another 14 students were pursuing masters-level economics degrees, while most of the remainder </w:t>
      </w:r>
      <w:r w:rsidR="00D76076" w:rsidRPr="00D76076">
        <w:t xml:space="preserve">were </w:t>
      </w:r>
      <w:r w:rsidR="00D76076">
        <w:t xml:space="preserve">enrolled in </w:t>
      </w:r>
      <w:r w:rsidR="00D76076" w:rsidRPr="00D76076">
        <w:t xml:space="preserve">commerce </w:t>
      </w:r>
      <w:r w:rsidR="00D76076">
        <w:t>or PPE (</w:t>
      </w:r>
      <w:r w:rsidR="00804477">
        <w:t>P</w:t>
      </w:r>
      <w:r w:rsidR="00D76076" w:rsidRPr="00D76076">
        <w:t xml:space="preserve">olitics, </w:t>
      </w:r>
      <w:r w:rsidR="00804477">
        <w:t>P</w:t>
      </w:r>
      <w:r w:rsidR="00D76076" w:rsidRPr="00D76076">
        <w:t>hilos</w:t>
      </w:r>
      <w:r w:rsidR="00804477">
        <w:t>o</w:t>
      </w:r>
      <w:r w:rsidR="00D76076" w:rsidRPr="00D76076">
        <w:t xml:space="preserve">phy and </w:t>
      </w:r>
      <w:r w:rsidR="00804477">
        <w:t>E</w:t>
      </w:r>
      <w:r w:rsidR="00D76076" w:rsidRPr="00D76076">
        <w:t>conomics</w:t>
      </w:r>
      <w:r w:rsidR="00D76076">
        <w:t>)</w:t>
      </w:r>
      <w:r w:rsidR="00D76076" w:rsidRPr="00D76076">
        <w:t>.</w:t>
      </w:r>
    </w:p>
    <w:p w14:paraId="0FC761F5" w14:textId="1BCE9D03" w:rsidR="00F03B44" w:rsidRDefault="00BF743C" w:rsidP="00BF743C">
      <w:pPr>
        <w:pStyle w:val="FigureHeading"/>
        <w:numPr>
          <w:ilvl w:val="0"/>
          <w:numId w:val="0"/>
        </w:numPr>
        <w:ind w:left="1429" w:hanging="720"/>
        <w:outlineLvl w:val="3"/>
      </w:pPr>
      <w:r>
        <w:t xml:space="preserve">Figure 2: </w:t>
      </w:r>
      <w:r w:rsidR="00F03B44">
        <w:t>Characteristics of applicants</w:t>
      </w:r>
      <w:r w:rsidR="003713C0">
        <w:t xml:space="preserve"> </w:t>
      </w:r>
      <w:r w:rsidR="003713C0" w:rsidRPr="003713C0">
        <w:rPr>
          <w:b w:val="0"/>
        </w:rPr>
        <w:t>(n=88)</w:t>
      </w:r>
    </w:p>
    <w:p w14:paraId="6CFA0B0B" w14:textId="7332FF18" w:rsidR="00F03B44" w:rsidRDefault="00AE4C76" w:rsidP="00B15540">
      <w:r w:rsidRPr="00AE4C76">
        <w:rPr>
          <w:noProof/>
        </w:rPr>
        <w:drawing>
          <wp:inline distT="0" distB="0" distL="0" distR="0" wp14:anchorId="1A507E79" wp14:editId="16B8AFD7">
            <wp:extent cx="5067935" cy="2813050"/>
            <wp:effectExtent l="0" t="0" r="0" b="6350"/>
            <wp:docPr id="22" name="Picture 22" descr="Figure 2 shows the characteristics of applicants for the mentoring program. 97% were studying full-time. 88% were in first or second year. 76% were undergraduates. 64% were domestic students. 59% were working part-time. 44 per cent were enrolled in a Bachelor of Economics" title="Figure 2: Characteristics of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7935" cy="2813050"/>
                    </a:xfrm>
                    <a:prstGeom prst="rect">
                      <a:avLst/>
                    </a:prstGeom>
                    <a:noFill/>
                    <a:ln>
                      <a:noFill/>
                    </a:ln>
                  </pic:spPr>
                </pic:pic>
              </a:graphicData>
            </a:graphic>
          </wp:inline>
        </w:drawing>
      </w:r>
    </w:p>
    <w:p w14:paraId="453DE3A4" w14:textId="5E4572DE" w:rsidR="007C1323" w:rsidRPr="00AB1258" w:rsidRDefault="007C1323" w:rsidP="00F478EE">
      <w:pPr>
        <w:pStyle w:val="Heading3"/>
      </w:pPr>
      <w:r w:rsidRPr="00AB1258">
        <w:t>Mentors</w:t>
      </w:r>
    </w:p>
    <w:p w14:paraId="656B65CB" w14:textId="32857748" w:rsidR="0058017C" w:rsidRDefault="0058017C" w:rsidP="0058017C">
      <w:r>
        <w:t xml:space="preserve">Mentors were approached through the professional networks of the program organisers. They were all experienced professional economists, from a range of backgrounds across government, academia and non-government. </w:t>
      </w:r>
      <w:r w:rsidR="000F0238" w:rsidRPr="000F0238">
        <w:t xml:space="preserve">Mentors ranged from Deputy Secretaries of Commonwealth Departments to </w:t>
      </w:r>
      <w:r w:rsidR="000F0238">
        <w:t>p</w:t>
      </w:r>
      <w:r w:rsidR="000F0238" w:rsidRPr="000F0238">
        <w:t xml:space="preserve">olicy </w:t>
      </w:r>
      <w:r w:rsidR="000F0238">
        <w:t>a</w:t>
      </w:r>
      <w:r w:rsidR="000F0238" w:rsidRPr="000F0238">
        <w:t xml:space="preserve">nalysts and </w:t>
      </w:r>
      <w:r w:rsidR="000F0238">
        <w:t>e</w:t>
      </w:r>
      <w:r w:rsidR="000F0238" w:rsidRPr="000F0238">
        <w:t xml:space="preserve">conomic </w:t>
      </w:r>
      <w:r w:rsidR="000F0238">
        <w:t>f</w:t>
      </w:r>
      <w:r w:rsidR="000F0238" w:rsidRPr="000F0238">
        <w:t xml:space="preserve">orecasters. </w:t>
      </w:r>
      <w:r>
        <w:t xml:space="preserve">Of the mentors that </w:t>
      </w:r>
      <w:r w:rsidR="000F0238">
        <w:t>participated in the program, 55 </w:t>
      </w:r>
      <w:r>
        <w:t>pe</w:t>
      </w:r>
      <w:r w:rsidR="000F0238">
        <w:t>r cent worked in government, 27 per </w:t>
      </w:r>
      <w:r>
        <w:t>cent in the private s</w:t>
      </w:r>
      <w:r w:rsidR="000F0238">
        <w:t>ector and 18 per </w:t>
      </w:r>
      <w:r>
        <w:t>cent in academic roles.</w:t>
      </w:r>
    </w:p>
    <w:p w14:paraId="642D1814" w14:textId="325C111F" w:rsidR="0058017C" w:rsidRDefault="0058017C" w:rsidP="0058017C">
      <w:r>
        <w:t>Short biographical descriptions of the mentors were made available on the program website</w:t>
      </w:r>
      <w:r w:rsidR="000F0238">
        <w:t xml:space="preserve"> </w:t>
      </w:r>
      <w:r w:rsidR="000F0238" w:rsidRPr="000F0238">
        <w:t>and mentors were asked to identify their current role and organisation, th</w:t>
      </w:r>
      <w:r w:rsidR="000F0238">
        <w:t>e sectors they have worked in (i</w:t>
      </w:r>
      <w:r w:rsidR="000F0238" w:rsidRPr="000F0238">
        <w:t xml:space="preserve">ndustry, </w:t>
      </w:r>
      <w:r w:rsidR="000F0238">
        <w:t>government and a</w:t>
      </w:r>
      <w:r w:rsidR="000F0238" w:rsidRPr="000F0238">
        <w:t xml:space="preserve">cademia) and what type of economists they identify </w:t>
      </w:r>
      <w:r w:rsidR="00076014">
        <w:t>as</w:t>
      </w:r>
      <w:r w:rsidR="000F0238">
        <w:t xml:space="preserve"> (f</w:t>
      </w:r>
      <w:r w:rsidR="000F0238" w:rsidRPr="000F0238">
        <w:t>or example</w:t>
      </w:r>
      <w:r w:rsidR="000F0238">
        <w:t>,</w:t>
      </w:r>
      <w:r w:rsidR="000F0238" w:rsidRPr="000F0238">
        <w:t xml:space="preserve"> research economist, labour economist</w:t>
      </w:r>
      <w:r w:rsidR="000F0238">
        <w:t>)</w:t>
      </w:r>
      <w:r>
        <w:t xml:space="preserve">. This had two purposes. </w:t>
      </w:r>
      <w:r w:rsidR="000F0238">
        <w:t>First, i</w:t>
      </w:r>
      <w:r>
        <w:t>t meant student</w:t>
      </w:r>
      <w:r w:rsidR="00AF0F05">
        <w:t>s</w:t>
      </w:r>
      <w:r>
        <w:t xml:space="preserve"> could browse through the mentors</w:t>
      </w:r>
      <w:r w:rsidR="00E0295A">
        <w:t>’ biographies</w:t>
      </w:r>
      <w:r>
        <w:t xml:space="preserve"> to gain an understanding of the types of roles and careers that were available through economics. </w:t>
      </w:r>
      <w:r w:rsidR="000F0238">
        <w:t xml:space="preserve">Second, </w:t>
      </w:r>
      <w:r>
        <w:t xml:space="preserve">students could list their preferred mentors as part of the application process. </w:t>
      </w:r>
    </w:p>
    <w:p w14:paraId="6EE59FD0" w14:textId="28EA831D" w:rsidR="000F0238" w:rsidRDefault="000F0238" w:rsidP="0058017C">
      <w:r w:rsidRPr="000F0238">
        <w:t>The website was designed to be user friendly and engaging, and included information about the program, a link to the application form, contact information</w:t>
      </w:r>
      <w:r w:rsidR="002D38B7">
        <w:t>,</w:t>
      </w:r>
      <w:r w:rsidRPr="000F0238">
        <w:t xml:space="preserve"> and a mechanism to filter </w:t>
      </w:r>
      <w:r w:rsidR="00706883">
        <w:t>mentors</w:t>
      </w:r>
      <w:r w:rsidRPr="000F0238">
        <w:t xml:space="preserve"> by </w:t>
      </w:r>
      <w:r w:rsidR="00706883">
        <w:t xml:space="preserve">the sector they </w:t>
      </w:r>
      <w:r w:rsidRPr="000F0238">
        <w:t xml:space="preserve">have worked in. An image of the </w:t>
      </w:r>
      <w:r w:rsidR="008C0163">
        <w:t xml:space="preserve">‘meet the </w:t>
      </w:r>
      <w:r w:rsidRPr="000F0238">
        <w:t>mentor</w:t>
      </w:r>
      <w:r w:rsidR="008C0163">
        <w:t>s’</w:t>
      </w:r>
      <w:r w:rsidRPr="000F0238">
        <w:t xml:space="preserve"> landing page is provided in Figure</w:t>
      </w:r>
      <w:r w:rsidR="00E0295A">
        <w:t> 3</w:t>
      </w:r>
      <w:r w:rsidRPr="000F0238">
        <w:t xml:space="preserve">, and the mentoring website can be accessed </w:t>
      </w:r>
      <w:r w:rsidR="008C0163">
        <w:t>at</w:t>
      </w:r>
      <w:r w:rsidRPr="000F0238">
        <w:t xml:space="preserve">: </w:t>
      </w:r>
      <w:hyperlink r:id="rId25" w:history="1">
        <w:r w:rsidRPr="00131E9B">
          <w:rPr>
            <w:rStyle w:val="Hyperlink"/>
          </w:rPr>
          <w:t>http://wenmentoringact.org.au/</w:t>
        </w:r>
      </w:hyperlink>
    </w:p>
    <w:p w14:paraId="13A7165A" w14:textId="365CA910" w:rsidR="000F0238" w:rsidRPr="00A62E52" w:rsidRDefault="00BF743C" w:rsidP="00BF743C">
      <w:pPr>
        <w:pStyle w:val="FigureHeading"/>
        <w:numPr>
          <w:ilvl w:val="0"/>
          <w:numId w:val="0"/>
        </w:numPr>
        <w:ind w:left="720" w:hanging="720"/>
        <w:outlineLvl w:val="3"/>
      </w:pPr>
      <w:r w:rsidRPr="00A62E52">
        <w:t xml:space="preserve">Figure 3: </w:t>
      </w:r>
      <w:r w:rsidR="000F0238">
        <w:t>Mentor</w:t>
      </w:r>
      <w:r w:rsidR="00E0295A">
        <w:t>ing</w:t>
      </w:r>
      <w:r w:rsidR="000F0238">
        <w:t xml:space="preserve"> web</w:t>
      </w:r>
      <w:r w:rsidR="00E0295A">
        <w:t>site</w:t>
      </w:r>
      <w:r w:rsidR="000F0238">
        <w:t xml:space="preserve"> landing page</w:t>
      </w:r>
    </w:p>
    <w:p w14:paraId="0C1138AA" w14:textId="77777777" w:rsidR="000F0238" w:rsidRDefault="000F0238" w:rsidP="000F0238">
      <w:pPr>
        <w:pStyle w:val="ListBullet"/>
        <w:numPr>
          <w:ilvl w:val="0"/>
          <w:numId w:val="0"/>
        </w:numPr>
      </w:pPr>
      <w:r>
        <w:rPr>
          <w:noProof/>
        </w:rPr>
        <w:drawing>
          <wp:inline distT="0" distB="0" distL="0" distR="0" wp14:anchorId="0BB78D8E" wp14:editId="5C1CD14F">
            <wp:extent cx="5731510" cy="3675380"/>
            <wp:effectExtent l="0" t="0" r="2540" b="1270"/>
            <wp:docPr id="10" name="Picture 10" descr="Figure 3 shows the website landing page.  The landing page features the following headling - &quot;Meet the mentor.&quot; Undert this headline is the following text - &quot;Our mentors are many of Canberra's most talented women in economics.  They are working on critical public policy issues in the Australian Government, the private sector and in academia.  They range from Deputy Secretaries of the Commonwealth Departments to Policy Analysits and Economic Forecasters.  All have a wealth of knowledge and experience to share with you and help you think about possible career paths&quot;.&#10;&#10;This text is overlaid onto pictures of the mentors." title="Figure 3: Mentoring website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675380"/>
                    </a:xfrm>
                    <a:prstGeom prst="rect">
                      <a:avLst/>
                    </a:prstGeom>
                  </pic:spPr>
                </pic:pic>
              </a:graphicData>
            </a:graphic>
          </wp:inline>
        </w:drawing>
      </w:r>
    </w:p>
    <w:p w14:paraId="3101905B" w14:textId="58E1BCD3" w:rsidR="0058017C" w:rsidRPr="00AB1258" w:rsidRDefault="00E0295A" w:rsidP="00F478EE">
      <w:pPr>
        <w:pStyle w:val="Heading3"/>
      </w:pPr>
      <w:r w:rsidRPr="00AB1258">
        <w:t>Student</w:t>
      </w:r>
      <w:r w:rsidRPr="00AB1258">
        <w:noBreakHyphen/>
        <w:t>mentor m</w:t>
      </w:r>
      <w:r w:rsidR="0058017C" w:rsidRPr="00AB1258">
        <w:t xml:space="preserve">atching process </w:t>
      </w:r>
    </w:p>
    <w:p w14:paraId="593B9040" w14:textId="2F97E77E" w:rsidR="00077729" w:rsidRDefault="0058017C" w:rsidP="0058017C">
      <w:r>
        <w:t xml:space="preserve">A strong mentor and mentee match can influence the success or otherwise of a mentoring program. </w:t>
      </w:r>
      <w:r w:rsidR="00FB13D5">
        <w:t>T</w:t>
      </w:r>
      <w:r>
        <w:t xml:space="preserve">here is little guidance </w:t>
      </w:r>
      <w:r w:rsidR="00077729">
        <w:t xml:space="preserve">in the literature </w:t>
      </w:r>
      <w:r>
        <w:t>on how to best match mentors with mentees</w:t>
      </w:r>
      <w:r w:rsidR="00FB13D5">
        <w:t xml:space="preserve">, although </w:t>
      </w:r>
      <w:r w:rsidR="007417C1">
        <w:t xml:space="preserve">past research </w:t>
      </w:r>
      <w:r w:rsidR="00FB13D5">
        <w:t>indicate</w:t>
      </w:r>
      <w:r w:rsidR="007417C1">
        <w:t>s</w:t>
      </w:r>
      <w:r w:rsidR="00FB13D5">
        <w:t xml:space="preserve"> matching compatible personalities is a key factor in success</w:t>
      </w:r>
      <w:r>
        <w:t xml:space="preserve">. </w:t>
      </w:r>
      <w:r w:rsidR="00FB13D5">
        <w:t>Mentor</w:t>
      </w:r>
      <w:r w:rsidR="00FB13D5">
        <w:noBreakHyphen/>
        <w:t xml:space="preserve">mentee </w:t>
      </w:r>
      <w:r>
        <w:t>similarities</w:t>
      </w:r>
      <w:r w:rsidR="00FB13D5">
        <w:t>,</w:t>
      </w:r>
      <w:r>
        <w:t xml:space="preserve"> such as </w:t>
      </w:r>
      <w:r w:rsidR="00FB13D5">
        <w:t xml:space="preserve">shared </w:t>
      </w:r>
      <w:r>
        <w:t>field</w:t>
      </w:r>
      <w:r w:rsidR="00FB13D5">
        <w:t>s</w:t>
      </w:r>
      <w:r>
        <w:t xml:space="preserve"> of interest</w:t>
      </w:r>
      <w:r w:rsidR="00FB13D5">
        <w:t>,</w:t>
      </w:r>
      <w:r>
        <w:t xml:space="preserve"> are </w:t>
      </w:r>
      <w:r w:rsidR="00FB13D5">
        <w:t xml:space="preserve">also </w:t>
      </w:r>
      <w:r>
        <w:t xml:space="preserve">important. </w:t>
      </w:r>
    </w:p>
    <w:p w14:paraId="240BCBC7" w14:textId="6D7BFF59" w:rsidR="0058017C" w:rsidRDefault="00077729" w:rsidP="00077729">
      <w:r>
        <w:t>To assist with the matching process, students were asked to provide: three preferences for their mentor, which sector(s)—government, academia or private sector—they would like to connect with, which areas of economics they were interested in, and their extra-curricula</w:t>
      </w:r>
      <w:r w:rsidR="00804477">
        <w:t>r</w:t>
      </w:r>
      <w:r>
        <w:t xml:space="preserve"> interests. We engaged a consultancy, RapidContext, to assist with the matching process and other aspects of the program’s administration, along with initial qualitative analysis.</w:t>
      </w:r>
    </w:p>
    <w:p w14:paraId="72166851" w14:textId="77777777" w:rsidR="00077729" w:rsidRDefault="00077729" w:rsidP="0058017C">
      <w:r>
        <w:t>M</w:t>
      </w:r>
      <w:r w:rsidR="0058017C">
        <w:t xml:space="preserve">entees </w:t>
      </w:r>
      <w:r>
        <w:t xml:space="preserve">were matched with </w:t>
      </w:r>
      <w:r w:rsidR="0058017C">
        <w:t xml:space="preserve">their </w:t>
      </w:r>
      <w:r w:rsidR="00E0295A">
        <w:t xml:space="preserve">first </w:t>
      </w:r>
      <w:r w:rsidR="0058017C">
        <w:t>preference of mentor</w:t>
      </w:r>
      <w:r>
        <w:t xml:space="preserve"> wherever possible: a</w:t>
      </w:r>
      <w:r w:rsidR="0058017C">
        <w:t>lmost half of mentees (47 per cent) were matched with their first preference. Just over 20 per cent of mentees were matched with their second or third preference</w:t>
      </w:r>
      <w:r>
        <w:t xml:space="preserve">. </w:t>
      </w:r>
    </w:p>
    <w:p w14:paraId="2FA4761F" w14:textId="0DE394F4" w:rsidR="0058017C" w:rsidRDefault="00077729" w:rsidP="00077729">
      <w:r>
        <w:t xml:space="preserve">For the remaining 30 per cent of students who </w:t>
      </w:r>
      <w:r w:rsidR="0058017C">
        <w:t xml:space="preserve">were not matched with one of their preferred mentors, </w:t>
      </w:r>
      <w:r>
        <w:t xml:space="preserve">we took the following </w:t>
      </w:r>
      <w:r w:rsidR="0058017C">
        <w:t>approach</w:t>
      </w:r>
      <w:r>
        <w:t xml:space="preserve">. First, </w:t>
      </w:r>
      <w:r w:rsidR="00076014">
        <w:t xml:space="preserve">we </w:t>
      </w:r>
      <w:r>
        <w:t>m</w:t>
      </w:r>
      <w:r w:rsidR="0058017C">
        <w:t>atch</w:t>
      </w:r>
      <w:r w:rsidR="00076014">
        <w:t>ed</w:t>
      </w:r>
      <w:r w:rsidR="0058017C">
        <w:t xml:space="preserve"> the mentee with a mentor working in the applicant's sector of interest (government, private sector or academia). </w:t>
      </w:r>
      <w:r>
        <w:t xml:space="preserve">Second, </w:t>
      </w:r>
      <w:r w:rsidR="00076014">
        <w:t xml:space="preserve">we </w:t>
      </w:r>
      <w:r>
        <w:t>m</w:t>
      </w:r>
      <w:r w:rsidR="0058017C">
        <w:t>atch</w:t>
      </w:r>
      <w:r w:rsidR="00076014">
        <w:t>ed</w:t>
      </w:r>
      <w:r w:rsidR="0058017C">
        <w:t xml:space="preserve"> the mentee’s areas of interest with a mentor's professional experience</w:t>
      </w:r>
      <w:r>
        <w:t xml:space="preserve"> (f</w:t>
      </w:r>
      <w:r w:rsidR="0058017C">
        <w:t>or example, health economics</w:t>
      </w:r>
      <w:r>
        <w:t>)</w:t>
      </w:r>
      <w:r w:rsidR="0058017C">
        <w:t xml:space="preserve">. Finally, </w:t>
      </w:r>
      <w:r>
        <w:t xml:space="preserve">if possible, </w:t>
      </w:r>
      <w:r w:rsidR="00076014">
        <w:t xml:space="preserve">we </w:t>
      </w:r>
      <w:r>
        <w:t>match</w:t>
      </w:r>
      <w:r w:rsidR="00076014">
        <w:t>ed</w:t>
      </w:r>
      <w:r w:rsidR="0058017C">
        <w:t xml:space="preserve"> mentees to mentors with similar personal interests.</w:t>
      </w:r>
    </w:p>
    <w:p w14:paraId="535448CB" w14:textId="4358D834" w:rsidR="0058017C" w:rsidRPr="00AB1258" w:rsidRDefault="0058017C" w:rsidP="00F478EE">
      <w:pPr>
        <w:pStyle w:val="Heading3"/>
      </w:pPr>
      <w:r w:rsidRPr="00AB1258">
        <w:t>Guidance materials</w:t>
      </w:r>
      <w:r w:rsidR="001B37BE" w:rsidRPr="00AB1258">
        <w:t xml:space="preserve"> and mentoring meetings</w:t>
      </w:r>
    </w:p>
    <w:p w14:paraId="6379832A" w14:textId="5532B5D3" w:rsidR="0058017C" w:rsidRDefault="0058017C" w:rsidP="0058017C">
      <w:r>
        <w:t xml:space="preserve">To provide </w:t>
      </w:r>
      <w:r w:rsidR="000F0238">
        <w:t>participants</w:t>
      </w:r>
      <w:r>
        <w:t xml:space="preserve"> with information and advice on their participation in the program, both the mentors and mentees were provided with guidance material</w:t>
      </w:r>
      <w:r w:rsidR="00D819C0">
        <w:t xml:space="preserve"> (available at the Open Science Framework (OSF) project page: </w:t>
      </w:r>
      <w:hyperlink r:id="rId27" w:history="1">
        <w:r w:rsidR="00D819C0" w:rsidRPr="00DF591D">
          <w:rPr>
            <w:rStyle w:val="Hyperlink"/>
          </w:rPr>
          <w:t>https://osf.io/a57vh/</w:t>
        </w:r>
      </w:hyperlink>
      <w:r w:rsidR="00D819C0">
        <w:t>)</w:t>
      </w:r>
      <w:r>
        <w:t>. The booklet included:</w:t>
      </w:r>
    </w:p>
    <w:p w14:paraId="47A9BFEB" w14:textId="785A2C26" w:rsidR="0058017C" w:rsidRDefault="00BF743C" w:rsidP="00BF743C">
      <w:pPr>
        <w:ind w:left="720" w:hanging="720"/>
      </w:pPr>
      <w:r>
        <w:rPr>
          <w:rFonts w:ascii="Helvetica" w:hAnsi="Helvetica" w:cs="Helvetica"/>
        </w:rPr>
        <w:t>•</w:t>
      </w:r>
      <w:r>
        <w:rPr>
          <w:rFonts w:ascii="Helvetica" w:hAnsi="Helvetica" w:cs="Helvetica"/>
        </w:rPr>
        <w:tab/>
      </w:r>
      <w:r w:rsidR="0058017C">
        <w:t>information about the program, including why it had been developed, its objectives and a timeline of events</w:t>
      </w:r>
    </w:p>
    <w:p w14:paraId="56347628" w14:textId="21961B87" w:rsidR="0058017C" w:rsidRDefault="00BF743C" w:rsidP="00BF743C">
      <w:pPr>
        <w:ind w:left="720" w:hanging="720"/>
      </w:pPr>
      <w:r>
        <w:rPr>
          <w:rFonts w:ascii="Helvetica" w:hAnsi="Helvetica" w:cs="Helvetica"/>
        </w:rPr>
        <w:t>•</w:t>
      </w:r>
      <w:r>
        <w:rPr>
          <w:rFonts w:ascii="Helvetica" w:hAnsi="Helvetica" w:cs="Helvetica"/>
        </w:rPr>
        <w:tab/>
      </w:r>
      <w:r w:rsidR="0058017C">
        <w:t>tips for making mentoring relationships work and expectations around the role of the mentor and mentee</w:t>
      </w:r>
    </w:p>
    <w:p w14:paraId="35A5C9ED" w14:textId="1EE23617" w:rsidR="0058017C" w:rsidRDefault="00BF743C" w:rsidP="00BF743C">
      <w:pPr>
        <w:ind w:left="720" w:hanging="720"/>
      </w:pPr>
      <w:r>
        <w:rPr>
          <w:rFonts w:ascii="Helvetica" w:hAnsi="Helvetica" w:cs="Helvetica"/>
        </w:rPr>
        <w:t>•</w:t>
      </w:r>
      <w:r>
        <w:rPr>
          <w:rFonts w:ascii="Helvetica" w:hAnsi="Helvetica" w:cs="Helvetica"/>
        </w:rPr>
        <w:tab/>
      </w:r>
      <w:r w:rsidR="0058017C">
        <w:t>advice on how to set up the first meeting</w:t>
      </w:r>
    </w:p>
    <w:p w14:paraId="34406A6E" w14:textId="19F55914" w:rsidR="0058017C" w:rsidRDefault="00BF743C" w:rsidP="00BF743C">
      <w:pPr>
        <w:ind w:left="720" w:hanging="720"/>
      </w:pPr>
      <w:r>
        <w:rPr>
          <w:rFonts w:ascii="Helvetica" w:hAnsi="Helvetica" w:cs="Helvetica"/>
        </w:rPr>
        <w:t>•</w:t>
      </w:r>
      <w:r>
        <w:rPr>
          <w:rFonts w:ascii="Helvetica" w:hAnsi="Helvetica" w:cs="Helvetica"/>
        </w:rPr>
        <w:tab/>
      </w:r>
      <w:r w:rsidR="0058017C">
        <w:t>a suggested plan for four mentoring meetings, which set out an approach to building the relationship over those sessions (ultimately the number of mentoring sessions was up to each individual partnership, but 3-4 were what the program recommended)</w:t>
      </w:r>
    </w:p>
    <w:p w14:paraId="263FD5EE" w14:textId="62FBED06" w:rsidR="0058017C" w:rsidRDefault="00BF743C" w:rsidP="00BF743C">
      <w:pPr>
        <w:ind w:left="720" w:hanging="720"/>
      </w:pPr>
      <w:r>
        <w:rPr>
          <w:rFonts w:ascii="Helvetica" w:hAnsi="Helvetica" w:cs="Helvetica"/>
        </w:rPr>
        <w:t>•</w:t>
      </w:r>
      <w:r>
        <w:rPr>
          <w:rFonts w:ascii="Helvetica" w:hAnsi="Helvetica" w:cs="Helvetica"/>
        </w:rPr>
        <w:tab/>
      </w:r>
      <w:r w:rsidR="0058017C">
        <w:t>information about the evaluation</w:t>
      </w:r>
    </w:p>
    <w:p w14:paraId="79FEC860" w14:textId="388A20AF" w:rsidR="0058017C" w:rsidRDefault="00BF743C" w:rsidP="00BF743C">
      <w:pPr>
        <w:ind w:left="720" w:hanging="720"/>
      </w:pPr>
      <w:r>
        <w:rPr>
          <w:rFonts w:ascii="Helvetica" w:hAnsi="Helvetica" w:cs="Helvetica"/>
        </w:rPr>
        <w:t>•</w:t>
      </w:r>
      <w:r>
        <w:rPr>
          <w:rFonts w:ascii="Helvetica" w:hAnsi="Helvetica" w:cs="Helvetica"/>
        </w:rPr>
        <w:tab/>
      </w:r>
      <w:r w:rsidR="0058017C">
        <w:t>what mentors and mentees should do if they encountered difficulties.</w:t>
      </w:r>
    </w:p>
    <w:p w14:paraId="3E1CD40D" w14:textId="1426C830" w:rsidR="001B37BE" w:rsidRDefault="001B37BE" w:rsidP="001B37BE">
      <w:r>
        <w:t xml:space="preserve">Although mentors and students were encouraged to have at least four meetings during the year, survey respondents reported a wide dispersion in the number of meetings (Figure </w:t>
      </w:r>
      <w:r w:rsidR="007422A4">
        <w:t>4</w:t>
      </w:r>
      <w:r>
        <w:t xml:space="preserve">). Almost half of the mentor respondents (18, or 47 per cent) reported having </w:t>
      </w:r>
      <w:r w:rsidR="00134ED6">
        <w:t>fewer</w:t>
      </w:r>
      <w:r>
        <w:t xml:space="preserve"> than three meetings</w:t>
      </w:r>
      <w:r w:rsidR="00134ED6">
        <w:t>, and the student responses were similar</w:t>
      </w:r>
      <w:r>
        <w:t xml:space="preserve">. </w:t>
      </w:r>
      <w:r w:rsidR="00134ED6">
        <w:t xml:space="preserve">Mentors’ </w:t>
      </w:r>
      <w:r>
        <w:t>free</w:t>
      </w:r>
      <w:r>
        <w:noBreakHyphen/>
        <w:t>text responses indicated this was usually despite multiple attempts to contact their mentee, suggesting some students were uninterested in the program.</w:t>
      </w:r>
      <w:r w:rsidR="00134ED6">
        <w:t xml:space="preserve"> </w:t>
      </w:r>
    </w:p>
    <w:p w14:paraId="1B02FF1C" w14:textId="06CB9B7B" w:rsidR="001B37BE" w:rsidRDefault="00BF743C" w:rsidP="00BF743C">
      <w:pPr>
        <w:pStyle w:val="FigureHeading"/>
        <w:numPr>
          <w:ilvl w:val="0"/>
          <w:numId w:val="0"/>
        </w:numPr>
        <w:ind w:left="720" w:hanging="720"/>
        <w:outlineLvl w:val="3"/>
      </w:pPr>
      <w:r w:rsidRPr="00A62E52">
        <w:t xml:space="preserve">Figure 4: </w:t>
      </w:r>
      <w:r w:rsidR="001B37BE">
        <w:t>Frequency of mentoring meetings</w:t>
      </w:r>
    </w:p>
    <w:p w14:paraId="47CEB0F6" w14:textId="3B8D9E63" w:rsidR="001B37BE" w:rsidRDefault="00CB21FD" w:rsidP="000F0238">
      <w:r w:rsidRPr="00CB21FD">
        <w:rPr>
          <w:noProof/>
        </w:rPr>
        <w:drawing>
          <wp:inline distT="0" distB="0" distL="0" distR="0" wp14:anchorId="3F867256" wp14:editId="425590E1">
            <wp:extent cx="4830793" cy="2707401"/>
            <wp:effectExtent l="0" t="0" r="8255" b="0"/>
            <wp:docPr id="7" name="Picture 7" descr="Figure 4 shows the frequency of mentoring meetings as reported by 38 mentors who responded to the survey. The number of meetings ranges from zero to 5-plus. 47% of the mentor respondents reported less than three meetings" title="Figure 4: Frequency of mentoring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38533" cy="2711739"/>
                    </a:xfrm>
                    <a:prstGeom prst="rect">
                      <a:avLst/>
                    </a:prstGeom>
                    <a:noFill/>
                    <a:ln>
                      <a:noFill/>
                    </a:ln>
                  </pic:spPr>
                </pic:pic>
              </a:graphicData>
            </a:graphic>
          </wp:inline>
        </w:drawing>
      </w:r>
    </w:p>
    <w:p w14:paraId="7A182E92" w14:textId="3F22571D" w:rsidR="001B37BE" w:rsidRPr="00D819C0" w:rsidRDefault="001B37BE" w:rsidP="00D819C0">
      <w:pPr>
        <w:pStyle w:val="SourceNotesText"/>
        <w:rPr>
          <w:sz w:val="16"/>
        </w:rPr>
      </w:pPr>
      <w:r w:rsidRPr="00D819C0">
        <w:rPr>
          <w:sz w:val="16"/>
        </w:rPr>
        <w:t>Endline survey</w:t>
      </w:r>
      <w:r w:rsidR="001A2674">
        <w:rPr>
          <w:sz w:val="16"/>
        </w:rPr>
        <w:t xml:space="preserve"> (</w:t>
      </w:r>
      <w:r w:rsidR="004F1EC9">
        <w:rPr>
          <w:sz w:val="16"/>
        </w:rPr>
        <w:t>Sep</w:t>
      </w:r>
      <w:r w:rsidR="00D819C0">
        <w:rPr>
          <w:sz w:val="16"/>
        </w:rPr>
        <w:t xml:space="preserve"> 2019)</w:t>
      </w:r>
      <w:r w:rsidRPr="00D819C0">
        <w:rPr>
          <w:sz w:val="16"/>
        </w:rPr>
        <w:t xml:space="preserve">. </w:t>
      </w:r>
      <w:r w:rsidR="001A2674">
        <w:rPr>
          <w:sz w:val="16"/>
        </w:rPr>
        <w:t>N</w:t>
      </w:r>
      <w:r w:rsidRPr="00D819C0">
        <w:rPr>
          <w:sz w:val="16"/>
        </w:rPr>
        <w:t>=38</w:t>
      </w:r>
      <w:r w:rsidR="001A2674">
        <w:rPr>
          <w:sz w:val="16"/>
        </w:rPr>
        <w:t xml:space="preserve"> (69 per cent response rate)</w:t>
      </w:r>
      <w:r w:rsidRPr="00D819C0">
        <w:rPr>
          <w:sz w:val="16"/>
        </w:rPr>
        <w:t>.</w:t>
      </w:r>
    </w:p>
    <w:p w14:paraId="3E59FE91" w14:textId="77777777" w:rsidR="0058017C" w:rsidRPr="00AB1258" w:rsidRDefault="0058017C" w:rsidP="00F478EE">
      <w:pPr>
        <w:pStyle w:val="Heading3"/>
      </w:pPr>
      <w:r w:rsidRPr="00AB1258">
        <w:t>Networking events</w:t>
      </w:r>
    </w:p>
    <w:p w14:paraId="1D87C58A" w14:textId="77777777" w:rsidR="0058017C" w:rsidRDefault="0058017C" w:rsidP="0058017C">
      <w:r>
        <w:t>In addition to the matched mentor-mentee relationship, we ran three networking events over the course of the program. The aim of these events was to bring program participants together for further networking and provide the mentees with insights beyond what they might be receiving from their own mentor. These events were:</w:t>
      </w:r>
    </w:p>
    <w:p w14:paraId="7CB1EFD5" w14:textId="4053D3BE" w:rsidR="0058017C" w:rsidRDefault="00BF743C" w:rsidP="00BF743C">
      <w:pPr>
        <w:ind w:left="720" w:hanging="720"/>
      </w:pPr>
      <w:r>
        <w:rPr>
          <w:rFonts w:ascii="Helvetica" w:hAnsi="Helvetica" w:cs="Helvetica"/>
        </w:rPr>
        <w:t>•</w:t>
      </w:r>
      <w:r>
        <w:rPr>
          <w:rFonts w:ascii="Helvetica" w:hAnsi="Helvetica" w:cs="Helvetica"/>
        </w:rPr>
        <w:tab/>
      </w:r>
      <w:r w:rsidR="0058017C">
        <w:t>a launch event, at which a panel of four eminent women economists spoke about what drew them to economics, some of the challenges they faced and why they continued to find economics a fulfilling career</w:t>
      </w:r>
    </w:p>
    <w:p w14:paraId="514AC121" w14:textId="2D5095A6" w:rsidR="0058017C" w:rsidRDefault="00BF743C" w:rsidP="00BF743C">
      <w:pPr>
        <w:ind w:left="720" w:hanging="720"/>
      </w:pPr>
      <w:r>
        <w:rPr>
          <w:rFonts w:ascii="Helvetica" w:hAnsi="Helvetica" w:cs="Helvetica"/>
        </w:rPr>
        <w:t>•</w:t>
      </w:r>
      <w:r>
        <w:rPr>
          <w:rFonts w:ascii="Helvetica" w:hAnsi="Helvetica" w:cs="Helvetica"/>
        </w:rPr>
        <w:tab/>
      </w:r>
      <w:r w:rsidR="0058017C">
        <w:t>a speed networking event, in which mentees spent short periods of</w:t>
      </w:r>
      <w:r w:rsidR="00AF0F05">
        <w:t xml:space="preserve"> time – around 10 </w:t>
      </w:r>
      <w:r w:rsidR="0058017C">
        <w:t xml:space="preserve">minutes, with a range of different </w:t>
      </w:r>
      <w:r w:rsidR="00076014">
        <w:t xml:space="preserve">program </w:t>
      </w:r>
      <w:r w:rsidR="0058017C">
        <w:t>mentors</w:t>
      </w:r>
    </w:p>
    <w:p w14:paraId="3BDFE77B" w14:textId="586907B9" w:rsidR="0058017C" w:rsidRDefault="00BF743C" w:rsidP="00BF743C">
      <w:pPr>
        <w:ind w:left="720" w:hanging="720"/>
      </w:pPr>
      <w:r>
        <w:rPr>
          <w:rFonts w:ascii="Helvetica" w:hAnsi="Helvetica" w:cs="Helvetica"/>
        </w:rPr>
        <w:t>•</w:t>
      </w:r>
      <w:r>
        <w:rPr>
          <w:rFonts w:ascii="Helvetica" w:hAnsi="Helvetica" w:cs="Helvetica"/>
        </w:rPr>
        <w:tab/>
      </w:r>
      <w:r w:rsidR="0058017C">
        <w:t>a final event featuring a panel of women economists discussing the different aspects of equity, including gender equity, equity in developing countries and indigenous disadvantage.</w:t>
      </w:r>
    </w:p>
    <w:p w14:paraId="24E6016A" w14:textId="0C7429C6" w:rsidR="000F0238" w:rsidRDefault="0058017C" w:rsidP="00A465FA">
      <w:r>
        <w:t>All networking events</w:t>
      </w:r>
      <w:r w:rsidR="00196157">
        <w:t>—</w:t>
      </w:r>
      <w:r>
        <w:t>but particularly the first and second</w:t>
      </w:r>
      <w:r w:rsidR="00196157">
        <w:t>—</w:t>
      </w:r>
      <w:r>
        <w:t xml:space="preserve">were well attended by both mentors and mentees. Feedback on these events is discussed </w:t>
      </w:r>
      <w:r w:rsidR="00A465FA">
        <w:t>in the Results section</w:t>
      </w:r>
      <w:r>
        <w:t>.</w:t>
      </w:r>
    </w:p>
    <w:p w14:paraId="1AD413D3" w14:textId="77777777" w:rsidR="00E477E5" w:rsidRPr="00AB1258" w:rsidRDefault="00D44ED0" w:rsidP="00F478EE">
      <w:pPr>
        <w:pStyle w:val="Heading3"/>
        <w:rPr>
          <w:rStyle w:val="Heading2Char"/>
          <w:b/>
          <w:sz w:val="22"/>
          <w:szCs w:val="28"/>
        </w:rPr>
      </w:pPr>
      <w:r w:rsidRPr="00AB1258">
        <w:rPr>
          <w:rStyle w:val="Heading2Char"/>
          <w:b/>
          <w:sz w:val="22"/>
          <w:szCs w:val="28"/>
        </w:rPr>
        <w:t>Surveys of students and mentors</w:t>
      </w:r>
    </w:p>
    <w:p w14:paraId="1F4CE524" w14:textId="54CEA673" w:rsidR="00D44ED0" w:rsidRDefault="00D44ED0" w:rsidP="00D44ED0">
      <w:r>
        <w:t>We conducted a baseline survey of all students in August 2018, as part of the application process. We also conducted a midline survey of students in the mentoring program in November 2018 (n=30, 55</w:t>
      </w:r>
      <w:r w:rsidR="00196157">
        <w:t> per cent</w:t>
      </w:r>
      <w:r>
        <w:t xml:space="preserve"> response rate) and endline surveys in </w:t>
      </w:r>
      <w:r w:rsidR="004F1EC9">
        <w:t>August</w:t>
      </w:r>
      <w:r w:rsidR="004F1EC9">
        <w:noBreakHyphen/>
      </w:r>
      <w:r>
        <w:t>September 2019 of: students in the mentoring program (n=30, 55</w:t>
      </w:r>
      <w:r w:rsidR="00196157">
        <w:t> per cent</w:t>
      </w:r>
      <w:r>
        <w:t>), students in control (n=15, 45</w:t>
      </w:r>
      <w:r w:rsidR="00196157">
        <w:t> per cent</w:t>
      </w:r>
      <w:r>
        <w:t>), and mentors (n=38, 69</w:t>
      </w:r>
      <w:r w:rsidR="00196157">
        <w:t> per cent</w:t>
      </w:r>
      <w:r>
        <w:t>).</w:t>
      </w:r>
      <w:r w:rsidR="00D819C0">
        <w:t xml:space="preserve"> The full survey questionnaires are available at the OSF project page: </w:t>
      </w:r>
      <w:hyperlink r:id="rId29" w:history="1">
        <w:r w:rsidR="00D819C0" w:rsidRPr="00DF591D">
          <w:rPr>
            <w:rStyle w:val="Hyperlink"/>
          </w:rPr>
          <w:t>https://osf.io/a57vh/</w:t>
        </w:r>
      </w:hyperlink>
    </w:p>
    <w:p w14:paraId="63FF6940" w14:textId="157AD223" w:rsidR="00D44ED0" w:rsidRDefault="00D44ED0" w:rsidP="00D44ED0">
      <w:r w:rsidRPr="00E34DB3">
        <w:rPr>
          <w:bCs/>
        </w:rPr>
        <w:t xml:space="preserve">The characteristics of survey respondents from the </w:t>
      </w:r>
      <w:r>
        <w:rPr>
          <w:bCs/>
        </w:rPr>
        <w:t>control group</w:t>
      </w:r>
      <w:r w:rsidRPr="00E34DB3">
        <w:rPr>
          <w:bCs/>
        </w:rPr>
        <w:t xml:space="preserve"> differ</w:t>
      </w:r>
      <w:r>
        <w:rPr>
          <w:bCs/>
        </w:rPr>
        <w:t>ed</w:t>
      </w:r>
      <w:r w:rsidRPr="00E34DB3">
        <w:rPr>
          <w:bCs/>
        </w:rPr>
        <w:t xml:space="preserve"> from </w:t>
      </w:r>
      <w:r>
        <w:rPr>
          <w:bCs/>
        </w:rPr>
        <w:t xml:space="preserve">the overall study population. </w:t>
      </w:r>
      <w:r w:rsidR="00076014">
        <w:rPr>
          <w:bCs/>
        </w:rPr>
        <w:t xml:space="preserve">For example, while a similar proportion of students in the control and treatment groups were enrolled in a Bachelor of Economics and were in their first year of studies (due to stratification), more </w:t>
      </w:r>
      <w:r w:rsidRPr="00E34DB3">
        <w:rPr>
          <w:bCs/>
        </w:rPr>
        <w:t xml:space="preserve">control group </w:t>
      </w:r>
      <w:r w:rsidR="00076014" w:rsidRPr="00076014">
        <w:rPr>
          <w:bCs/>
          <w:i/>
        </w:rPr>
        <w:t>endline survey</w:t>
      </w:r>
      <w:r w:rsidR="00076014">
        <w:rPr>
          <w:bCs/>
        </w:rPr>
        <w:t xml:space="preserve"> </w:t>
      </w:r>
      <w:r w:rsidRPr="00E34DB3">
        <w:rPr>
          <w:bCs/>
          <w:i/>
        </w:rPr>
        <w:t>respondents</w:t>
      </w:r>
      <w:r w:rsidRPr="00E34DB3">
        <w:rPr>
          <w:bCs/>
        </w:rPr>
        <w:t xml:space="preserve"> were enrolled in a Bachelor of Economics</w:t>
      </w:r>
      <w:r>
        <w:rPr>
          <w:bCs/>
        </w:rPr>
        <w:t xml:space="preserve"> and were in first year in 2018 (60</w:t>
      </w:r>
      <w:r w:rsidR="00196157">
        <w:rPr>
          <w:bCs/>
        </w:rPr>
        <w:t> per cent</w:t>
      </w:r>
      <w:r>
        <w:rPr>
          <w:bCs/>
        </w:rPr>
        <w:t xml:space="preserve"> v</w:t>
      </w:r>
      <w:r w:rsidR="00140D2F">
        <w:rPr>
          <w:bCs/>
        </w:rPr>
        <w:t>ersu</w:t>
      </w:r>
      <w:r>
        <w:rPr>
          <w:bCs/>
        </w:rPr>
        <w:t>s 46</w:t>
      </w:r>
      <w:r w:rsidR="00196157">
        <w:rPr>
          <w:bCs/>
        </w:rPr>
        <w:t> per cent</w:t>
      </w:r>
      <w:r>
        <w:rPr>
          <w:bCs/>
        </w:rPr>
        <w:t xml:space="preserve"> in both cases). </w:t>
      </w:r>
      <w:r>
        <w:t xml:space="preserve">This is likely to confound comparisons of survey responses between the two groups so they are not reported </w:t>
      </w:r>
      <w:r w:rsidR="00100DF6">
        <w:t>in the Results section</w:t>
      </w:r>
      <w:r w:rsidR="00950640">
        <w:t xml:space="preserve"> (but are included in Appendix 3</w:t>
      </w:r>
      <w:r>
        <w:t xml:space="preserve"> for completeness).</w:t>
      </w:r>
    </w:p>
    <w:p w14:paraId="0088E6DA" w14:textId="25CD2A7B" w:rsidR="00141458" w:rsidRPr="00AB1258" w:rsidRDefault="00141458" w:rsidP="00F478EE">
      <w:pPr>
        <w:pStyle w:val="Heading3"/>
      </w:pPr>
      <w:r w:rsidRPr="00AB1258">
        <w:t>Evaluation design</w:t>
      </w:r>
    </w:p>
    <w:p w14:paraId="2EF1AA12" w14:textId="05CFE8F4" w:rsidR="00D44ED0" w:rsidRDefault="00623846" w:rsidP="00CB1E33">
      <w:r>
        <w:t xml:space="preserve">The evaluation of the mentoring program drew on </w:t>
      </w:r>
      <w:r w:rsidR="00D44ED0">
        <w:t xml:space="preserve">the surveys described above </w:t>
      </w:r>
      <w:r w:rsidR="00100DF6">
        <w:t xml:space="preserve">and </w:t>
      </w:r>
      <w:r w:rsidR="00D44ED0">
        <w:t xml:space="preserve">a randomised controlled trial (RCT) using university administrative data. </w:t>
      </w:r>
      <w:r>
        <w:t xml:space="preserve">This section describes the RCT design. </w:t>
      </w:r>
    </w:p>
    <w:p w14:paraId="36DB7A5A" w14:textId="3FD3F440" w:rsidR="00141458" w:rsidRDefault="003C5588" w:rsidP="00CB1E33">
      <w:r>
        <w:t>The research was sub</w:t>
      </w:r>
      <w:r w:rsidR="00076014">
        <w:t>j</w:t>
      </w:r>
      <w:r>
        <w:t>ect to ethics approval from the ANU’s Human Research Ethics Committee (protocol number 2018-513) and we registered a pre</w:t>
      </w:r>
      <w:r>
        <w:noBreakHyphen/>
        <w:t xml:space="preserve">analysis plan </w:t>
      </w:r>
      <w:r w:rsidR="00180E9B">
        <w:t xml:space="preserve">after the program commenced but </w:t>
      </w:r>
      <w:r>
        <w:t xml:space="preserve">prior to the </w:t>
      </w:r>
      <w:r w:rsidR="003E5BAF">
        <w:t>collection of any</w:t>
      </w:r>
      <w:r w:rsidR="00180E9B">
        <w:t xml:space="preserve"> outcome</w:t>
      </w:r>
      <w:r w:rsidR="003E5BAF">
        <w:t xml:space="preserve"> data</w:t>
      </w:r>
      <w:r>
        <w:t>.</w:t>
      </w:r>
    </w:p>
    <w:p w14:paraId="18EAC397" w14:textId="26535388" w:rsidR="00753F90" w:rsidRDefault="003C5588" w:rsidP="008A4E5A">
      <w:r>
        <w:t xml:space="preserve">The sample frame for the evaluation </w:t>
      </w:r>
      <w:r w:rsidR="0013451F">
        <w:t xml:space="preserve">was </w:t>
      </w:r>
      <w:r w:rsidR="00623846" w:rsidRPr="00623846">
        <w:t xml:space="preserve">women </w:t>
      </w:r>
      <w:r w:rsidR="00623846">
        <w:t xml:space="preserve">economics </w:t>
      </w:r>
      <w:r w:rsidR="00623846" w:rsidRPr="00623846">
        <w:t xml:space="preserve">students at </w:t>
      </w:r>
      <w:r w:rsidR="00623846">
        <w:t xml:space="preserve">the ANU who applied to participate in the mentoring program. </w:t>
      </w:r>
    </w:p>
    <w:p w14:paraId="198B39B8" w14:textId="4D803D6E" w:rsidR="00753F90" w:rsidRDefault="008A4E5A" w:rsidP="008A4E5A">
      <w:r>
        <w:t xml:space="preserve">We hypothesised the mentoring program would have a positive impact on </w:t>
      </w:r>
      <w:r w:rsidRPr="008A4E5A">
        <w:t>confidence, knowledge and</w:t>
      </w:r>
      <w:r>
        <w:t>/or</w:t>
      </w:r>
      <w:r w:rsidRPr="008A4E5A">
        <w:t xml:space="preserve"> satisfaction with economics </w:t>
      </w:r>
      <w:r>
        <w:t>studies</w:t>
      </w:r>
      <w:r w:rsidR="00AF0F05">
        <w:t>,</w:t>
      </w:r>
      <w:r>
        <w:t xml:space="preserve"> </w:t>
      </w:r>
      <w:r w:rsidR="00076014" w:rsidRPr="00076014">
        <w:t>and ultimately students who participated in the mentoring program would be more likely to continue with and complete an economics major</w:t>
      </w:r>
      <w:r w:rsidR="00076014">
        <w:t>,</w:t>
      </w:r>
      <w:r w:rsidR="00076014" w:rsidRPr="00076014">
        <w:t xml:space="preserve"> compared to the control group.</w:t>
      </w:r>
    </w:p>
    <w:p w14:paraId="7FC89C18" w14:textId="1DBFCE51" w:rsidR="0013451F" w:rsidRDefault="0013451F" w:rsidP="0013451F">
      <w:r>
        <w:t xml:space="preserve">We assessed the impact of the mentoring program in the two subsequent semesters. For semester two 2019, our primary outcome variable was a binary measure of whether a student continued with their economics studies (defined as enrolment in one of the </w:t>
      </w:r>
      <w:r w:rsidR="00160F9A">
        <w:t>core</w:t>
      </w:r>
      <w:r>
        <w:t xml:space="preserve"> macroeconomics or microeconomics units). By the first semester of 2020, some students had completed their degree so our outcome variable combined two possibilities: continuation with economics studies (as for 2019) </w:t>
      </w:r>
      <w:r w:rsidRPr="002D38B7">
        <w:t>or</w:t>
      </w:r>
      <w:r>
        <w:t xml:space="preserve"> completion of a degree in economics. </w:t>
      </w:r>
    </w:p>
    <w:p w14:paraId="4E193556" w14:textId="1B64D0B1" w:rsidR="0013451F" w:rsidRDefault="0013451F" w:rsidP="0013451F">
      <w:r>
        <w:t>Both these outcome variables differ somewhat from our pre</w:t>
      </w:r>
      <w:r>
        <w:noBreakHyphen/>
        <w:t>specified outcomes: see Appendix </w:t>
      </w:r>
      <w:r w:rsidR="00950640">
        <w:t>1</w:t>
      </w:r>
      <w:r>
        <w:t xml:space="preserve"> for a full discussion and justification of these differences.</w:t>
      </w:r>
    </w:p>
    <w:p w14:paraId="37C592B5" w14:textId="57FD2108" w:rsidR="00753F90" w:rsidRDefault="00753F90" w:rsidP="00D97B2E">
      <w:r>
        <w:t>Prior to randomisation, we stratified the study population on three potential predictors of our outcomes (all binary variables): their year of study (first</w:t>
      </w:r>
      <w:r>
        <w:noBreakHyphen/>
        <w:t xml:space="preserve">year or later years), degree (economics degree or not), and whether they were a domestic or international student. </w:t>
      </w:r>
    </w:p>
    <w:p w14:paraId="24604F8C" w14:textId="2D0E8F6D" w:rsidR="00747E9D" w:rsidRDefault="00747E9D" w:rsidP="00747E9D">
      <w:r>
        <w:t>We received 88 </w:t>
      </w:r>
      <w:r w:rsidR="004661E9">
        <w:t>complete</w:t>
      </w:r>
      <w:r w:rsidR="00100DF6">
        <w:t xml:space="preserve"> </w:t>
      </w:r>
      <w:r>
        <w:t>applications and had 55 mentors</w:t>
      </w:r>
      <w:r w:rsidR="00076014">
        <w:t>. W</w:t>
      </w:r>
      <w:r>
        <w:t xml:space="preserve">ithin each strata, we randomly allocated students to </w:t>
      </w:r>
      <w:r w:rsidR="00CE68D8">
        <w:t xml:space="preserve">‘control’ or </w:t>
      </w:r>
      <w:r>
        <w:t xml:space="preserve">‘treatment’ </w:t>
      </w:r>
      <w:r w:rsidR="00CE68D8">
        <w:t xml:space="preserve">(the mentoring program) </w:t>
      </w:r>
      <w:r>
        <w:t>in a 3:5 ratio so that 55</w:t>
      </w:r>
      <w:r w:rsidR="00CE68D8">
        <w:t xml:space="preserve"> students would be assigned to </w:t>
      </w:r>
      <w:r>
        <w:t>treatment. As we noted in our pre</w:t>
      </w:r>
      <w:r>
        <w:noBreakHyphen/>
        <w:t>analysis plan, this sample size meant</w:t>
      </w:r>
      <w:r w:rsidR="002D38B7">
        <w:t xml:space="preserve">, for plausible program effect sizes, </w:t>
      </w:r>
      <w:r>
        <w:t xml:space="preserve">we only had low statistical power to detect </w:t>
      </w:r>
      <w:r w:rsidR="002D38B7">
        <w:t xml:space="preserve">these </w:t>
      </w:r>
      <w:r>
        <w:t>effects.</w:t>
      </w:r>
    </w:p>
    <w:p w14:paraId="7746EAE2" w14:textId="0AD2D318" w:rsidR="00A465FA" w:rsidRDefault="00BD545A" w:rsidP="00705D90">
      <w:r w:rsidRPr="00BD545A">
        <w:t>More detail</w:t>
      </w:r>
      <w:r w:rsidR="00100DF6">
        <w:t>s</w:t>
      </w:r>
      <w:r w:rsidRPr="00BD545A">
        <w:t xml:space="preserve"> on the trial design</w:t>
      </w:r>
      <w:r>
        <w:t>, analysis and deviations from the pre</w:t>
      </w:r>
      <w:r>
        <w:noBreakHyphen/>
        <w:t xml:space="preserve">analysis plan are set out in </w:t>
      </w:r>
      <w:r w:rsidRPr="00BD545A">
        <w:t xml:space="preserve">Appendix </w:t>
      </w:r>
      <w:r w:rsidR="005A760D">
        <w:t>1</w:t>
      </w:r>
      <w:r w:rsidRPr="00BD545A">
        <w:t>.</w:t>
      </w:r>
      <w:r w:rsidR="00623846" w:rsidRPr="00623846">
        <w:t xml:space="preserve"> </w:t>
      </w:r>
    </w:p>
    <w:p w14:paraId="6183737E" w14:textId="77777777" w:rsidR="00081366" w:rsidRDefault="00081366" w:rsidP="00973B23">
      <w:r>
        <w:br w:type="page"/>
      </w:r>
    </w:p>
    <w:p w14:paraId="0AF2840A" w14:textId="7B931EB7" w:rsidR="00081366" w:rsidRDefault="00081366" w:rsidP="00AB1258">
      <w:pPr>
        <w:pStyle w:val="Heading2"/>
      </w:pPr>
      <w:bookmarkStart w:id="5" w:name="_Toc57814944"/>
      <w:r>
        <w:t>Results</w:t>
      </w:r>
      <w:bookmarkEnd w:id="5"/>
    </w:p>
    <w:p w14:paraId="3DA2B23C" w14:textId="72FA3BCE" w:rsidR="00D17A55" w:rsidRDefault="004F6DF6" w:rsidP="00081366">
      <w:pPr>
        <w:pStyle w:val="Intro"/>
      </w:pPr>
      <w:r>
        <w:t xml:space="preserve">Various sources of evidence, taken together, suggest the mentoring program had a material impact on students’ decisions to continue with economics. </w:t>
      </w:r>
    </w:p>
    <w:p w14:paraId="195040C5" w14:textId="030DBD7D" w:rsidR="004F6DF6" w:rsidRDefault="004F6DF6" w:rsidP="00D17A55">
      <w:r>
        <w:t xml:space="preserve">This section presents evidence from various sources: </w:t>
      </w:r>
    </w:p>
    <w:p w14:paraId="6F981D3C" w14:textId="7BFF318F" w:rsidR="004F6DF6" w:rsidRDefault="00BF743C" w:rsidP="00BF743C">
      <w:pPr>
        <w:ind w:left="720" w:hanging="720"/>
      </w:pPr>
      <w:r>
        <w:rPr>
          <w:rFonts w:ascii="Helvetica" w:hAnsi="Helvetica" w:cs="Helvetica"/>
        </w:rPr>
        <w:t>•</w:t>
      </w:r>
      <w:r>
        <w:rPr>
          <w:rFonts w:ascii="Helvetica" w:hAnsi="Helvetica" w:cs="Helvetica"/>
        </w:rPr>
        <w:tab/>
      </w:r>
      <w:r w:rsidR="004F6DF6">
        <w:t xml:space="preserve">university administrative data on enrolments and Grade Point Average (GPA), </w:t>
      </w:r>
    </w:p>
    <w:p w14:paraId="6D5AF4A1" w14:textId="620A9250" w:rsidR="004F6DF6" w:rsidRDefault="00BF743C" w:rsidP="00BF743C">
      <w:pPr>
        <w:ind w:left="720" w:hanging="720"/>
      </w:pPr>
      <w:r>
        <w:rPr>
          <w:rFonts w:ascii="Helvetica" w:hAnsi="Helvetica" w:cs="Helvetica"/>
        </w:rPr>
        <w:t>•</w:t>
      </w:r>
      <w:r>
        <w:rPr>
          <w:rFonts w:ascii="Helvetica" w:hAnsi="Helvetica" w:cs="Helvetica"/>
        </w:rPr>
        <w:tab/>
      </w:r>
      <w:r w:rsidR="004F6DF6">
        <w:t>students’ self</w:t>
      </w:r>
      <w:r w:rsidR="004F6DF6">
        <w:noBreakHyphen/>
        <w:t xml:space="preserve">assessments of the program’s impact, and </w:t>
      </w:r>
    </w:p>
    <w:p w14:paraId="327D24FA" w14:textId="3C8D2B83" w:rsidR="004F6DF6" w:rsidRDefault="00BF743C" w:rsidP="00BF743C">
      <w:pPr>
        <w:ind w:left="720" w:hanging="720"/>
      </w:pPr>
      <w:r>
        <w:rPr>
          <w:rFonts w:ascii="Helvetica" w:hAnsi="Helvetica" w:cs="Helvetica"/>
        </w:rPr>
        <w:t>•</w:t>
      </w:r>
      <w:r>
        <w:rPr>
          <w:rFonts w:ascii="Helvetica" w:hAnsi="Helvetica" w:cs="Helvetica"/>
        </w:rPr>
        <w:tab/>
      </w:r>
      <w:r w:rsidR="004F6DF6">
        <w:t>students’ and mentors’ experiences, as described in free</w:t>
      </w:r>
      <w:r w:rsidR="004F6DF6">
        <w:noBreakHyphen/>
        <w:t xml:space="preserve">text survey responses. </w:t>
      </w:r>
    </w:p>
    <w:p w14:paraId="6AD191CF" w14:textId="4DD4E429" w:rsidR="00D17A55" w:rsidRDefault="004F6DF6" w:rsidP="00D17A55">
      <w:r>
        <w:t xml:space="preserve">While no single source provides definitive evidence, taken together they paint a consistent picture suggesting the mentoring program had a material impact on whether students will continue their economics studies. </w:t>
      </w:r>
    </w:p>
    <w:p w14:paraId="23BCFBCE" w14:textId="77777777" w:rsidR="00E22129" w:rsidRDefault="00662464" w:rsidP="00E22129">
      <w:pPr>
        <w:pStyle w:val="Heading3"/>
      </w:pPr>
      <w:r w:rsidRPr="00E22129">
        <w:t>Impact on economics</w:t>
      </w:r>
      <w:r w:rsidR="00D17A55" w:rsidRPr="00E22129">
        <w:t xml:space="preserve"> enrolments</w:t>
      </w:r>
      <w:r w:rsidR="00D422A9" w:rsidRPr="00E22129">
        <w:t>, completions</w:t>
      </w:r>
      <w:r w:rsidRPr="00E22129">
        <w:t xml:space="preserve"> and students’ GPA</w:t>
      </w:r>
    </w:p>
    <w:p w14:paraId="560051A9" w14:textId="47A51900" w:rsidR="004B4B1B" w:rsidRDefault="00076014" w:rsidP="00E22129">
      <w:r>
        <w:t xml:space="preserve">Originally all students were enrolled in an economics subject in semester two 2018. </w:t>
      </w:r>
      <w:r w:rsidR="00980312">
        <w:t xml:space="preserve">By </w:t>
      </w:r>
      <w:r w:rsidR="00160F9A">
        <w:t>semester two 2019, s</w:t>
      </w:r>
      <w:r w:rsidR="00A036B9">
        <w:t xml:space="preserve">tudents </w:t>
      </w:r>
      <w:r w:rsidR="00980312">
        <w:t xml:space="preserve">who had participated </w:t>
      </w:r>
      <w:r w:rsidR="00A036B9">
        <w:t xml:space="preserve">in the mentoring program appeared to be more likely to enrol in </w:t>
      </w:r>
      <w:r w:rsidR="004B4B1B">
        <w:t>core microeconomics or macroeconomics subjects</w:t>
      </w:r>
      <w:r w:rsidR="00A036B9">
        <w:t xml:space="preserve"> </w:t>
      </w:r>
      <w:r w:rsidR="003A5246">
        <w:t>(Figure </w:t>
      </w:r>
      <w:r w:rsidR="007422A4">
        <w:t>5</w:t>
      </w:r>
      <w:r w:rsidR="003A5246">
        <w:t>)</w:t>
      </w:r>
      <w:r w:rsidR="00A036B9">
        <w:t xml:space="preserve">. </w:t>
      </w:r>
      <w:r>
        <w:t>O</w:t>
      </w:r>
      <w:r w:rsidR="00A036B9">
        <w:t>nly one</w:t>
      </w:r>
      <w:r w:rsidR="00A036B9">
        <w:noBreakHyphen/>
        <w:t xml:space="preserve">third of the control group continued with a core economics </w:t>
      </w:r>
      <w:r w:rsidR="00980312">
        <w:t>subject, compared to 46 </w:t>
      </w:r>
      <w:r>
        <w:t>per</w:t>
      </w:r>
      <w:r w:rsidR="00980312">
        <w:t> </w:t>
      </w:r>
      <w:r>
        <w:t>cent of students involved in the mentoring program</w:t>
      </w:r>
      <w:r w:rsidR="003A5246">
        <w:t xml:space="preserve">. </w:t>
      </w:r>
    </w:p>
    <w:p w14:paraId="19069C09" w14:textId="77667325" w:rsidR="00160F9A" w:rsidRDefault="00160F9A" w:rsidP="00662464">
      <w:r>
        <w:t xml:space="preserve">A similar pattern emerged the following year. </w:t>
      </w:r>
      <w:r w:rsidR="00980312">
        <w:t xml:space="preserve">At </w:t>
      </w:r>
      <w:r>
        <w:t>the end of semester one 2020, almost one</w:t>
      </w:r>
      <w:r>
        <w:noBreakHyphen/>
        <w:t xml:space="preserve">third </w:t>
      </w:r>
      <w:r w:rsidR="00980312">
        <w:t xml:space="preserve">of </w:t>
      </w:r>
      <w:r>
        <w:t>students in the mentoring program were still pursuing economics</w:t>
      </w:r>
      <w:r w:rsidR="00D422A9">
        <w:t xml:space="preserve"> (</w:t>
      </w:r>
      <w:r>
        <w:t>that is, they were enrolled in a core economics subject or they had already completed an economics degree</w:t>
      </w:r>
      <w:r w:rsidR="00D422A9">
        <w:t>)</w:t>
      </w:r>
      <w:r w:rsidR="00EC0422">
        <w:t>.</w:t>
      </w:r>
      <w:r w:rsidR="00EC0422">
        <w:rPr>
          <w:rStyle w:val="FootnoteReference"/>
        </w:rPr>
        <w:footnoteReference w:id="2"/>
      </w:r>
      <w:r w:rsidR="00EC0422">
        <w:t xml:space="preserve"> This </w:t>
      </w:r>
      <w:r>
        <w:t xml:space="preserve">compared </w:t>
      </w:r>
      <w:r w:rsidR="00EC0422">
        <w:t xml:space="preserve">with just </w:t>
      </w:r>
      <w:r>
        <w:t xml:space="preserve">18 per cent in the control group. </w:t>
      </w:r>
    </w:p>
    <w:p w14:paraId="2B7FEF98" w14:textId="77777777" w:rsidR="002D38B7" w:rsidRDefault="008570B4" w:rsidP="00662464">
      <w:r>
        <w:t>T</w:t>
      </w:r>
      <w:r w:rsidR="00160F9A">
        <w:t>hese estimates</w:t>
      </w:r>
      <w:r>
        <w:t xml:space="preserve"> imply </w:t>
      </w:r>
      <w:r w:rsidR="00160F9A">
        <w:t>students in the mentoring program were around 13</w:t>
      </w:r>
      <w:r w:rsidR="00160F9A">
        <w:noBreakHyphen/>
        <w:t xml:space="preserve">15 percentage points more likely to </w:t>
      </w:r>
      <w:r w:rsidR="00EC6BAD">
        <w:t xml:space="preserve">continue with </w:t>
      </w:r>
      <w:r w:rsidR="00160F9A">
        <w:t>economics. This is equivalent to an extra 7</w:t>
      </w:r>
      <w:r w:rsidR="00160F9A">
        <w:noBreakHyphen/>
        <w:t>8 students—out of the 55 in the program—</w:t>
      </w:r>
      <w:r>
        <w:t xml:space="preserve">opting for </w:t>
      </w:r>
      <w:r w:rsidR="00160F9A">
        <w:t>economics when they would not have done so otherwise.</w:t>
      </w:r>
      <w:r w:rsidR="00452FC0">
        <w:t xml:space="preserve"> </w:t>
      </w:r>
      <w:r w:rsidR="002D38B7">
        <w:t>While promising</w:t>
      </w:r>
      <w:r w:rsidR="00452FC0">
        <w:t xml:space="preserve">, </w:t>
      </w:r>
      <w:r>
        <w:t>these</w:t>
      </w:r>
      <w:r w:rsidR="00452FC0">
        <w:t xml:space="preserve"> estimate</w:t>
      </w:r>
      <w:r>
        <w:t>s have</w:t>
      </w:r>
      <w:r w:rsidR="00452FC0">
        <w:t xml:space="preserve"> wide </w:t>
      </w:r>
      <w:r w:rsidR="00452FC0" w:rsidRPr="00452FC0">
        <w:t xml:space="preserve">confidence intervals </w:t>
      </w:r>
      <w:r w:rsidR="00452FC0">
        <w:t xml:space="preserve">so </w:t>
      </w:r>
      <w:r w:rsidR="00452FC0" w:rsidRPr="00452FC0">
        <w:t>it is also possible the program had little or no effect.</w:t>
      </w:r>
      <w:r w:rsidR="00791D90">
        <w:rPr>
          <w:rStyle w:val="FootnoteReference"/>
        </w:rPr>
        <w:footnoteReference w:id="3"/>
      </w:r>
      <w:r w:rsidR="00452FC0" w:rsidRPr="00452FC0">
        <w:t xml:space="preserve"> </w:t>
      </w:r>
    </w:p>
    <w:p w14:paraId="1B38AA52" w14:textId="7831D9DD" w:rsidR="00976281" w:rsidRDefault="002D38B7" w:rsidP="002D38B7">
      <w:pPr>
        <w:keepNext/>
      </w:pPr>
      <w:r>
        <w:t>O</w:t>
      </w:r>
      <w:r w:rsidR="001A4452">
        <w:t>ne mentor’s free</w:t>
      </w:r>
      <w:r w:rsidR="001A4452">
        <w:noBreakHyphen/>
        <w:t xml:space="preserve">text response gives a vivid example of the program’s </w:t>
      </w:r>
      <w:r>
        <w:t xml:space="preserve">potential </w:t>
      </w:r>
      <w:r w:rsidR="001A4452">
        <w:t>impact:</w:t>
      </w:r>
    </w:p>
    <w:p w14:paraId="65E90649" w14:textId="28401AC5" w:rsidR="001A4452" w:rsidRDefault="001A4452" w:rsidP="002D38B7">
      <w:pPr>
        <w:ind w:left="284"/>
      </w:pPr>
      <w:r>
        <w:t>‘</w:t>
      </w:r>
      <w:r w:rsidRPr="001A4452">
        <w:t>my mentee moved to [another university] halfway through the program but changed her major to economics and told me that my mentoring was a significant factor in this decision</w:t>
      </w:r>
      <w:r>
        <w:t>’</w:t>
      </w:r>
      <w:r w:rsidR="002D38B7">
        <w:rPr>
          <w:rStyle w:val="FootnoteReference"/>
        </w:rPr>
        <w:footnoteReference w:id="4"/>
      </w:r>
    </w:p>
    <w:p w14:paraId="311C82C0" w14:textId="5E4EFFE8" w:rsidR="00127115" w:rsidRDefault="00BF743C" w:rsidP="00BF743C">
      <w:pPr>
        <w:pStyle w:val="FigureHeading"/>
        <w:numPr>
          <w:ilvl w:val="0"/>
          <w:numId w:val="0"/>
        </w:numPr>
        <w:ind w:left="1429" w:hanging="720"/>
        <w:outlineLvl w:val="3"/>
      </w:pPr>
      <w:r>
        <w:t xml:space="preserve">Figure 5: </w:t>
      </w:r>
      <w:r w:rsidR="00127115">
        <w:t xml:space="preserve">Impact on </w:t>
      </w:r>
      <w:r w:rsidR="00EC14A6">
        <w:t xml:space="preserve">pursuing </w:t>
      </w:r>
      <w:r w:rsidR="00127115">
        <w:t>economics in 2019 and 2020</w:t>
      </w:r>
    </w:p>
    <w:p w14:paraId="28E28BE9" w14:textId="718B82EA" w:rsidR="00127115" w:rsidRDefault="00AE4C76" w:rsidP="00127115">
      <w:r w:rsidRPr="00AE4C76">
        <w:rPr>
          <w:noProof/>
        </w:rPr>
        <w:drawing>
          <wp:inline distT="0" distB="0" distL="0" distR="0" wp14:anchorId="5A888726" wp14:editId="42ACD5ED">
            <wp:extent cx="5154295" cy="2815590"/>
            <wp:effectExtent l="0" t="0" r="8255" b="3810"/>
            <wp:docPr id="19" name="Picture 19" descr="Figure 5 shows the probability of pursuing economics in 2019 and 2020 for students in the mentoring program and in the control group. In semester two 2019, 33% of the control group were pursuing economics compared to 46% in the mentoring program. In semester one 2020, 18% of the control were pursuing economics compared to 33% in the mentoring program." title="Figure 5: Impact on pursuing economics in 2019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54295" cy="2815590"/>
                    </a:xfrm>
                    <a:prstGeom prst="rect">
                      <a:avLst/>
                    </a:prstGeom>
                    <a:noFill/>
                    <a:ln>
                      <a:noFill/>
                    </a:ln>
                  </pic:spPr>
                </pic:pic>
              </a:graphicData>
            </a:graphic>
          </wp:inline>
        </w:drawing>
      </w:r>
    </w:p>
    <w:p w14:paraId="22333F8D" w14:textId="4AFE7CF8" w:rsidR="00EC14A6" w:rsidRPr="005B16CC" w:rsidRDefault="00EC14A6" w:rsidP="00EC14A6">
      <w:pPr>
        <w:spacing w:before="0" w:line="240" w:lineRule="exact"/>
        <w:rPr>
          <w:sz w:val="16"/>
        </w:rPr>
      </w:pPr>
      <w:r w:rsidRPr="005B16CC">
        <w:rPr>
          <w:sz w:val="16"/>
        </w:rPr>
        <w:t>N=88 (N</w:t>
      </w:r>
      <w:r w:rsidRPr="00C6247D">
        <w:rPr>
          <w:sz w:val="16"/>
          <w:vertAlign w:val="subscript"/>
        </w:rPr>
        <w:t>C</w:t>
      </w:r>
      <w:r w:rsidRPr="005B16CC">
        <w:rPr>
          <w:sz w:val="16"/>
        </w:rPr>
        <w:t>=33, N</w:t>
      </w:r>
      <w:r w:rsidRPr="00C6247D">
        <w:rPr>
          <w:sz w:val="16"/>
          <w:vertAlign w:val="subscript"/>
        </w:rPr>
        <w:t>T</w:t>
      </w:r>
      <w:r w:rsidRPr="005B16CC">
        <w:rPr>
          <w:sz w:val="16"/>
        </w:rPr>
        <w:t xml:space="preserve">=55). Results from </w:t>
      </w:r>
      <w:r>
        <w:rPr>
          <w:sz w:val="16"/>
        </w:rPr>
        <w:t xml:space="preserve">a </w:t>
      </w:r>
      <w:r w:rsidRPr="005B16CC">
        <w:rPr>
          <w:sz w:val="16"/>
        </w:rPr>
        <w:t xml:space="preserve">covariate-adjusted </w:t>
      </w:r>
      <w:r w:rsidR="007C4693">
        <w:rPr>
          <w:sz w:val="16"/>
        </w:rPr>
        <w:t xml:space="preserve">OLS </w:t>
      </w:r>
      <w:r w:rsidRPr="005B16CC">
        <w:rPr>
          <w:sz w:val="16"/>
        </w:rPr>
        <w:t>model.</w:t>
      </w:r>
      <w:r>
        <w:rPr>
          <w:sz w:val="16"/>
        </w:rPr>
        <w:t xml:space="preserve"> </w:t>
      </w:r>
      <w:r w:rsidRPr="005B16CC">
        <w:rPr>
          <w:sz w:val="16"/>
        </w:rPr>
        <w:t xml:space="preserve">See Appendix </w:t>
      </w:r>
      <w:r w:rsidR="00EC0422">
        <w:rPr>
          <w:sz w:val="16"/>
        </w:rPr>
        <w:t>3</w:t>
      </w:r>
      <w:r w:rsidRPr="005B16CC">
        <w:rPr>
          <w:sz w:val="16"/>
        </w:rPr>
        <w:t xml:space="preserve"> for full details of statistical analyses. </w:t>
      </w:r>
      <w:r>
        <w:rPr>
          <w:sz w:val="16"/>
        </w:rPr>
        <w:t xml:space="preserve">For semester two 2019, ‘pursuing economics’ refers to enrolment in a core </w:t>
      </w:r>
      <w:r w:rsidRPr="005B16CC">
        <w:rPr>
          <w:sz w:val="16"/>
        </w:rPr>
        <w:t>macroeconom</w:t>
      </w:r>
      <w:r>
        <w:rPr>
          <w:sz w:val="16"/>
        </w:rPr>
        <w:t>ics or microeconomics unit</w:t>
      </w:r>
      <w:r w:rsidRPr="005B16CC">
        <w:rPr>
          <w:sz w:val="16"/>
        </w:rPr>
        <w:t xml:space="preserve">. The difference is 12.9 percentage points (p=0.11, one-sided test). </w:t>
      </w:r>
      <w:r>
        <w:rPr>
          <w:sz w:val="16"/>
        </w:rPr>
        <w:t xml:space="preserve">For semester one 2020, ‘pursuing economics’ refers to economics enrolment (as above) </w:t>
      </w:r>
      <w:r w:rsidRPr="00C6247D">
        <w:rPr>
          <w:sz w:val="16"/>
        </w:rPr>
        <w:t>or</w:t>
      </w:r>
      <w:r>
        <w:rPr>
          <w:sz w:val="16"/>
        </w:rPr>
        <w:t xml:space="preserve"> completion of an economics degree. </w:t>
      </w:r>
      <w:r w:rsidRPr="005B16CC">
        <w:rPr>
          <w:sz w:val="16"/>
        </w:rPr>
        <w:t>The difference is 1</w:t>
      </w:r>
      <w:r>
        <w:rPr>
          <w:sz w:val="16"/>
        </w:rPr>
        <w:t>4</w:t>
      </w:r>
      <w:r w:rsidRPr="005B16CC">
        <w:rPr>
          <w:sz w:val="16"/>
        </w:rPr>
        <w:t>.</w:t>
      </w:r>
      <w:r>
        <w:rPr>
          <w:sz w:val="16"/>
        </w:rPr>
        <w:t>8</w:t>
      </w:r>
      <w:r w:rsidRPr="005B16CC">
        <w:rPr>
          <w:sz w:val="16"/>
        </w:rPr>
        <w:t xml:space="preserve"> percentage points (p=0.</w:t>
      </w:r>
      <w:r>
        <w:rPr>
          <w:sz w:val="16"/>
        </w:rPr>
        <w:t>06</w:t>
      </w:r>
      <w:r w:rsidRPr="005B16CC">
        <w:rPr>
          <w:sz w:val="16"/>
        </w:rPr>
        <w:t>, one-sided test).</w:t>
      </w:r>
    </w:p>
    <w:p w14:paraId="1C4D9E9A" w14:textId="3E07D22D" w:rsidR="00452FC0" w:rsidRDefault="00452FC0" w:rsidP="003A5246">
      <w:r>
        <w:t>While the main purpose of the mentoring program was not to improve students’ grades, it is possible mentoring increased students’ motivation, or provided fruitful study tips.</w:t>
      </w:r>
      <w:r w:rsidR="00B31B51">
        <w:t xml:space="preserve"> </w:t>
      </w:r>
      <w:r w:rsidR="00BE714D">
        <w:t>For example one student commented: ‘</w:t>
      </w:r>
      <w:r w:rsidR="00BE714D" w:rsidRPr="00BD41AC">
        <w:t>Meeting the other mentors at the networking event was really motivating for my studies</w:t>
      </w:r>
      <w:r w:rsidR="00BE714D">
        <w:t xml:space="preserve">’. </w:t>
      </w:r>
      <w:r w:rsidR="00B31B51">
        <w:t xml:space="preserve">This </w:t>
      </w:r>
      <w:r w:rsidR="00C6095B">
        <w:t xml:space="preserve">may </w:t>
      </w:r>
      <w:r w:rsidR="00B31B51">
        <w:t xml:space="preserve">be reflected in students’ Grade Point Average (GPA), which increased by </w:t>
      </w:r>
      <w:r w:rsidR="008570B4">
        <w:t>0.2-</w:t>
      </w:r>
      <w:r w:rsidR="00B31B51">
        <w:t>0.3 units for mentees</w:t>
      </w:r>
      <w:r w:rsidR="00C6247D">
        <w:t xml:space="preserve"> in subsequent semesters</w:t>
      </w:r>
      <w:r w:rsidR="00B31B51">
        <w:t xml:space="preserve"> (Figure </w:t>
      </w:r>
      <w:r w:rsidR="007422A4">
        <w:t>6</w:t>
      </w:r>
      <w:r w:rsidR="00B31B51">
        <w:t xml:space="preserve">). </w:t>
      </w:r>
    </w:p>
    <w:p w14:paraId="4D16E0FD" w14:textId="0F491636" w:rsidR="00D422A9" w:rsidRDefault="00D422A9" w:rsidP="003A5246">
      <w:r>
        <w:t xml:space="preserve">These estimated GPA increases are equivalent to around 11-17 of the 55 students receiving a higher grade (for example, a Distinction instead of a Credit) as a result of the program. Again, there are wide confidence intervals on these estimates (ranging upwards from a </w:t>
      </w:r>
      <w:r w:rsidRPr="00791D90">
        <w:rPr>
          <w:i/>
        </w:rPr>
        <w:t xml:space="preserve">fall </w:t>
      </w:r>
      <w:r>
        <w:t>in GPA of 0.2 units) but it is suggestive of a possibly large program impact flowing beyond enrolment decisions to study outcomes as well.</w:t>
      </w:r>
      <w:r>
        <w:rPr>
          <w:rStyle w:val="FootnoteReference"/>
        </w:rPr>
        <w:footnoteReference w:id="5"/>
      </w:r>
    </w:p>
    <w:p w14:paraId="65BF5EE6" w14:textId="4B0D7504" w:rsidR="00E824AB" w:rsidRDefault="00BF743C" w:rsidP="00BF743C">
      <w:pPr>
        <w:pStyle w:val="FigureHeading"/>
        <w:numPr>
          <w:ilvl w:val="0"/>
          <w:numId w:val="0"/>
        </w:numPr>
        <w:ind w:left="1430" w:hanging="720"/>
        <w:outlineLvl w:val="3"/>
      </w:pPr>
      <w:r>
        <w:t xml:space="preserve">Figure 6: </w:t>
      </w:r>
      <w:r w:rsidR="00E824AB">
        <w:t xml:space="preserve">Impact on </w:t>
      </w:r>
      <w:r w:rsidR="003A5246">
        <w:t xml:space="preserve">students’ </w:t>
      </w:r>
      <w:r w:rsidR="00E824AB">
        <w:t>Grade Point Average (GPA)</w:t>
      </w:r>
      <w:r w:rsidR="00C6095B">
        <w:t xml:space="preserve"> in 2019 and 2020</w:t>
      </w:r>
    </w:p>
    <w:p w14:paraId="7D2CB34E" w14:textId="79D298FB" w:rsidR="00E824AB" w:rsidRDefault="00AE4C76" w:rsidP="00452FC0">
      <w:pPr>
        <w:keepNext/>
      </w:pPr>
      <w:r w:rsidRPr="00AE4C76">
        <w:rPr>
          <w:noProof/>
        </w:rPr>
        <w:drawing>
          <wp:inline distT="0" distB="0" distL="0" distR="0" wp14:anchorId="7AC5A6CA" wp14:editId="4AC38534">
            <wp:extent cx="5146675" cy="2780030"/>
            <wp:effectExtent l="0" t="0" r="0" b="1270"/>
            <wp:docPr id="25" name="Picture 25" descr="Figure 6 shows students’ Grade Point Average (GPA) in 2019 and 2020. In semester two 2019, the GPA for students in the control group was 5.2 compared to 5.5 for the mentoring program. In semester one 2020, the control group GPA was 5.3, compared to 5.5 for the mentoring program." title="Figure 6: Figure 6: Impact on students’ Grade Point Average (GPA) in 2019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46675" cy="2780030"/>
                    </a:xfrm>
                    <a:prstGeom prst="rect">
                      <a:avLst/>
                    </a:prstGeom>
                    <a:noFill/>
                    <a:ln>
                      <a:noFill/>
                    </a:ln>
                  </pic:spPr>
                </pic:pic>
              </a:graphicData>
            </a:graphic>
          </wp:inline>
        </w:drawing>
      </w:r>
    </w:p>
    <w:p w14:paraId="5B64FC42" w14:textId="2937D858" w:rsidR="00E824AB" w:rsidRPr="005B16CC" w:rsidRDefault="00E824AB" w:rsidP="00C6247D">
      <w:pPr>
        <w:spacing w:before="0" w:line="240" w:lineRule="exact"/>
        <w:rPr>
          <w:sz w:val="16"/>
        </w:rPr>
      </w:pPr>
      <w:r w:rsidRPr="005B16CC">
        <w:rPr>
          <w:sz w:val="16"/>
        </w:rPr>
        <w:t>N=88 (N</w:t>
      </w:r>
      <w:r w:rsidRPr="00EC0422">
        <w:rPr>
          <w:sz w:val="16"/>
          <w:vertAlign w:val="subscript"/>
        </w:rPr>
        <w:t>C</w:t>
      </w:r>
      <w:r w:rsidRPr="005B16CC">
        <w:rPr>
          <w:sz w:val="16"/>
        </w:rPr>
        <w:t>=33, N</w:t>
      </w:r>
      <w:r w:rsidRPr="00EC0422">
        <w:rPr>
          <w:sz w:val="16"/>
          <w:vertAlign w:val="subscript"/>
        </w:rPr>
        <w:t>T</w:t>
      </w:r>
      <w:r w:rsidRPr="005B16CC">
        <w:rPr>
          <w:sz w:val="16"/>
        </w:rPr>
        <w:t>=55). Maximum GPA is 7 points</w:t>
      </w:r>
      <w:r w:rsidR="00050332" w:rsidRPr="005B16CC">
        <w:rPr>
          <w:sz w:val="16"/>
        </w:rPr>
        <w:t>, equivalent to a High Distinction</w:t>
      </w:r>
      <w:r w:rsidRPr="005B16CC">
        <w:rPr>
          <w:sz w:val="16"/>
        </w:rPr>
        <w:t xml:space="preserve">. Results from </w:t>
      </w:r>
      <w:r w:rsidR="00645425">
        <w:rPr>
          <w:sz w:val="16"/>
        </w:rPr>
        <w:t xml:space="preserve">a </w:t>
      </w:r>
      <w:r w:rsidR="00EC0422">
        <w:rPr>
          <w:sz w:val="16"/>
        </w:rPr>
        <w:t>covariate</w:t>
      </w:r>
      <w:r w:rsidR="00EC0422">
        <w:rPr>
          <w:sz w:val="16"/>
        </w:rPr>
        <w:noBreakHyphen/>
      </w:r>
      <w:r w:rsidRPr="005B16CC">
        <w:rPr>
          <w:sz w:val="16"/>
        </w:rPr>
        <w:t xml:space="preserve">adjusted OLS regression. </w:t>
      </w:r>
      <w:r w:rsidR="00C6095B">
        <w:rPr>
          <w:sz w:val="16"/>
        </w:rPr>
        <w:t>For semester two 2019, t</w:t>
      </w:r>
      <w:r w:rsidRPr="005B16CC">
        <w:rPr>
          <w:sz w:val="16"/>
        </w:rPr>
        <w:t xml:space="preserve">he difference </w:t>
      </w:r>
      <w:r w:rsidR="00050332" w:rsidRPr="005B16CC">
        <w:rPr>
          <w:sz w:val="16"/>
        </w:rPr>
        <w:t>is 0.3</w:t>
      </w:r>
      <w:r w:rsidR="00EC0422">
        <w:rPr>
          <w:sz w:val="16"/>
        </w:rPr>
        <w:t>2</w:t>
      </w:r>
      <w:r w:rsidR="00050332" w:rsidRPr="005B16CC">
        <w:rPr>
          <w:sz w:val="16"/>
        </w:rPr>
        <w:t> </w:t>
      </w:r>
      <w:r w:rsidRPr="005B16CC">
        <w:rPr>
          <w:sz w:val="16"/>
        </w:rPr>
        <w:t>units (p=0.</w:t>
      </w:r>
      <w:r w:rsidR="00EC0422">
        <w:rPr>
          <w:sz w:val="16"/>
        </w:rPr>
        <w:t>10</w:t>
      </w:r>
      <w:r w:rsidRPr="005B16CC">
        <w:rPr>
          <w:sz w:val="16"/>
        </w:rPr>
        <w:t>, one-sided test</w:t>
      </w:r>
      <w:r w:rsidR="00DC1A4D" w:rsidRPr="005B16CC">
        <w:rPr>
          <w:sz w:val="16"/>
        </w:rPr>
        <w:t>)</w:t>
      </w:r>
      <w:r w:rsidR="00C6095B">
        <w:rPr>
          <w:sz w:val="16"/>
        </w:rPr>
        <w:t xml:space="preserve"> and for semester one 2020, the difference is 0.</w:t>
      </w:r>
      <w:r w:rsidR="00EC0422">
        <w:rPr>
          <w:sz w:val="16"/>
        </w:rPr>
        <w:t>19</w:t>
      </w:r>
      <w:r w:rsidR="00C6095B">
        <w:rPr>
          <w:sz w:val="16"/>
        </w:rPr>
        <w:t xml:space="preserve"> (p=0.20, one-sided test)</w:t>
      </w:r>
      <w:r w:rsidR="00D313B7" w:rsidRPr="005B16CC">
        <w:rPr>
          <w:sz w:val="16"/>
        </w:rPr>
        <w:t>.</w:t>
      </w:r>
      <w:r w:rsidR="00050332" w:rsidRPr="005B16CC">
        <w:rPr>
          <w:sz w:val="16"/>
        </w:rPr>
        <w:t xml:space="preserve"> </w:t>
      </w:r>
      <w:r w:rsidR="00B31B51" w:rsidRPr="005B16CC">
        <w:rPr>
          <w:sz w:val="16"/>
        </w:rPr>
        <w:t xml:space="preserve">This outcome variable was </w:t>
      </w:r>
      <w:r w:rsidR="00B31B51" w:rsidRPr="00C6247D">
        <w:rPr>
          <w:sz w:val="16"/>
        </w:rPr>
        <w:t>not</w:t>
      </w:r>
      <w:r w:rsidR="00B31B51" w:rsidRPr="005B16CC">
        <w:rPr>
          <w:sz w:val="16"/>
        </w:rPr>
        <w:t xml:space="preserve"> pre</w:t>
      </w:r>
      <w:r w:rsidR="00B31B51">
        <w:rPr>
          <w:sz w:val="16"/>
        </w:rPr>
        <w:noBreakHyphen/>
      </w:r>
      <w:r w:rsidR="00B31B51" w:rsidRPr="005B16CC">
        <w:rPr>
          <w:sz w:val="16"/>
        </w:rPr>
        <w:t>specified</w:t>
      </w:r>
      <w:r w:rsidR="00B31B51">
        <w:rPr>
          <w:sz w:val="16"/>
        </w:rPr>
        <w:t xml:space="preserve"> so these results should be treated as exploratory</w:t>
      </w:r>
      <w:r w:rsidR="00B31B51" w:rsidRPr="005B16CC">
        <w:rPr>
          <w:sz w:val="16"/>
        </w:rPr>
        <w:t>.</w:t>
      </w:r>
    </w:p>
    <w:p w14:paraId="0905B6D3" w14:textId="5555F772" w:rsidR="00E824AB" w:rsidRPr="00E22129" w:rsidRDefault="00E824AB" w:rsidP="00E22129">
      <w:pPr>
        <w:pStyle w:val="Heading3"/>
      </w:pPr>
      <w:r w:rsidRPr="00E22129">
        <w:t>Students’ self-assessment of program impact</w:t>
      </w:r>
    </w:p>
    <w:p w14:paraId="5329B8A8" w14:textId="7895BDF7" w:rsidR="007C26DB" w:rsidRDefault="007C26DB" w:rsidP="007C26DB">
      <w:r>
        <w:t>We asked students, as part of the endline survey, for their assessment of whether the program had achieved its long</w:t>
      </w:r>
      <w:r>
        <w:noBreakHyphen/>
        <w:t>term objective of increasing the likelihood they would pursue a job in economics. Seventy per cent of respondents agreed with this statement (eight strongly agreed and another 13 somewhat agreed).</w:t>
      </w:r>
    </w:p>
    <w:p w14:paraId="51E874AF" w14:textId="7BE26ADE" w:rsidR="001A4452" w:rsidRDefault="00BE714D" w:rsidP="001A4452">
      <w:r>
        <w:t>We hypothesised mentoring would increase decisions to pursue economics through several mechanisms, including a better understanding of: the practical application of economics, and the possible career paths for economics graduates. Again, most respondents agreed they had a better understanding in both domains as a result of the mentoring program (Figure </w:t>
      </w:r>
      <w:r w:rsidR="007422A4">
        <w:t>7</w:t>
      </w:r>
      <w:r>
        <w:t>). This was also reflected in</w:t>
      </w:r>
      <w:r w:rsidR="001A4452">
        <w:t xml:space="preserve"> students’</w:t>
      </w:r>
      <w:r>
        <w:t xml:space="preserve"> free</w:t>
      </w:r>
      <w:r>
        <w:noBreakHyphen/>
        <w:t>text responses</w:t>
      </w:r>
      <w:r w:rsidR="001A4452">
        <w:t>, such as:</w:t>
      </w:r>
      <w:r>
        <w:t xml:space="preserve"> </w:t>
      </w:r>
    </w:p>
    <w:p w14:paraId="3BF2CF7F" w14:textId="6F77404D" w:rsidR="001A4452" w:rsidRDefault="001A4452" w:rsidP="001A4452">
      <w:pPr>
        <w:ind w:left="720"/>
      </w:pPr>
      <w:r>
        <w:t xml:space="preserve">student: </w:t>
      </w:r>
      <w:r w:rsidR="00BE714D">
        <w:t>‘</w:t>
      </w:r>
      <w:r w:rsidR="00BE714D" w:rsidRPr="00BE714D">
        <w:t>all in all I loved the program, it opened my eyes to the actual real world of economics and career prospects</w:t>
      </w:r>
      <w:r w:rsidR="00BE714D">
        <w:t>’</w:t>
      </w:r>
    </w:p>
    <w:p w14:paraId="666440DC" w14:textId="685C23B5" w:rsidR="00BE714D" w:rsidRDefault="001A4452" w:rsidP="001A4452">
      <w:pPr>
        <w:ind w:left="720"/>
      </w:pPr>
      <w:r>
        <w:t xml:space="preserve">student: ‘[it] was </w:t>
      </w:r>
      <w:r w:rsidRPr="00BD41AC">
        <w:t xml:space="preserve">excellent to hear about her career and </w:t>
      </w:r>
      <w:r>
        <w:t>experience’</w:t>
      </w:r>
    </w:p>
    <w:p w14:paraId="4D421FDE" w14:textId="16510837" w:rsidR="001A4452" w:rsidRDefault="001A4452" w:rsidP="001A4452">
      <w:pPr>
        <w:ind w:left="720"/>
      </w:pPr>
      <w:r>
        <w:t>mentor: ‘</w:t>
      </w:r>
      <w:r w:rsidRPr="001A4452">
        <w:t>the meetings were effective at engaging on potential job opportunities and just general discussion to highlight life as an economist</w:t>
      </w:r>
      <w:r>
        <w:t xml:space="preserve">’ </w:t>
      </w:r>
    </w:p>
    <w:p w14:paraId="740C1A2B" w14:textId="3357D184" w:rsidR="00197EBC" w:rsidRPr="00164353" w:rsidRDefault="00BF743C" w:rsidP="00BF743C">
      <w:pPr>
        <w:pStyle w:val="FigureHeading"/>
        <w:numPr>
          <w:ilvl w:val="0"/>
          <w:numId w:val="0"/>
        </w:numPr>
        <w:ind w:left="1430" w:hanging="720"/>
        <w:outlineLvl w:val="3"/>
        <w:rPr>
          <w:iCs/>
        </w:rPr>
      </w:pPr>
      <w:r w:rsidRPr="00164353">
        <w:t xml:space="preserve">Figure 7: </w:t>
      </w:r>
      <w:r w:rsidR="004F67F0" w:rsidRPr="00E824AB">
        <w:rPr>
          <w:iCs/>
        </w:rPr>
        <w:t xml:space="preserve">Self-reported impact of the mentoring program </w:t>
      </w:r>
    </w:p>
    <w:p w14:paraId="44F69EA8" w14:textId="7193669F" w:rsidR="008F4C63" w:rsidRPr="00164353" w:rsidRDefault="00164353" w:rsidP="00164353">
      <w:pPr>
        <w:keepNext/>
      </w:pPr>
      <w:r w:rsidRPr="00164353">
        <w:rPr>
          <w:noProof/>
        </w:rPr>
        <w:drawing>
          <wp:inline distT="0" distB="0" distL="0" distR="0" wp14:anchorId="3B63A466" wp14:editId="0D06D0B9">
            <wp:extent cx="5130800" cy="2647950"/>
            <wp:effectExtent l="0" t="0" r="0" b="0"/>
            <wp:docPr id="5" name="Picture 5" descr="Figure 7 shows students’ survey responses to three questions regarding the program’s impact. 21 out of 38 agreed they had a better understanding of the practical application of economics studies as a result of the mentoring program. 22 out of 38 agreed they had a better understanding of the possible career paths for an economics graduate as a result of the mentoring program. 23 out of 38 said they were more likely to pursue a job in economics as a result of the mentoring program.  " title="Figure 7: Self-reported impact of the mentoring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0800" cy="2647950"/>
                    </a:xfrm>
                    <a:prstGeom prst="rect">
                      <a:avLst/>
                    </a:prstGeom>
                    <a:noFill/>
                    <a:ln>
                      <a:noFill/>
                    </a:ln>
                  </pic:spPr>
                </pic:pic>
              </a:graphicData>
            </a:graphic>
          </wp:inline>
        </w:drawing>
      </w:r>
    </w:p>
    <w:p w14:paraId="7EE9B382" w14:textId="24A0B96F" w:rsidR="00737671" w:rsidRPr="00EC0422" w:rsidRDefault="00EF7D4E" w:rsidP="00EC0422">
      <w:pPr>
        <w:spacing w:before="0" w:line="240" w:lineRule="exact"/>
        <w:rPr>
          <w:sz w:val="16"/>
        </w:rPr>
      </w:pPr>
      <w:r>
        <w:rPr>
          <w:sz w:val="16"/>
        </w:rPr>
        <w:t>Endline survey (Aug</w:t>
      </w:r>
      <w:r>
        <w:rPr>
          <w:sz w:val="16"/>
        </w:rPr>
        <w:noBreakHyphen/>
        <w:t xml:space="preserve">Sep 2019). </w:t>
      </w:r>
      <w:r w:rsidR="00737671" w:rsidRPr="00EC0422">
        <w:rPr>
          <w:sz w:val="16"/>
        </w:rPr>
        <w:t xml:space="preserve">Questions: </w:t>
      </w:r>
      <w:r w:rsidR="005360AA" w:rsidRPr="00EC0422">
        <w:rPr>
          <w:sz w:val="16"/>
        </w:rPr>
        <w:t xml:space="preserve">I have a better understanding of … </w:t>
      </w:r>
      <w:r w:rsidR="00737671" w:rsidRPr="00EC0422">
        <w:rPr>
          <w:sz w:val="16"/>
        </w:rPr>
        <w:t>1. the practical application of my economics studies as a result of the mentoring program. 2. the possible career paths for an economics graduate as a result of the mentoring program. 3.</w:t>
      </w:r>
      <w:r w:rsidR="005360AA" w:rsidRPr="00EC0422">
        <w:rPr>
          <w:sz w:val="16"/>
        </w:rPr>
        <w:t> </w:t>
      </w:r>
      <w:r w:rsidR="00737671" w:rsidRPr="00EC0422">
        <w:rPr>
          <w:sz w:val="16"/>
        </w:rPr>
        <w:t>I am more likely to pursue a job in economics as a result of the mentoring program.</w:t>
      </w:r>
    </w:p>
    <w:p w14:paraId="17FD6DAD" w14:textId="63AF9160" w:rsidR="00FE6757" w:rsidRDefault="00FE6757" w:rsidP="00FE6757">
      <w:r>
        <w:t>These assessments have limitations. Stated intentions may not be a reliable indicator of future decisions, and there may be a tendency for respondents to tell us what we wanted to hear. Further, the students who responded to the survey may have had more positive experiences</w:t>
      </w:r>
      <w:r w:rsidR="00DC1A83">
        <w:t xml:space="preserve">, which would lead to an overstatement of </w:t>
      </w:r>
      <w:r>
        <w:t xml:space="preserve">the program’s impacts. Nonetheless, these responses suggest the program was effective for at least a </w:t>
      </w:r>
      <w:r w:rsidR="007C4693">
        <w:t xml:space="preserve">substantial </w:t>
      </w:r>
      <w:r>
        <w:t>minority of students.</w:t>
      </w:r>
    </w:p>
    <w:p w14:paraId="6D348A99" w14:textId="25C567DB" w:rsidR="00141458" w:rsidRDefault="00141458" w:rsidP="00720FBB">
      <w:pPr>
        <w:pStyle w:val="Heading3"/>
      </w:pPr>
      <w:r>
        <w:t>Student experiences</w:t>
      </w:r>
    </w:p>
    <w:p w14:paraId="4091124D" w14:textId="7350DD9C" w:rsidR="00976281" w:rsidRDefault="00976281" w:rsidP="00976281">
      <w:r>
        <w:t>Student respondents predominantly reported positive experiences</w:t>
      </w:r>
      <w:r w:rsidR="00BE714D">
        <w:t xml:space="preserve"> with the mentoring program</w:t>
      </w:r>
      <w:r>
        <w:t xml:space="preserve">: </w:t>
      </w:r>
      <w:r w:rsidR="00BE714D">
        <w:t>most (</w:t>
      </w:r>
      <w:r>
        <w:t>25</w:t>
      </w:r>
      <w:r w:rsidR="00BE714D">
        <w:t xml:space="preserve">, or </w:t>
      </w:r>
      <w:r>
        <w:t>83</w:t>
      </w:r>
      <w:r w:rsidR="00BC2A59">
        <w:t xml:space="preserve"> per cent</w:t>
      </w:r>
      <w:r>
        <w:t xml:space="preserve">) rated their meetings as ‘excellent’ or ‘good’, </w:t>
      </w:r>
      <w:r w:rsidR="00BE714D">
        <w:t>and two</w:t>
      </w:r>
      <w:r w:rsidR="00BE714D">
        <w:noBreakHyphen/>
        <w:t>thirds (</w:t>
      </w:r>
      <w:r>
        <w:t>20</w:t>
      </w:r>
      <w:r w:rsidR="00BE714D">
        <w:t>, or</w:t>
      </w:r>
      <w:r>
        <w:t xml:space="preserve"> 67</w:t>
      </w:r>
      <w:r w:rsidR="00BC2A59">
        <w:t xml:space="preserve"> per cent</w:t>
      </w:r>
      <w:r>
        <w:t>) were ‘very satisfied’ with the mentor they were matched with</w:t>
      </w:r>
      <w:r w:rsidR="00BE714D">
        <w:t xml:space="preserve">. Further, </w:t>
      </w:r>
      <w:r>
        <w:t>responses to free</w:t>
      </w:r>
      <w:r>
        <w:noBreakHyphen/>
        <w:t xml:space="preserve">text questions mostly expressed positive sentiments. While these are encouraging signs for the program, they probably also reflect </w:t>
      </w:r>
      <w:r w:rsidR="001B5E58">
        <w:t xml:space="preserve">a </w:t>
      </w:r>
      <w:r>
        <w:t>bias</w:t>
      </w:r>
      <w:r w:rsidR="001B5E58">
        <w:t>—noted above—</w:t>
      </w:r>
      <w:r>
        <w:t>in responses</w:t>
      </w:r>
      <w:r w:rsidR="001B5E58">
        <w:t xml:space="preserve"> </w:t>
      </w:r>
      <w:r>
        <w:t>from students who had a favourable experience.</w:t>
      </w:r>
    </w:p>
    <w:p w14:paraId="21BF96EF" w14:textId="4C2516FF" w:rsidR="00976281" w:rsidRDefault="00976281" w:rsidP="00FE6757">
      <w:r>
        <w:t>Students who responded to free</w:t>
      </w:r>
      <w:r>
        <w:noBreakHyphen/>
        <w:t>text questions focused on suggestions for how the program could be improved. Early on, several suggestions related to e</w:t>
      </w:r>
      <w:r w:rsidRPr="00CD43B4">
        <w:t xml:space="preserve">stablishing contact or maintaining communication with their mentor. Specific suggestions included: discussion topics for the first meeting, initial contact from the mentor, or setting a default meeting venue. </w:t>
      </w:r>
      <w:r>
        <w:t xml:space="preserve">Some students asked for more detail in the guidance material. </w:t>
      </w:r>
    </w:p>
    <w:p w14:paraId="5FD69A09" w14:textId="77777777" w:rsidR="009A6D43" w:rsidRDefault="009A6D43">
      <w:pPr>
        <w:spacing w:before="0" w:after="0" w:line="240" w:lineRule="auto"/>
        <w:rPr>
          <w:b/>
          <w:color w:val="FFFFFF" w:themeColor="background1"/>
          <w:sz w:val="22"/>
          <w:szCs w:val="22"/>
        </w:rPr>
      </w:pPr>
      <w:r>
        <w:rPr>
          <w:b/>
          <w:color w:val="FFFFFF" w:themeColor="background1"/>
          <w:sz w:val="22"/>
          <w:szCs w:val="22"/>
        </w:rPr>
        <w:br w:type="page"/>
      </w:r>
    </w:p>
    <w:p w14:paraId="57977567" w14:textId="0DC87FAC" w:rsidR="004E7990" w:rsidRPr="004E7990" w:rsidRDefault="004E7990" w:rsidP="003F7E2C">
      <w:pPr>
        <w:keepNext/>
        <w:pBdr>
          <w:top w:val="single" w:sz="4" w:space="5" w:color="auto"/>
          <w:left w:val="single" w:sz="4" w:space="10" w:color="auto"/>
          <w:bottom w:val="single" w:sz="4" w:space="5" w:color="auto"/>
          <w:right w:val="single" w:sz="4" w:space="10" w:color="auto"/>
        </w:pBdr>
        <w:shd w:val="clear" w:color="auto" w:fill="23316C"/>
        <w:spacing w:after="0"/>
        <w:rPr>
          <w:b/>
          <w:color w:val="FFFFFF" w:themeColor="background1"/>
          <w:sz w:val="22"/>
          <w:szCs w:val="22"/>
        </w:rPr>
      </w:pPr>
      <w:r w:rsidRPr="004E7990">
        <w:rPr>
          <w:b/>
          <w:color w:val="FFFFFF" w:themeColor="background1"/>
          <w:sz w:val="22"/>
          <w:szCs w:val="22"/>
        </w:rPr>
        <w:t>Box 3: Students had positive experiences …</w:t>
      </w:r>
    </w:p>
    <w:p w14:paraId="687FCCCD" w14:textId="77777777" w:rsidR="004E7990" w:rsidRPr="004E7990" w:rsidRDefault="004E7990"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rsidRPr="004E7990">
        <w:t>‘I had an incredible experience with my mentor and would recommend the program to anyone in a heartbeat’</w:t>
      </w:r>
    </w:p>
    <w:p w14:paraId="09E0D341" w14:textId="77777777" w:rsidR="004E7990" w:rsidRPr="004E7990" w:rsidRDefault="004E7990"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rsidRPr="004E7990">
        <w:t>‘The networking events were great as I met a lot of cool people, both mentors and mentees. But I would have loved to have a FB group or at least a contact list … so I could connect a bit better with them …. This would have helped me make more friends in the program. … Anyway, all in all I loved the program, it opened my eyes to the actual real world of economics and career prospects etc and I really want to thank you for putting it all together!’</w:t>
      </w:r>
    </w:p>
    <w:p w14:paraId="111524FB" w14:textId="77777777" w:rsidR="004E7990" w:rsidRPr="004E7990" w:rsidRDefault="004E7990"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rsidRPr="004E7990">
        <w:t>‘The best event was the speed networking event; more of this sort of activity would be very helpful.’</w:t>
      </w:r>
    </w:p>
    <w:p w14:paraId="733865C8" w14:textId="77777777" w:rsidR="004E7990" w:rsidRPr="004E7990" w:rsidRDefault="004E7990"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rsidRPr="004E7990">
        <w:t>‘Was excellent to hear about her career and experience’</w:t>
      </w:r>
    </w:p>
    <w:p w14:paraId="55A59720" w14:textId="77777777" w:rsidR="004E7990" w:rsidRPr="004E7990" w:rsidRDefault="004E7990"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rsidRPr="004E7990">
        <w:t>‘My mentor was extremely upbeat, positive and cool – not something I expected from someone working in economics’</w:t>
      </w:r>
    </w:p>
    <w:p w14:paraId="4CA38F00" w14:textId="77777777" w:rsidR="004E7990" w:rsidRPr="004E7990" w:rsidRDefault="004E7990"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rsidRPr="004E7990">
        <w:t>‘I appreciated how friendly and kind my mentor was and that she evidently wants to help me’</w:t>
      </w:r>
    </w:p>
    <w:p w14:paraId="39B1CDD0" w14:textId="77777777" w:rsidR="004E7990" w:rsidRPr="004E7990" w:rsidRDefault="004E7990"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rsidRPr="004E7990">
        <w:t>‘Lots of great take home messages’</w:t>
      </w:r>
    </w:p>
    <w:p w14:paraId="75318418" w14:textId="77777777" w:rsidR="004E7990" w:rsidRPr="004E7990" w:rsidRDefault="004E7990"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rsidRPr="004E7990">
        <w:t>‘The networking event was a great way to personally meet and be exposed to multiple mentors’</w:t>
      </w:r>
    </w:p>
    <w:p w14:paraId="7CB0B34F" w14:textId="77905B1F" w:rsidR="006F28A9" w:rsidRDefault="004E7990"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rsidRPr="004E7990">
        <w:t>‘Meeting the other mentors at the networking event was really motivating for my studies’</w:t>
      </w:r>
    </w:p>
    <w:p w14:paraId="7804A45A" w14:textId="77777777" w:rsidR="004E7990" w:rsidRPr="004E7990" w:rsidRDefault="004E7990" w:rsidP="004E7990"/>
    <w:p w14:paraId="08C72A91" w14:textId="77777777" w:rsidR="004E7990" w:rsidRPr="004E7990" w:rsidRDefault="004E7990" w:rsidP="003F7E2C">
      <w:pPr>
        <w:keepNext/>
        <w:pBdr>
          <w:top w:val="single" w:sz="4" w:space="5" w:color="auto"/>
          <w:left w:val="single" w:sz="4" w:space="10" w:color="auto"/>
          <w:bottom w:val="single" w:sz="4" w:space="5" w:color="auto"/>
          <w:right w:val="single" w:sz="4" w:space="10" w:color="auto"/>
        </w:pBdr>
        <w:shd w:val="clear" w:color="auto" w:fill="23316C"/>
        <w:spacing w:after="0"/>
        <w:rPr>
          <w:b/>
          <w:color w:val="FFFFFF" w:themeColor="background1"/>
          <w:sz w:val="22"/>
          <w:szCs w:val="22"/>
        </w:rPr>
      </w:pPr>
      <w:r w:rsidRPr="004E7990">
        <w:rPr>
          <w:b/>
          <w:color w:val="FFFFFF" w:themeColor="background1"/>
          <w:sz w:val="22"/>
          <w:szCs w:val="22"/>
        </w:rPr>
        <w:t>Box 4: … and negative experiences</w:t>
      </w:r>
    </w:p>
    <w:p w14:paraId="5BB8A5F6" w14:textId="77777777" w:rsidR="004E7990" w:rsidRPr="004E7990" w:rsidRDefault="004E7990"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rsidRPr="004E7990">
        <w:t>‘One of the mentors at the Speed Networking event was incredibly rude about my career prospects directly telling me that I had no chance of getting a job out of university as I also studied a Science degree. … She did not offer any suggestions on how I could improve my prospects in any way, instead just ridiculed my degree choice. … This experience ruined the whole program for me, which up until that point had been a good experience.’</w:t>
      </w:r>
    </w:p>
    <w:p w14:paraId="55C3AB6D" w14:textId="77777777" w:rsidR="004E7990" w:rsidRPr="004E7990" w:rsidRDefault="004E7990"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rsidRPr="004E7990">
        <w:t>‘I think conducting pre-workshops for mentees, and providing related guiding materials would be helpful. Otherwise, I, as a mentee, felt somehow lost and could not really find a topic to talk about with mentor.’</w:t>
      </w:r>
    </w:p>
    <w:p w14:paraId="4E94655D" w14:textId="77777777" w:rsidR="004E7990" w:rsidRPr="004E7990" w:rsidRDefault="004E7990"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rsidRPr="004E7990">
        <w:t>‘Select better mentees. I have very little interest in economics (only signed up for this for my resume) - we had nothing to talk about as I have no interest in a career in economics.’</w:t>
      </w:r>
    </w:p>
    <w:p w14:paraId="2E0188C9" w14:textId="77777777" w:rsidR="004E7990" w:rsidRPr="004E7990" w:rsidRDefault="004E7990"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rsidRPr="004E7990">
        <w:t>‘I still have not been contacted by my mentor and I am very disappointed’</w:t>
      </w:r>
    </w:p>
    <w:p w14:paraId="00AA2CD0" w14:textId="0BE9655C" w:rsidR="004E7990" w:rsidRPr="004E7990" w:rsidRDefault="004E7990"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rsidRPr="004E7990">
        <w:t>‘I didn’t know what to talk about’</w:t>
      </w:r>
    </w:p>
    <w:p w14:paraId="54E5A545" w14:textId="739D9D58" w:rsidR="00D313B7" w:rsidRPr="001B5E58" w:rsidRDefault="00D313B7" w:rsidP="00EC0422">
      <w:pPr>
        <w:spacing w:before="0" w:line="240" w:lineRule="exact"/>
        <w:rPr>
          <w:sz w:val="16"/>
        </w:rPr>
      </w:pPr>
      <w:r w:rsidRPr="001B5E58">
        <w:rPr>
          <w:sz w:val="16"/>
        </w:rPr>
        <w:t>Response rates to free</w:t>
      </w:r>
      <w:r w:rsidRPr="001B5E58">
        <w:rPr>
          <w:sz w:val="16"/>
        </w:rPr>
        <w:noBreakHyphen/>
        <w:t>text questions: For the midline survey, 15 students (50%) responded to questions about their first meeting and their experience of the mentoring program so far. For the final survey, 17 students (57% of respondents) gave us their suggestions for how the program could be i</w:t>
      </w:r>
      <w:r w:rsidR="001B5E58">
        <w:rPr>
          <w:sz w:val="16"/>
        </w:rPr>
        <w:t>mproved.</w:t>
      </w:r>
    </w:p>
    <w:p w14:paraId="13B60CB7" w14:textId="0DFEF18A" w:rsidR="00141458" w:rsidRDefault="00141458" w:rsidP="00720FBB">
      <w:pPr>
        <w:pStyle w:val="Heading3"/>
      </w:pPr>
      <w:r>
        <w:t>Mentor experiences</w:t>
      </w:r>
    </w:p>
    <w:p w14:paraId="65C30B00" w14:textId="0374E984" w:rsidR="00436A4E" w:rsidRDefault="00436A4E" w:rsidP="00976281">
      <w:r>
        <w:t>We asked mentors for their assessment of h</w:t>
      </w:r>
      <w:r w:rsidRPr="00436A4E">
        <w:t xml:space="preserve">ow effective </w:t>
      </w:r>
      <w:r>
        <w:t xml:space="preserve">they thought </w:t>
      </w:r>
      <w:r w:rsidRPr="00436A4E">
        <w:t xml:space="preserve">the mentoring meetings </w:t>
      </w:r>
      <w:r>
        <w:t xml:space="preserve">had </w:t>
      </w:r>
      <w:r w:rsidRPr="00436A4E">
        <w:t xml:space="preserve">been in inspiring </w:t>
      </w:r>
      <w:r>
        <w:t xml:space="preserve">students </w:t>
      </w:r>
      <w:r w:rsidRPr="00436A4E">
        <w:t xml:space="preserve">to continue </w:t>
      </w:r>
      <w:r>
        <w:t xml:space="preserve">with </w:t>
      </w:r>
      <w:r w:rsidRPr="00436A4E">
        <w:t>economics</w:t>
      </w:r>
      <w:r>
        <w:t xml:space="preserve">. This gave a mixed picture: 12 mentors (32 per cent) thought the mentoring had been very or extremely effective </w:t>
      </w:r>
      <w:r w:rsidR="004A4E75">
        <w:t>and another eight (22 per cent) thought it moderately effective. Ho</w:t>
      </w:r>
      <w:r>
        <w:t>wever 17 (or 46 per cent) judged it slightly or not at all effective.</w:t>
      </w:r>
      <w:r w:rsidR="004A4E75">
        <w:rPr>
          <w:rStyle w:val="FootnoteReference"/>
        </w:rPr>
        <w:footnoteReference w:id="6"/>
      </w:r>
    </w:p>
    <w:p w14:paraId="44E4FDDD" w14:textId="1608BFC3" w:rsidR="00FE6757" w:rsidRDefault="001A4452" w:rsidP="00976281">
      <w:r>
        <w:t>Mentors</w:t>
      </w:r>
      <w:r w:rsidR="00436A4E">
        <w:t>’</w:t>
      </w:r>
      <w:r>
        <w:t xml:space="preserve"> free</w:t>
      </w:r>
      <w:r>
        <w:noBreakHyphen/>
      </w:r>
      <w:r w:rsidR="00976281">
        <w:t>text responses were</w:t>
      </w:r>
      <w:r w:rsidR="00436A4E">
        <w:t xml:space="preserve"> similarly</w:t>
      </w:r>
      <w:r w:rsidR="00976281">
        <w:t xml:space="preserve"> mixed, with half expressing negative sentiments</w:t>
      </w:r>
      <w:r>
        <w:t xml:space="preserve"> about the program</w:t>
      </w:r>
      <w:r w:rsidR="00976281">
        <w:t>. Almost all of the negative sentiments related to concerns students appeared uninterested in mentoring. Several reported the student did not respond after the initial meeting (or even before). Consequently, many mentors suggested more careful screening of candidates is required.</w:t>
      </w:r>
      <w:r w:rsidR="00287792">
        <w:t xml:space="preserve"> O</w:t>
      </w:r>
      <w:r w:rsidR="007422A4">
        <w:t>ther mentors reported more positive experiences, both for the students and themselves.</w:t>
      </w:r>
    </w:p>
    <w:p w14:paraId="282144E8" w14:textId="77777777" w:rsidR="005D18BE" w:rsidRPr="005D18BE" w:rsidRDefault="005D18BE" w:rsidP="003F7E2C">
      <w:pPr>
        <w:keepNext/>
        <w:pBdr>
          <w:top w:val="single" w:sz="4" w:space="5" w:color="auto"/>
          <w:left w:val="single" w:sz="4" w:space="10" w:color="auto"/>
          <w:bottom w:val="single" w:sz="4" w:space="5" w:color="auto"/>
          <w:right w:val="single" w:sz="4" w:space="10" w:color="auto"/>
        </w:pBdr>
        <w:shd w:val="clear" w:color="auto" w:fill="23316C"/>
        <w:spacing w:after="0"/>
        <w:rPr>
          <w:b/>
          <w:color w:val="FFFFFF" w:themeColor="background1"/>
          <w:sz w:val="22"/>
          <w:szCs w:val="22"/>
        </w:rPr>
      </w:pPr>
      <w:r w:rsidRPr="005D18BE">
        <w:rPr>
          <w:b/>
          <w:color w:val="FFFFFF" w:themeColor="background1"/>
          <w:sz w:val="22"/>
          <w:szCs w:val="22"/>
        </w:rPr>
        <w:t>Box 5: Mentors – some notable success stories…</w:t>
      </w:r>
    </w:p>
    <w:p w14:paraId="1F5D344D" w14:textId="77777777" w:rsidR="005D18BE" w:rsidRDefault="005D18BE"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t>‘my mentee moved to [another university] halfway through the program but changed her major to economics and told me that my mentoring was a significant factor in this decision. … My student was genuinely interested in being mentored and came prepared with some ideas for discussion.’</w:t>
      </w:r>
    </w:p>
    <w:p w14:paraId="55AC3467" w14:textId="77777777" w:rsidR="005D18BE" w:rsidRDefault="005D18BE"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t>‘My mentee was very engaged and clearly understood what she sought to gain out of the mentor/mentee engagement, which was very helpful.’</w:t>
      </w:r>
    </w:p>
    <w:p w14:paraId="4A6349BB" w14:textId="77777777" w:rsidR="005D18BE" w:rsidRDefault="005D18BE"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t xml:space="preserve">‘While there wasn't always enough specific economic study issues to discuss, the meetings were effective at engaging on potential job opportunities and just general discussion to highlight life as an economist. … I plan to continue mentoring my student …’ </w:t>
      </w:r>
    </w:p>
    <w:p w14:paraId="7BA91AD0" w14:textId="586E3A77" w:rsidR="00FE6757" w:rsidRDefault="005D18BE"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t>‘I really enjoyed the opportunity to meet young women starting their careers as economist. I would not otherwise have an avenue to meet these women and I thoroughly enjoyed the program. I hope the mentees feel the same. The program was very well run and I hope it continues.’</w:t>
      </w:r>
    </w:p>
    <w:p w14:paraId="17C5C651" w14:textId="77777777" w:rsidR="005D18BE" w:rsidRDefault="005D18BE" w:rsidP="005D18BE"/>
    <w:p w14:paraId="7AB42DF7" w14:textId="77777777" w:rsidR="009A6D43" w:rsidRDefault="009A6D43">
      <w:pPr>
        <w:spacing w:before="0" w:after="0" w:line="240" w:lineRule="auto"/>
        <w:rPr>
          <w:b/>
          <w:color w:val="FFFFFF" w:themeColor="background1"/>
          <w:sz w:val="22"/>
          <w:szCs w:val="22"/>
        </w:rPr>
      </w:pPr>
      <w:r>
        <w:rPr>
          <w:b/>
          <w:color w:val="FFFFFF" w:themeColor="background1"/>
          <w:sz w:val="22"/>
          <w:szCs w:val="22"/>
        </w:rPr>
        <w:br w:type="page"/>
      </w:r>
    </w:p>
    <w:p w14:paraId="10A1ED77" w14:textId="2F3E0E37" w:rsidR="005D18BE" w:rsidRPr="005D18BE" w:rsidRDefault="005D18BE" w:rsidP="003F7E2C">
      <w:pPr>
        <w:keepNext/>
        <w:pBdr>
          <w:top w:val="single" w:sz="4" w:space="5" w:color="auto"/>
          <w:left w:val="single" w:sz="4" w:space="10" w:color="auto"/>
          <w:bottom w:val="single" w:sz="4" w:space="5" w:color="auto"/>
          <w:right w:val="single" w:sz="4" w:space="10" w:color="auto"/>
        </w:pBdr>
        <w:shd w:val="clear" w:color="auto" w:fill="23316C"/>
        <w:spacing w:after="0"/>
        <w:rPr>
          <w:b/>
          <w:color w:val="FFFFFF" w:themeColor="background1"/>
          <w:sz w:val="22"/>
          <w:szCs w:val="22"/>
        </w:rPr>
      </w:pPr>
      <w:r w:rsidRPr="005D18BE">
        <w:rPr>
          <w:b/>
          <w:color w:val="FFFFFF" w:themeColor="background1"/>
          <w:sz w:val="22"/>
          <w:szCs w:val="22"/>
        </w:rPr>
        <w:t>Box 6: … but many mentors found students were uninterested</w:t>
      </w:r>
    </w:p>
    <w:p w14:paraId="2F1FA873" w14:textId="77777777" w:rsidR="005D18BE" w:rsidRPr="005D18BE" w:rsidRDefault="005D18BE"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rsidRPr="005D18BE">
        <w:t>‘My mentee appeared uninterested in being mentored by me, or in the program. It was quite disappointing that after our first meeting she came to no further meetings or events.’</w:t>
      </w:r>
    </w:p>
    <w:p w14:paraId="6C8E22C9" w14:textId="77777777" w:rsidR="005D18BE" w:rsidRPr="005D18BE" w:rsidRDefault="005D18BE"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rsidRPr="005D18BE">
        <w:t>‘I felt that the mentee was not coming to our meetings with any thoughts about what they wanted help with or issues that they wanted to discuss.  The mentee did not seem very engaged in the process, other than to ask me to be a referee for applications.’</w:t>
      </w:r>
    </w:p>
    <w:p w14:paraId="23D95F26" w14:textId="77777777" w:rsidR="005D18BE" w:rsidRPr="005D18BE" w:rsidRDefault="005D18BE"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rsidRPr="005D18BE">
        <w:t>‘Mentee was not engaged and, even for the one meeting held, had to be chased. Economics was not her primary interest.’</w:t>
      </w:r>
    </w:p>
    <w:p w14:paraId="6523FE75" w14:textId="77777777" w:rsidR="005D18BE" w:rsidRPr="005D18BE" w:rsidRDefault="005D18BE"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rsidRPr="005D18BE">
        <w:t>‘I attempted to arrange follow up meetings but never heard back from mentee.’</w:t>
      </w:r>
    </w:p>
    <w:p w14:paraId="60AE957F" w14:textId="30E5BD8D" w:rsidR="005D18BE" w:rsidRPr="005D18BE" w:rsidRDefault="005D18BE" w:rsidP="003F7E2C">
      <w:pPr>
        <w:pBdr>
          <w:top w:val="single" w:sz="4" w:space="5" w:color="F2F2F2" w:themeColor="background1" w:themeShade="F2"/>
          <w:left w:val="single" w:sz="4" w:space="10" w:color="F2F2F2" w:themeColor="background1" w:themeShade="F2"/>
          <w:bottom w:val="single" w:sz="4" w:space="5" w:color="F2F2F2" w:themeColor="background1" w:themeShade="F2"/>
          <w:right w:val="single" w:sz="4" w:space="10" w:color="F2F2F2" w:themeColor="background1" w:themeShade="F2"/>
        </w:pBdr>
        <w:shd w:val="clear" w:color="auto" w:fill="F2F2F2" w:themeFill="background1" w:themeFillShade="F2"/>
        <w:spacing w:before="0"/>
      </w:pPr>
      <w:r w:rsidRPr="005D18BE">
        <w:t>‘My mentee was … studying a master of accounting and had selected me as a mentor because … she thought I would be able to help her with getting an accounting position in a big 4 accounting firm. Our meeting was pleasant and we discussed general workplace issues - such as how to apply for jobs and the benefits of internships. It was disappointing that someone not studying economics was included in the program, I was keen to provide insights from my career and felt that I was not able to do that beyond general work issues.’</w:t>
      </w:r>
    </w:p>
    <w:p w14:paraId="3FA4D12B" w14:textId="304EF8E1" w:rsidR="00FE6757" w:rsidRPr="007422A4" w:rsidRDefault="00D313B7" w:rsidP="00EC0422">
      <w:pPr>
        <w:spacing w:before="0" w:line="240" w:lineRule="exact"/>
        <w:rPr>
          <w:sz w:val="16"/>
        </w:rPr>
      </w:pPr>
      <w:r w:rsidRPr="001B5E58">
        <w:rPr>
          <w:sz w:val="16"/>
        </w:rPr>
        <w:t>Response rates to free</w:t>
      </w:r>
      <w:r w:rsidRPr="001B5E58">
        <w:rPr>
          <w:sz w:val="16"/>
        </w:rPr>
        <w:noBreakHyphen/>
        <w:t>text questions: 33 mentors (87%) answered questions about the mentoring meetings and how the mento</w:t>
      </w:r>
      <w:r w:rsidR="001B5E58">
        <w:rPr>
          <w:sz w:val="16"/>
        </w:rPr>
        <w:t>ring program could be improved.</w:t>
      </w:r>
    </w:p>
    <w:p w14:paraId="21732B53" w14:textId="60601F95" w:rsidR="00BE714D" w:rsidRPr="00720FBB" w:rsidRDefault="00BE714D" w:rsidP="00E22129">
      <w:pPr>
        <w:pStyle w:val="Heading3"/>
      </w:pPr>
      <w:r w:rsidRPr="00720FBB">
        <w:rPr>
          <w:rStyle w:val="Heading2Char"/>
          <w:b/>
          <w:sz w:val="22"/>
          <w:szCs w:val="28"/>
        </w:rPr>
        <w:t xml:space="preserve">Students’ </w:t>
      </w:r>
      <w:r w:rsidR="00FE6757" w:rsidRPr="00720FBB">
        <w:rPr>
          <w:rStyle w:val="Heading2Char"/>
          <w:b/>
          <w:sz w:val="22"/>
          <w:szCs w:val="28"/>
        </w:rPr>
        <w:t xml:space="preserve">likelihood to continue with </w:t>
      </w:r>
      <w:r w:rsidRPr="00720FBB">
        <w:rPr>
          <w:rStyle w:val="Heading2Char"/>
          <w:b/>
          <w:sz w:val="22"/>
          <w:szCs w:val="28"/>
        </w:rPr>
        <w:t>economics studies</w:t>
      </w:r>
    </w:p>
    <w:p w14:paraId="3C6D36D5" w14:textId="3E2DF1D0" w:rsidR="00B446BE" w:rsidRDefault="00BE714D" w:rsidP="00BE714D">
      <w:r>
        <w:t>We asked students at baseline and endline about the</w:t>
      </w:r>
      <w:r w:rsidR="00B446BE">
        <w:t xml:space="preserve"> likelihood they would: </w:t>
      </w:r>
      <w:r>
        <w:t>continue with economics</w:t>
      </w:r>
      <w:r w:rsidR="00B446BE">
        <w:t xml:space="preserve"> </w:t>
      </w:r>
      <w:r>
        <w:t xml:space="preserve">the following year, </w:t>
      </w:r>
      <w:r w:rsidR="00B446BE">
        <w:t xml:space="preserve">complete </w:t>
      </w:r>
      <w:r>
        <w:t xml:space="preserve">an economics major, </w:t>
      </w:r>
      <w:r w:rsidR="00B446BE">
        <w:t xml:space="preserve">complete </w:t>
      </w:r>
      <w:r>
        <w:t xml:space="preserve">an economics degree, or </w:t>
      </w:r>
      <w:r w:rsidR="00B446BE">
        <w:t xml:space="preserve">pursue </w:t>
      </w:r>
      <w:r>
        <w:t>a career in economics.</w:t>
      </w:r>
      <w:r w:rsidR="00B446BE">
        <w:t xml:space="preserve"> We also asked them about their satisfaction with and confidence in their economics studies and, finally, </w:t>
      </w:r>
      <w:r w:rsidR="00731BC3">
        <w:t>how much they felt they knew about potential career pathways for economics graduates.</w:t>
      </w:r>
    </w:p>
    <w:p w14:paraId="39751164" w14:textId="1CDB1DAE" w:rsidR="00287792" w:rsidRDefault="00731BC3" w:rsidP="00BE714D">
      <w:r>
        <w:t>The results from these questions are presented in Appendix </w:t>
      </w:r>
      <w:r w:rsidR="00EC0422">
        <w:t>3</w:t>
      </w:r>
      <w:r>
        <w:t xml:space="preserve"> however they face two limitations. First, changes between baseline and endline for treatment and control groups may be confounded by the low and differential response rates to the endline survey. Second, some of the baseline responses seem implausible. For example, 93 per cent of students said it was very likely they would continue economics the following year when only 33 per cent of the control group subsequently did so. </w:t>
      </w:r>
      <w:r w:rsidR="00B84D8C">
        <w:t xml:space="preserve">In the application process, we sought to make </w:t>
      </w:r>
      <w:r w:rsidR="00B84D8C" w:rsidRPr="009B7B2E">
        <w:t>clear a</w:t>
      </w:r>
      <w:r w:rsidR="00B84D8C">
        <w:t>pplications</w:t>
      </w:r>
      <w:r w:rsidR="00B84D8C" w:rsidRPr="009B7B2E">
        <w:t xml:space="preserve"> for the program would be </w:t>
      </w:r>
      <w:r w:rsidR="00B84D8C" w:rsidRPr="00B84D8C">
        <w:rPr>
          <w:i/>
        </w:rPr>
        <w:t xml:space="preserve">randomly </w:t>
      </w:r>
      <w:r w:rsidR="00B84D8C" w:rsidRPr="009B7B2E">
        <w:t>assigned to the program or control</w:t>
      </w:r>
      <w:r w:rsidR="00B84D8C">
        <w:t xml:space="preserve">. </w:t>
      </w:r>
      <w:r w:rsidR="00287792">
        <w:t xml:space="preserve">Students may, however, have </w:t>
      </w:r>
      <w:r w:rsidR="00287792" w:rsidRPr="00287792">
        <w:t>overstate</w:t>
      </w:r>
      <w:r w:rsidR="00287792">
        <w:t>d</w:t>
      </w:r>
      <w:r w:rsidR="00287792" w:rsidRPr="00287792">
        <w:t xml:space="preserve"> their inter</w:t>
      </w:r>
      <w:r w:rsidR="00287792">
        <w:t>e</w:t>
      </w:r>
      <w:r w:rsidR="00287792" w:rsidRPr="00287792">
        <w:t xml:space="preserve">st in economics </w:t>
      </w:r>
      <w:r w:rsidR="00287792">
        <w:t xml:space="preserve">in the hope it would help them </w:t>
      </w:r>
      <w:r w:rsidR="00287792" w:rsidRPr="00287792">
        <w:t>gain entry to the program</w:t>
      </w:r>
    </w:p>
    <w:p w14:paraId="03A29314" w14:textId="02CF6882" w:rsidR="00287792" w:rsidRPr="00287792" w:rsidRDefault="00287792" w:rsidP="00287792"/>
    <w:p w14:paraId="227423EF" w14:textId="770BCE9C" w:rsidR="00B85446" w:rsidRDefault="00B85446" w:rsidP="00081366">
      <w:r>
        <w:br w:type="page"/>
      </w:r>
    </w:p>
    <w:p w14:paraId="329230E9" w14:textId="17FD7A8E" w:rsidR="00706883" w:rsidRDefault="00706883" w:rsidP="00720FBB">
      <w:pPr>
        <w:pStyle w:val="Heading2"/>
      </w:pPr>
      <w:bookmarkStart w:id="6" w:name="_Toc57814945"/>
      <w:r>
        <w:t>Limitations</w:t>
      </w:r>
      <w:bookmarkEnd w:id="6"/>
    </w:p>
    <w:p w14:paraId="1E8C5A16" w14:textId="77777777" w:rsidR="00706883" w:rsidRDefault="00706883" w:rsidP="00706883">
      <w:r>
        <w:t xml:space="preserve">A key limitation of this study was the </w:t>
      </w:r>
      <w:r w:rsidRPr="00366B94">
        <w:rPr>
          <w:i/>
        </w:rPr>
        <w:t>small sample size</w:t>
      </w:r>
      <w:r>
        <w:t>. This meant, for a range of plausible effect sizes, even if the program had such effects, we lacked the statistical power to detect those effects using a conventional threshold for statistical significance (p&lt;0.05). In other words, while our analysis suggests the program had a substantial, positive impact on economics enrolments, we cannot assert this with a high degree of confidence.</w:t>
      </w:r>
    </w:p>
    <w:p w14:paraId="0968C4CE" w14:textId="77777777" w:rsidR="00706883" w:rsidRDefault="00706883" w:rsidP="00706883">
      <w:r>
        <w:t xml:space="preserve">A further limitation, noted earlier, relates to </w:t>
      </w:r>
      <w:r w:rsidRPr="001E44CC">
        <w:rPr>
          <w:i/>
        </w:rPr>
        <w:t>the use of survey data</w:t>
      </w:r>
      <w:r>
        <w:t xml:space="preserve">. Students and mentors who responded to the survey may have had more positive experiences with the program, introducing selection bias. Similarly, there may have been a tendency for students to tell us what they thought we wanted to hear. Finally, students’ stated intentions may not be a reliable indicator of future decisions. </w:t>
      </w:r>
    </w:p>
    <w:p w14:paraId="1352B8E7" w14:textId="35D40883" w:rsidR="00706883" w:rsidRDefault="00706883" w:rsidP="00706883">
      <w:r>
        <w:t xml:space="preserve">Another consideration is </w:t>
      </w:r>
      <w:r w:rsidRPr="00366B94">
        <w:rPr>
          <w:i/>
        </w:rPr>
        <w:t>measurement error</w:t>
      </w:r>
      <w:r>
        <w:t>. We measured enrolment decisions for core economics subjects at ANU only. This does not capture enrolment in elective economics subjects, or at other universities. This measurement error applies equally to the treatment and control groups however, with a small sample size, such errors could reduce the precision of our findings.</w:t>
      </w:r>
    </w:p>
    <w:p w14:paraId="225764F8" w14:textId="63D96594" w:rsidR="00706883" w:rsidRDefault="00706883">
      <w:pPr>
        <w:spacing w:before="0" w:after="0" w:line="240" w:lineRule="auto"/>
      </w:pPr>
      <w:r>
        <w:br w:type="page"/>
      </w:r>
    </w:p>
    <w:p w14:paraId="6D27036B" w14:textId="51D41C12" w:rsidR="00B85446" w:rsidRDefault="00B85446" w:rsidP="00720FBB">
      <w:pPr>
        <w:pStyle w:val="Heading2"/>
      </w:pPr>
      <w:bookmarkStart w:id="7" w:name="_Toc57814946"/>
      <w:r w:rsidRPr="00B85446">
        <w:t>Discussion and conclusion</w:t>
      </w:r>
      <w:bookmarkEnd w:id="7"/>
    </w:p>
    <w:p w14:paraId="0CBB1AAF" w14:textId="04F3AA6F" w:rsidR="00B85446" w:rsidRDefault="00747E9D" w:rsidP="00B85446">
      <w:pPr>
        <w:pStyle w:val="Intro"/>
      </w:pPr>
      <w:r>
        <w:t xml:space="preserve">It is likely mentoring had a positive impact on students’ </w:t>
      </w:r>
      <w:r w:rsidR="009C28B4">
        <w:t xml:space="preserve">decisions to continue with </w:t>
      </w:r>
      <w:r>
        <w:t xml:space="preserve">economics. </w:t>
      </w:r>
      <w:r w:rsidRPr="00747E9D">
        <w:t xml:space="preserve">Mentoring programs should, therefore, be </w:t>
      </w:r>
      <w:r w:rsidR="00197EBC">
        <w:t xml:space="preserve">considered in </w:t>
      </w:r>
      <w:r w:rsidRPr="00747E9D">
        <w:t xml:space="preserve">the suite of options for encouraging women </w:t>
      </w:r>
      <w:r w:rsidR="009C28B4">
        <w:t xml:space="preserve">to pursue </w:t>
      </w:r>
      <w:r>
        <w:t>economics.</w:t>
      </w:r>
      <w:r w:rsidR="00141458">
        <w:t xml:space="preserve"> </w:t>
      </w:r>
    </w:p>
    <w:p w14:paraId="0C84B80F" w14:textId="41ED6486" w:rsidR="00215B64" w:rsidRDefault="00706883" w:rsidP="00141458">
      <w:r>
        <w:t>Despite the</w:t>
      </w:r>
      <w:r w:rsidR="009C1A07">
        <w:t xml:space="preserve"> limitations</w:t>
      </w:r>
      <w:r>
        <w:t xml:space="preserve"> noted above</w:t>
      </w:r>
      <w:r w:rsidR="009C1A07">
        <w:t xml:space="preserve">, </w:t>
      </w:r>
      <w:r w:rsidR="00BE4036">
        <w:t xml:space="preserve">the </w:t>
      </w:r>
      <w:r w:rsidR="009C1A07">
        <w:t xml:space="preserve">various sources of </w:t>
      </w:r>
      <w:r w:rsidR="00E54C46">
        <w:t xml:space="preserve">converging </w:t>
      </w:r>
      <w:r w:rsidR="00BE4036">
        <w:t xml:space="preserve">evidence </w:t>
      </w:r>
      <w:r w:rsidR="009C1A07">
        <w:t>give</w:t>
      </w:r>
      <w:r w:rsidR="00BE4036">
        <w:t xml:space="preserve"> us </w:t>
      </w:r>
      <w:r w:rsidR="007422A4">
        <w:t xml:space="preserve">a fair degree of </w:t>
      </w:r>
      <w:r w:rsidR="00BE4036">
        <w:t xml:space="preserve">confidence the mentoring program had the desired impact on students’ </w:t>
      </w:r>
      <w:r w:rsidR="009C28B4">
        <w:t xml:space="preserve">decisions to continue their </w:t>
      </w:r>
      <w:r w:rsidR="00BE4036">
        <w:t>economics studies. The university administrative data suggests the mentoring program led to higher economics enrolments</w:t>
      </w:r>
      <w:r w:rsidR="00BB0360">
        <w:t xml:space="preserve"> and degree completions</w:t>
      </w:r>
      <w:r w:rsidR="00BE4036">
        <w:t>, and possibly very substantially higher. In surveys, most students agreed the mentoring program made it more likely they would pursue a career in economics</w:t>
      </w:r>
      <w:r w:rsidR="007422A4">
        <w:t>, while a substantial minority of mentors felt the mentoring was very or extremely effective</w:t>
      </w:r>
      <w:r w:rsidR="00BE4036">
        <w:t xml:space="preserve">. </w:t>
      </w:r>
      <w:r w:rsidR="007422A4">
        <w:t xml:space="preserve">Furthermore, </w:t>
      </w:r>
      <w:r w:rsidR="00BE4036">
        <w:t>in free</w:t>
      </w:r>
      <w:r w:rsidR="00BE4036">
        <w:noBreakHyphen/>
        <w:t>text responses, students and mentors described experiences consistent with the intent of the program.</w:t>
      </w:r>
    </w:p>
    <w:p w14:paraId="52CC29BF" w14:textId="77777777" w:rsidR="00127B5C" w:rsidRDefault="00127B5C" w:rsidP="00141458">
      <w:r>
        <w:t>These findings suggest m</w:t>
      </w:r>
      <w:r w:rsidR="00577542">
        <w:t>entoring programs should</w:t>
      </w:r>
      <w:r>
        <w:t xml:space="preserve"> </w:t>
      </w:r>
      <w:r w:rsidR="00577542">
        <w:t xml:space="preserve">be considered alongside other options for encouraging women students to </w:t>
      </w:r>
      <w:r>
        <w:t xml:space="preserve">pursue </w:t>
      </w:r>
      <w:r w:rsidR="00577542">
        <w:t xml:space="preserve">economics. </w:t>
      </w:r>
      <w:r w:rsidR="00215B64">
        <w:t xml:space="preserve">However, the potential benefits need to be </w:t>
      </w:r>
      <w:r w:rsidR="00287792">
        <w:t xml:space="preserve">considered in the context of </w:t>
      </w:r>
      <w:r w:rsidR="00215B64">
        <w:t>the moderate confidence we have in our results</w:t>
      </w:r>
      <w:r>
        <w:t xml:space="preserve"> (</w:t>
      </w:r>
      <w:r w:rsidR="00577542">
        <w:t>further evaluation would help</w:t>
      </w:r>
      <w:r>
        <w:t>)</w:t>
      </w:r>
      <w:r w:rsidR="00287792">
        <w:t xml:space="preserve">. </w:t>
      </w:r>
    </w:p>
    <w:p w14:paraId="00567CA6" w14:textId="6E7AD0F7" w:rsidR="00BE4036" w:rsidRDefault="00D41776" w:rsidP="00BE4036">
      <w:r>
        <w:t>The</w:t>
      </w:r>
      <w:r w:rsidR="00287792">
        <w:t xml:space="preserve"> </w:t>
      </w:r>
      <w:r w:rsidR="00127B5C">
        <w:t xml:space="preserve">potential benefits should </w:t>
      </w:r>
      <w:r w:rsidR="00287792">
        <w:t xml:space="preserve">also be weighed </w:t>
      </w:r>
      <w:r w:rsidR="00215B64">
        <w:t xml:space="preserve">against the program’s costs </w:t>
      </w:r>
      <w:r w:rsidR="00190F70">
        <w:t xml:space="preserve">and sustainability </w:t>
      </w:r>
      <w:r w:rsidR="00215B64">
        <w:t>relative to other possible options. Recruiting mentors, matching mentors and mentees,</w:t>
      </w:r>
      <w:r w:rsidR="00190F70">
        <w:t xml:space="preserve"> preparing guidance material and </w:t>
      </w:r>
      <w:r w:rsidR="00215B64">
        <w:t>running networking events</w:t>
      </w:r>
      <w:r w:rsidR="00190F70">
        <w:t xml:space="preserve"> involved considerable volunteer time and some administration costs. Some of these costs may diminish with time, especially if mentors are willing to remain for several iterations of the program, but non</w:t>
      </w:r>
      <w:r w:rsidR="00190F70">
        <w:noBreakHyphen/>
        <w:t xml:space="preserve">negligible </w:t>
      </w:r>
      <w:r w:rsidR="00BE4036">
        <w:t xml:space="preserve">costs </w:t>
      </w:r>
      <w:r w:rsidR="00190F70">
        <w:t>will remain.</w:t>
      </w:r>
      <w:r w:rsidR="0079756F">
        <w:t xml:space="preserve"> This includes the </w:t>
      </w:r>
      <w:r w:rsidR="004A1EBF">
        <w:t xml:space="preserve">resources required to administer the program, and the </w:t>
      </w:r>
      <w:r w:rsidR="0079756F">
        <w:t xml:space="preserve">impost on mentors’ time, although most </w:t>
      </w:r>
      <w:r w:rsidR="00127B5C">
        <w:t xml:space="preserve">mentors </w:t>
      </w:r>
      <w:r w:rsidR="0079756F">
        <w:t>(76 per cent) estimated this was less than six hours over the course of the program.</w:t>
      </w:r>
      <w:r w:rsidR="00190F70">
        <w:t xml:space="preserve"> </w:t>
      </w:r>
    </w:p>
    <w:p w14:paraId="44565277" w14:textId="5806C535" w:rsidR="00DC1A83" w:rsidRDefault="00BE4036" w:rsidP="00BE4036">
      <w:r>
        <w:t>A related consideration is how well our results will generalise to other circumstances</w:t>
      </w:r>
      <w:r w:rsidR="00284434">
        <w:t xml:space="preserve">. </w:t>
      </w:r>
      <w:r w:rsidR="003E16DC">
        <w:t>Our mentors were all mid</w:t>
      </w:r>
      <w:r w:rsidR="003E16DC">
        <w:noBreakHyphen/>
      </w:r>
      <w:r w:rsidR="0078310B" w:rsidRPr="0078310B">
        <w:t xml:space="preserve">level or senior professionals. The calibre of our mentors may have contributed to the number of applicants </w:t>
      </w:r>
      <w:r w:rsidR="0078310B">
        <w:t xml:space="preserve">and </w:t>
      </w:r>
      <w:r w:rsidR="0078310B" w:rsidRPr="0078310B">
        <w:t>the apparent success of the program</w:t>
      </w:r>
      <w:r w:rsidR="0078310B">
        <w:t xml:space="preserve">. </w:t>
      </w:r>
      <w:r w:rsidR="00284434">
        <w:t>A different group of mentors—</w:t>
      </w:r>
      <w:r w:rsidR="00DC1A83">
        <w:t xml:space="preserve">with a different group of students </w:t>
      </w:r>
      <w:r w:rsidR="00284434">
        <w:t>in a different university context—</w:t>
      </w:r>
      <w:r w:rsidR="00DC1A83">
        <w:t>may not have the same impact as we observed in our study. This will depend, in part, on whether the same barriers apply to women students in other universities, and whether another set of mentors can be recruited who would be in a position to address those barriers.</w:t>
      </w:r>
    </w:p>
    <w:p w14:paraId="463370B0" w14:textId="5C25A588" w:rsidR="00C20A58" w:rsidRDefault="00C20A58" w:rsidP="00720FBB">
      <w:pPr>
        <w:pStyle w:val="Heading3"/>
      </w:pPr>
      <w:r>
        <w:t>Lessons</w:t>
      </w:r>
      <w:r w:rsidR="00747E9D">
        <w:t xml:space="preserve"> for future mentoring programs</w:t>
      </w:r>
    </w:p>
    <w:p w14:paraId="346341FD" w14:textId="1AA21E25" w:rsidR="00141458" w:rsidRDefault="00190F70" w:rsidP="00190F70">
      <w:r>
        <w:t xml:space="preserve">The most important lessons </w:t>
      </w:r>
      <w:r w:rsidR="002D38B7">
        <w:t xml:space="preserve">relate to what </w:t>
      </w:r>
      <w:r>
        <w:t xml:space="preserve">worked well and should be preserved. Two stand out. First, we made an investment in the initial </w:t>
      </w:r>
      <w:r w:rsidRPr="007576A5">
        <w:rPr>
          <w:i/>
        </w:rPr>
        <w:t>program administration</w:t>
      </w:r>
      <w:r>
        <w:t xml:space="preserve"> by recruiting a consultant to assist us. Feedback on the program administration—and the initial guidance materials—was very positive. Second, students really enjoyed the </w:t>
      </w:r>
      <w:r w:rsidRPr="007576A5">
        <w:rPr>
          <w:i/>
        </w:rPr>
        <w:t>networking events</w:t>
      </w:r>
      <w:r>
        <w:t xml:space="preserve"> and especially the ‘</w:t>
      </w:r>
      <w:r w:rsidR="00141458">
        <w:t>speed mentoring</w:t>
      </w:r>
      <w:r>
        <w:t>’</w:t>
      </w:r>
      <w:r w:rsidR="00287792">
        <w:t xml:space="preserve"> event</w:t>
      </w:r>
      <w:r>
        <w:t xml:space="preserve">, for the opportunities to meet other mentors and other students. Future mentoring programs should build on this by </w:t>
      </w:r>
      <w:r w:rsidR="007576A5">
        <w:t xml:space="preserve">incorporating networking events, and possibly other networking tools, </w:t>
      </w:r>
      <w:r>
        <w:t>as a core component of the program.</w:t>
      </w:r>
    </w:p>
    <w:p w14:paraId="05840EC6" w14:textId="3C7A5BA2" w:rsidR="007576A5" w:rsidRDefault="007576A5" w:rsidP="00141458">
      <w:r>
        <w:t xml:space="preserve">A key challenge in the program design is the </w:t>
      </w:r>
      <w:r w:rsidRPr="007576A5">
        <w:rPr>
          <w:i/>
        </w:rPr>
        <w:t>mentee eligibility criteria</w:t>
      </w:r>
      <w:r>
        <w:t xml:space="preserve">. We deliberately kept the criteria broad to capture the ‘marginal’ economics student (that is, the student who </w:t>
      </w:r>
      <w:r w:rsidR="00287792">
        <w:t xml:space="preserve">is </w:t>
      </w:r>
      <w:r>
        <w:t xml:space="preserve">uncertain about whether </w:t>
      </w:r>
      <w:r w:rsidR="00287792">
        <w:t xml:space="preserve">she </w:t>
      </w:r>
      <w:r>
        <w:t xml:space="preserve">will continue with economics). However, this meant we also included some students who were uninterested in economics and/or mentoring, leading to </w:t>
      </w:r>
      <w:r w:rsidR="00DF52FB">
        <w:t xml:space="preserve">wasted time and </w:t>
      </w:r>
      <w:r>
        <w:t xml:space="preserve">unfulfilling experiences for their mentors. </w:t>
      </w:r>
      <w:r w:rsidR="00287792">
        <w:t xml:space="preserve">Requiring </w:t>
      </w:r>
      <w:r>
        <w:t xml:space="preserve">students to complete a more demanding application process </w:t>
      </w:r>
      <w:r w:rsidR="00287792">
        <w:t>may address this issue</w:t>
      </w:r>
      <w:r w:rsidR="00287792" w:rsidRPr="00287792">
        <w:t xml:space="preserve"> however </w:t>
      </w:r>
      <w:r w:rsidR="009C28B4">
        <w:t xml:space="preserve">it </w:t>
      </w:r>
      <w:r w:rsidR="00287792" w:rsidRPr="00287792">
        <w:t xml:space="preserve">may also deter participants. </w:t>
      </w:r>
      <w:r w:rsidR="00287792">
        <w:t xml:space="preserve">Alternatively, </w:t>
      </w:r>
      <w:r w:rsidR="00287792" w:rsidRPr="00287792">
        <w:t xml:space="preserve">future programs </w:t>
      </w:r>
      <w:r w:rsidR="009C28B4">
        <w:t xml:space="preserve">may be better targeted if restricted </w:t>
      </w:r>
      <w:r w:rsidR="00287792" w:rsidRPr="00287792">
        <w:t xml:space="preserve">to </w:t>
      </w:r>
      <w:r w:rsidR="009C28B4">
        <w:t xml:space="preserve">current Bachelor of Economics </w:t>
      </w:r>
      <w:r w:rsidR="00287792" w:rsidRPr="00287792">
        <w:t>students</w:t>
      </w:r>
      <w:r w:rsidR="009C28B4">
        <w:t xml:space="preserve">, </w:t>
      </w:r>
      <w:r w:rsidR="00287792">
        <w:t xml:space="preserve">while still </w:t>
      </w:r>
      <w:r w:rsidR="00287792" w:rsidRPr="00287792">
        <w:t>addressing the overall objective of the program.</w:t>
      </w:r>
    </w:p>
    <w:p w14:paraId="7D6D6052" w14:textId="4B2E0A46" w:rsidR="007576A5" w:rsidRDefault="007576A5" w:rsidP="00141458">
      <w:r>
        <w:t xml:space="preserve">A mentoring program’s effectiveness depends on the quality of </w:t>
      </w:r>
      <w:r w:rsidRPr="007576A5">
        <w:rPr>
          <w:i/>
        </w:rPr>
        <w:t>the relationship between mentors and mentees</w:t>
      </w:r>
      <w:r>
        <w:t>. Despite the positive feedback on the guidance provided</w:t>
      </w:r>
      <w:r w:rsidR="00287792">
        <w:t xml:space="preserve"> and the effort taken to match mentees with their preferred mentor</w:t>
      </w:r>
      <w:r>
        <w:t xml:space="preserve">, </w:t>
      </w:r>
      <w:r w:rsidR="008201BD">
        <w:t xml:space="preserve">many </w:t>
      </w:r>
      <w:r>
        <w:t xml:space="preserve">students said they would have appreciated more help </w:t>
      </w:r>
      <w:r w:rsidR="008201BD">
        <w:t>establishing contact with their mentor</w:t>
      </w:r>
      <w:r>
        <w:t xml:space="preserve">, and </w:t>
      </w:r>
      <w:r w:rsidR="008201BD">
        <w:t xml:space="preserve">several struggled to clarify purpose or discussion topics </w:t>
      </w:r>
      <w:r>
        <w:t xml:space="preserve">for </w:t>
      </w:r>
      <w:r w:rsidR="002D38B7">
        <w:t xml:space="preserve">their </w:t>
      </w:r>
      <w:r>
        <w:t>meetings.</w:t>
      </w:r>
      <w:r w:rsidR="00287792" w:rsidRPr="00287792">
        <w:t xml:space="preserve"> </w:t>
      </w:r>
      <w:r w:rsidR="003F3621">
        <w:t>Given t</w:t>
      </w:r>
      <w:r w:rsidR="003F3621" w:rsidRPr="00287792">
        <w:t>he success of the speed mentoring event</w:t>
      </w:r>
      <w:r w:rsidR="003F3621">
        <w:t xml:space="preserve">, including </w:t>
      </w:r>
      <w:r w:rsidR="003F3621" w:rsidRPr="00287792">
        <w:t xml:space="preserve">this type of event at the </w:t>
      </w:r>
      <w:r w:rsidR="003F3621">
        <w:t xml:space="preserve">outset </w:t>
      </w:r>
      <w:r w:rsidR="003F3621" w:rsidRPr="00287792">
        <w:t>may help the mentor and mentee relationship to develop more rapidly.</w:t>
      </w:r>
      <w:r w:rsidR="003F3621">
        <w:t xml:space="preserve"> </w:t>
      </w:r>
    </w:p>
    <w:p w14:paraId="48F0EC4F" w14:textId="174304D8" w:rsidR="00081366" w:rsidRDefault="003F3621" w:rsidP="00081366">
      <w:r>
        <w:t xml:space="preserve">Finally, there may be scope to vary </w:t>
      </w:r>
      <w:r w:rsidRPr="0078310B">
        <w:rPr>
          <w:i/>
        </w:rPr>
        <w:t>the timing and duration</w:t>
      </w:r>
      <w:r>
        <w:rPr>
          <w:i/>
        </w:rPr>
        <w:t xml:space="preserve"> </w:t>
      </w:r>
      <w:r w:rsidRPr="003F3621">
        <w:t xml:space="preserve">of </w:t>
      </w:r>
      <w:r>
        <w:t xml:space="preserve">future </w:t>
      </w:r>
      <w:r w:rsidRPr="003F3621">
        <w:t>mentoring programs</w:t>
      </w:r>
      <w:r w:rsidRPr="00287792">
        <w:t xml:space="preserve">. </w:t>
      </w:r>
      <w:r>
        <w:t>T</w:t>
      </w:r>
      <w:r w:rsidRPr="00287792">
        <w:t>he</w:t>
      </w:r>
      <w:r>
        <w:t xml:space="preserve"> program commenced midway through </w:t>
      </w:r>
      <w:r w:rsidRPr="00287792">
        <w:t xml:space="preserve">the </w:t>
      </w:r>
      <w:r>
        <w:t>second seme</w:t>
      </w:r>
      <w:r w:rsidRPr="00287792">
        <w:t xml:space="preserve">ster </w:t>
      </w:r>
      <w:r>
        <w:t xml:space="preserve">2018, which </w:t>
      </w:r>
      <w:r w:rsidRPr="00287792">
        <w:t>may have been beneficial in encouraging students to enrol in economic studies for the following year</w:t>
      </w:r>
      <w:r>
        <w:t xml:space="preserve">. On the other hand, the effects of the </w:t>
      </w:r>
      <w:r w:rsidRPr="00287792">
        <w:t xml:space="preserve">mentoring </w:t>
      </w:r>
      <w:r>
        <w:t xml:space="preserve">may have </w:t>
      </w:r>
      <w:r w:rsidRPr="00287792">
        <w:t xml:space="preserve">dissipated </w:t>
      </w:r>
      <w:r>
        <w:t xml:space="preserve">over </w:t>
      </w:r>
      <w:r w:rsidRPr="00287792">
        <w:t>the long summer break</w:t>
      </w:r>
      <w:r>
        <w:t xml:space="preserve">, immediately before </w:t>
      </w:r>
      <w:r w:rsidRPr="00287792">
        <w:t>en</w:t>
      </w:r>
      <w:r>
        <w:t>rolled in courses for semester one 2019. The year</w:t>
      </w:r>
      <w:r>
        <w:noBreakHyphen/>
        <w:t xml:space="preserve">long </w:t>
      </w:r>
      <w:r w:rsidRPr="00287792">
        <w:t xml:space="preserve">duration of the program </w:t>
      </w:r>
      <w:r>
        <w:t xml:space="preserve">could also be revised: </w:t>
      </w:r>
      <w:r w:rsidRPr="00287792">
        <w:t xml:space="preserve">a more condensed timeframe may </w:t>
      </w:r>
      <w:r>
        <w:t>be similarly effective.</w:t>
      </w:r>
      <w:r w:rsidR="00081366">
        <w:br w:type="page"/>
      </w:r>
    </w:p>
    <w:p w14:paraId="5DA66CE9" w14:textId="5105A9B2" w:rsidR="00081366" w:rsidRDefault="00081366" w:rsidP="00720FBB">
      <w:pPr>
        <w:pStyle w:val="Heading2"/>
      </w:pPr>
      <w:bookmarkStart w:id="8" w:name="_Toc57814947"/>
      <w:r>
        <w:t>Appendices</w:t>
      </w:r>
      <w:bookmarkEnd w:id="8"/>
    </w:p>
    <w:p w14:paraId="4FD1C784" w14:textId="177ED263" w:rsidR="0063664B" w:rsidRPr="00673989" w:rsidRDefault="00BF743C" w:rsidP="00BF743C">
      <w:pPr>
        <w:pStyle w:val="AppendixHeading"/>
        <w:numPr>
          <w:ilvl w:val="0"/>
          <w:numId w:val="0"/>
        </w:numPr>
        <w:ind w:left="1134" w:hanging="1134"/>
      </w:pPr>
      <w:bookmarkStart w:id="9" w:name="_Toc514938220"/>
      <w:bookmarkStart w:id="10" w:name="_Toc57814948"/>
      <w:r w:rsidRPr="00673989">
        <w:rPr>
          <w:rFonts w:ascii="Helvetica" w:hAnsi="Helvetica"/>
        </w:rPr>
        <w:t xml:space="preserve">Appendix 1 - </w:t>
      </w:r>
      <w:r w:rsidR="0063664B" w:rsidRPr="00673989">
        <w:t>Evaluation design and analysis</w:t>
      </w:r>
      <w:bookmarkEnd w:id="9"/>
      <w:bookmarkEnd w:id="10"/>
    </w:p>
    <w:p w14:paraId="4C8A0702" w14:textId="00D87D7E" w:rsidR="0063664B" w:rsidRDefault="0063664B" w:rsidP="006D0013">
      <w:pPr>
        <w:pStyle w:val="Heading4"/>
      </w:pPr>
      <w:r>
        <w:t>Overview</w:t>
      </w:r>
    </w:p>
    <w:p w14:paraId="1BCB2F16" w14:textId="25CB7BCC" w:rsidR="00011F9F" w:rsidRDefault="0063664B" w:rsidP="0063664B">
      <w:r>
        <w:t>We conducted a rand</w:t>
      </w:r>
      <w:r w:rsidR="00A36E1D">
        <w:t>omised controlled trial (RCT) as a</w:t>
      </w:r>
      <w:r>
        <w:t xml:space="preserve"> partnership </w:t>
      </w:r>
      <w:r w:rsidR="00A36E1D">
        <w:t xml:space="preserve">between </w:t>
      </w:r>
      <w:r>
        <w:t>the Women in Economics Network</w:t>
      </w:r>
      <w:r w:rsidR="00A36E1D">
        <w:t>, the Department of Prime Minister and Cabinet,</w:t>
      </w:r>
      <w:r>
        <w:t xml:space="preserve"> and the Australian National University (ANU). We randomly assigned students to participate in the mentoring program, or not</w:t>
      </w:r>
      <w:r w:rsidR="00011F9F">
        <w:t>, where the unit of randomisation was the individual economics student</w:t>
      </w:r>
      <w:r>
        <w:t xml:space="preserve">. </w:t>
      </w:r>
    </w:p>
    <w:p w14:paraId="530A3D4C" w14:textId="1D412B76" w:rsidR="00F539B3" w:rsidRDefault="0063664B" w:rsidP="0063664B">
      <w:r>
        <w:t>The trial commenced in August</w:t>
      </w:r>
      <w:r w:rsidR="00623B14">
        <w:t> </w:t>
      </w:r>
      <w:r>
        <w:t xml:space="preserve">2018 and ran for 12 months over </w:t>
      </w:r>
      <w:r w:rsidR="00623B14">
        <w:t>semester</w:t>
      </w:r>
      <w:r>
        <w:t xml:space="preserve"> </w:t>
      </w:r>
      <w:r w:rsidR="00A36E1D">
        <w:t xml:space="preserve">two </w:t>
      </w:r>
      <w:r>
        <w:t>2018 and semes</w:t>
      </w:r>
      <w:r w:rsidR="00623B14">
        <w:t>ter </w:t>
      </w:r>
      <w:r w:rsidR="00A36E1D">
        <w:t xml:space="preserve">one </w:t>
      </w:r>
      <w:r>
        <w:t>2019. We assessed the impact of the mentoring program on students’ subsequent enrolment decisions and grades in semester </w:t>
      </w:r>
      <w:r w:rsidR="00A36E1D">
        <w:t xml:space="preserve">two </w:t>
      </w:r>
      <w:r>
        <w:t>2019 and semester </w:t>
      </w:r>
      <w:r w:rsidR="00A36E1D">
        <w:t xml:space="preserve">one </w:t>
      </w:r>
      <w:r>
        <w:t xml:space="preserve">2020. </w:t>
      </w:r>
      <w:r w:rsidR="00CF6016">
        <w:t>Participants in the RCT was not ‘blinded’ as it</w:t>
      </w:r>
      <w:r w:rsidR="00C74796">
        <w:t xml:space="preserve"> was not possible to</w:t>
      </w:r>
      <w:r w:rsidR="00CF6016">
        <w:t xml:space="preserve"> prevent them from knowing whether they had been allocated to the mentoring program or not</w:t>
      </w:r>
      <w:r>
        <w:t xml:space="preserve">. </w:t>
      </w:r>
    </w:p>
    <w:p w14:paraId="0927A13F" w14:textId="135F1573" w:rsidR="0063664B" w:rsidRDefault="0063664B" w:rsidP="0063664B">
      <w:r>
        <w:t>We also collected survey data at baseline</w:t>
      </w:r>
      <w:r w:rsidR="004F1EC9">
        <w:t xml:space="preserve"> (August 2018)</w:t>
      </w:r>
      <w:r>
        <w:t>, midline</w:t>
      </w:r>
      <w:r w:rsidR="004F1EC9">
        <w:t xml:space="preserve"> (November 2018)</w:t>
      </w:r>
      <w:r>
        <w:t xml:space="preserve"> and endline</w:t>
      </w:r>
      <w:r w:rsidR="004F1EC9">
        <w:t xml:space="preserve"> (August</w:t>
      </w:r>
      <w:r w:rsidR="004F1EC9">
        <w:noBreakHyphen/>
        <w:t>September 2019)</w:t>
      </w:r>
      <w:r>
        <w:t>.</w:t>
      </w:r>
    </w:p>
    <w:p w14:paraId="1CA1A7A2" w14:textId="19E766FE" w:rsidR="0063664B" w:rsidRPr="00267F1D" w:rsidRDefault="0063664B" w:rsidP="006D0013">
      <w:pPr>
        <w:pStyle w:val="Heading4"/>
      </w:pPr>
      <w:r>
        <w:t>Pre-registration</w:t>
      </w:r>
      <w:r w:rsidR="00011F9F">
        <w:t xml:space="preserve">, </w:t>
      </w:r>
      <w:r>
        <w:t>pre-analysis plan</w:t>
      </w:r>
      <w:r w:rsidR="00011F9F">
        <w:t xml:space="preserve"> (PAP) and deviations from the PAP</w:t>
      </w:r>
    </w:p>
    <w:p w14:paraId="395B92B5" w14:textId="2C0F07BF" w:rsidR="00F539B3" w:rsidRDefault="00F539B3" w:rsidP="00F539B3">
      <w:r>
        <w:t>We pre</w:t>
      </w:r>
      <w:r>
        <w:noBreakHyphen/>
        <w:t>registered the trial</w:t>
      </w:r>
      <w:r w:rsidR="002C6CF1">
        <w:t>, along with our pre</w:t>
      </w:r>
      <w:r w:rsidR="002C6CF1">
        <w:noBreakHyphen/>
        <w:t>analysis plan</w:t>
      </w:r>
      <w:r w:rsidR="00011F9F">
        <w:t>, in two registries</w:t>
      </w:r>
      <w:r>
        <w:t>:</w:t>
      </w:r>
    </w:p>
    <w:p w14:paraId="34638E42" w14:textId="03C77FCF" w:rsidR="00F539B3" w:rsidRDefault="00BF743C" w:rsidP="00BF743C">
      <w:pPr>
        <w:ind w:left="1080" w:hanging="720"/>
      </w:pPr>
      <w:r>
        <w:rPr>
          <w:rFonts w:ascii="Helvetica" w:hAnsi="Helvetica" w:cs="Helvetica"/>
        </w:rPr>
        <w:t>•</w:t>
      </w:r>
      <w:r>
        <w:rPr>
          <w:rFonts w:ascii="Helvetica" w:hAnsi="Helvetica" w:cs="Helvetica"/>
        </w:rPr>
        <w:tab/>
      </w:r>
      <w:r w:rsidR="00F539B3">
        <w:t xml:space="preserve">the American Economic Association RCT Registry (9/10/2018): </w:t>
      </w:r>
      <w:hyperlink r:id="rId33" w:history="1">
        <w:r w:rsidR="00F539B3" w:rsidRPr="00F539B3">
          <w:rPr>
            <w:rStyle w:val="Hyperlink"/>
          </w:rPr>
          <w:t>AEARCTR</w:t>
        </w:r>
        <w:r w:rsidR="002C6CF1">
          <w:rPr>
            <w:rStyle w:val="Hyperlink"/>
          </w:rPr>
          <w:noBreakHyphen/>
        </w:r>
        <w:r w:rsidR="00F539B3" w:rsidRPr="00F539B3">
          <w:rPr>
            <w:rStyle w:val="Hyperlink"/>
          </w:rPr>
          <w:t>0003396</w:t>
        </w:r>
      </w:hyperlink>
    </w:p>
    <w:p w14:paraId="624D1AD6" w14:textId="1B3725FF" w:rsidR="00F539B3" w:rsidRDefault="00BF743C" w:rsidP="00BF743C">
      <w:pPr>
        <w:ind w:left="1080" w:hanging="720"/>
      </w:pPr>
      <w:r>
        <w:rPr>
          <w:rFonts w:ascii="Helvetica" w:hAnsi="Helvetica" w:cs="Helvetica"/>
        </w:rPr>
        <w:t>•</w:t>
      </w:r>
      <w:r>
        <w:rPr>
          <w:rFonts w:ascii="Helvetica" w:hAnsi="Helvetica" w:cs="Helvetica"/>
        </w:rPr>
        <w:tab/>
      </w:r>
      <w:r w:rsidR="00F539B3">
        <w:t xml:space="preserve">the Open Science Framework (12/10/2018): </w:t>
      </w:r>
      <w:hyperlink r:id="rId34" w:history="1">
        <w:r w:rsidR="00F539B3">
          <w:rPr>
            <w:rStyle w:val="Hyperlink"/>
          </w:rPr>
          <w:t>https://osf.io/pt89y</w:t>
        </w:r>
      </w:hyperlink>
      <w:r w:rsidR="00F539B3">
        <w:t xml:space="preserve"> (registration) and </w:t>
      </w:r>
      <w:hyperlink r:id="rId35" w:history="1">
        <w:r w:rsidR="002C6CF1">
          <w:rPr>
            <w:rStyle w:val="Hyperlink"/>
          </w:rPr>
          <w:t>https://osf.io/a57vh/</w:t>
        </w:r>
      </w:hyperlink>
      <w:r w:rsidR="002C6CF1">
        <w:t xml:space="preserve"> (main </w:t>
      </w:r>
      <w:r w:rsidR="00011F9F">
        <w:t xml:space="preserve">project </w:t>
      </w:r>
      <w:r w:rsidR="002C6CF1">
        <w:t>page</w:t>
      </w:r>
      <w:r w:rsidR="00D819C0">
        <w:t xml:space="preserve">, including the </w:t>
      </w:r>
      <w:r w:rsidR="002C6CF1">
        <w:t>pre</w:t>
      </w:r>
      <w:r w:rsidR="002C6CF1">
        <w:noBreakHyphen/>
        <w:t>analysis plan</w:t>
      </w:r>
      <w:r w:rsidR="00D819C0">
        <w:t xml:space="preserve"> and all survey questionnaires</w:t>
      </w:r>
      <w:r w:rsidR="002C6CF1">
        <w:t>)</w:t>
      </w:r>
    </w:p>
    <w:p w14:paraId="2A400D45" w14:textId="77777777" w:rsidR="002C6CF1" w:rsidRDefault="002C6CF1" w:rsidP="002C6CF1">
      <w:r>
        <w:t xml:space="preserve">We subsequently registered the trial on the </w:t>
      </w:r>
      <w:r w:rsidR="00F539B3">
        <w:t>BETA website</w:t>
      </w:r>
      <w:r>
        <w:t xml:space="preserve">. </w:t>
      </w:r>
    </w:p>
    <w:p w14:paraId="1C647794" w14:textId="094BDFC5" w:rsidR="00935EE5" w:rsidRDefault="00A36E1D" w:rsidP="0063664B">
      <w:r>
        <w:t>We made one deviation</w:t>
      </w:r>
      <w:r w:rsidR="002C6CF1">
        <w:t xml:space="preserve"> from the pre</w:t>
      </w:r>
      <w:r w:rsidR="002C6CF1">
        <w:noBreakHyphen/>
        <w:t xml:space="preserve">analysis plan </w:t>
      </w:r>
      <w:r>
        <w:t xml:space="preserve">in relation to our </w:t>
      </w:r>
      <w:r w:rsidR="00223DCE">
        <w:t xml:space="preserve">outcome variables. </w:t>
      </w:r>
      <w:r w:rsidR="00935EE5">
        <w:t>We pre</w:t>
      </w:r>
      <w:r w:rsidR="00935EE5">
        <w:noBreakHyphen/>
        <w:t xml:space="preserve">specified four primary outcomes </w:t>
      </w:r>
      <w:r>
        <w:t xml:space="preserve">but have only used </w:t>
      </w:r>
      <w:r w:rsidR="00095258">
        <w:t>two</w:t>
      </w:r>
      <w:r>
        <w:t xml:space="preserve">, </w:t>
      </w:r>
      <w:r w:rsidR="00095258">
        <w:t xml:space="preserve">with some </w:t>
      </w:r>
      <w:r>
        <w:t xml:space="preserve">amendments. </w:t>
      </w:r>
      <w:r w:rsidR="00935EE5">
        <w:t>See the ‘Outcome variables’ section immediately below for further details</w:t>
      </w:r>
      <w:r w:rsidR="00095258">
        <w:t xml:space="preserve"> of these amendments and their justification</w:t>
      </w:r>
      <w:r w:rsidR="00935EE5">
        <w:t>.</w:t>
      </w:r>
    </w:p>
    <w:p w14:paraId="1B809653" w14:textId="77777777" w:rsidR="002C6CF1" w:rsidRPr="006979D8" w:rsidRDefault="002C6CF1" w:rsidP="00E84ACD">
      <w:pPr>
        <w:pStyle w:val="Heading4"/>
      </w:pPr>
      <w:r>
        <w:t>Outcome variables</w:t>
      </w:r>
    </w:p>
    <w:p w14:paraId="2F13BBA1" w14:textId="2F701193" w:rsidR="002C6CF1" w:rsidRDefault="002C6CF1" w:rsidP="002C6CF1">
      <w:r>
        <w:t>We pre</w:t>
      </w:r>
      <w:r w:rsidR="00935EE5">
        <w:noBreakHyphen/>
      </w:r>
      <w:r>
        <w:t xml:space="preserve">specified four closely related </w:t>
      </w:r>
      <w:r w:rsidRPr="001E5FE8">
        <w:rPr>
          <w:b/>
        </w:rPr>
        <w:t>primary outcome</w:t>
      </w:r>
      <w:r w:rsidR="001E5FE8">
        <w:rPr>
          <w:b/>
        </w:rPr>
        <w:t>s</w:t>
      </w:r>
      <w:r w:rsidR="00935EE5">
        <w:rPr>
          <w:b/>
        </w:rPr>
        <w:t>,</w:t>
      </w:r>
      <w:r>
        <w:t xml:space="preserve"> </w:t>
      </w:r>
      <w:r w:rsidR="00935EE5">
        <w:t xml:space="preserve">all of which sought </w:t>
      </w:r>
      <w:r>
        <w:t xml:space="preserve">to detect the propensity for students to complete economic studies. Two outcomes were based on endline survey data about study intentions, while the remaining two were based on </w:t>
      </w:r>
      <w:r w:rsidR="00935EE5">
        <w:t xml:space="preserve">university </w:t>
      </w:r>
      <w:r>
        <w:t xml:space="preserve">administrative data about enrolment decisions. </w:t>
      </w:r>
    </w:p>
    <w:p w14:paraId="2311E249" w14:textId="73A49289" w:rsidR="002C6CF1" w:rsidRDefault="00BF743C" w:rsidP="00BF743C">
      <w:pPr>
        <w:ind w:left="1080" w:hanging="720"/>
      </w:pPr>
      <w:r>
        <w:t>a)</w:t>
      </w:r>
      <w:r>
        <w:tab/>
      </w:r>
      <w:r w:rsidR="002C6CF1">
        <w:t>Intention to proceed to next year of economics studies (survey data, 5-point Likert scale)</w:t>
      </w:r>
    </w:p>
    <w:p w14:paraId="0022D959" w14:textId="1B32B367" w:rsidR="002C6CF1" w:rsidRDefault="00BF743C" w:rsidP="00BF743C">
      <w:pPr>
        <w:ind w:left="1080" w:hanging="720"/>
      </w:pPr>
      <w:r>
        <w:t>b)</w:t>
      </w:r>
      <w:r>
        <w:tab/>
      </w:r>
      <w:r w:rsidR="002C6CF1">
        <w:t>Intention to complete an economics major (survey data, 5-point Likert scale)</w:t>
      </w:r>
    </w:p>
    <w:p w14:paraId="53F8E21B" w14:textId="06C1B93B" w:rsidR="002C6CF1" w:rsidRDefault="00BF743C" w:rsidP="00BF743C">
      <w:pPr>
        <w:ind w:left="1080" w:hanging="720"/>
      </w:pPr>
      <w:r>
        <w:t>c)</w:t>
      </w:r>
      <w:r>
        <w:tab/>
      </w:r>
      <w:r w:rsidR="002C6CF1">
        <w:t xml:space="preserve">Whether a student </w:t>
      </w:r>
      <w:r w:rsidR="002D3D4F">
        <w:t xml:space="preserve">continued with economics in the </w:t>
      </w:r>
      <w:r w:rsidR="002C6CF1">
        <w:t xml:space="preserve">next year of </w:t>
      </w:r>
      <w:r w:rsidR="002D3D4F">
        <w:t xml:space="preserve">studies, </w:t>
      </w:r>
      <w:r w:rsidR="002C6CF1">
        <w:t>2020 (administrative data, binary variable based on enrolments in compulsory second</w:t>
      </w:r>
      <w:r w:rsidR="002C6CF1">
        <w:noBreakHyphen/>
        <w:t xml:space="preserve"> or third</w:t>
      </w:r>
      <w:r w:rsidR="002C6CF1">
        <w:noBreakHyphen/>
        <w:t>year economics courses)</w:t>
      </w:r>
    </w:p>
    <w:p w14:paraId="0E06F730" w14:textId="5989B8A8" w:rsidR="002C6CF1" w:rsidRDefault="00BF743C" w:rsidP="00BF743C">
      <w:pPr>
        <w:ind w:left="1080" w:hanging="720"/>
      </w:pPr>
      <w:r>
        <w:t>d)</w:t>
      </w:r>
      <w:r>
        <w:tab/>
      </w:r>
      <w:r w:rsidR="002C6CF1">
        <w:t>Whether a student completes an economics major (administrative data, binary variable)</w:t>
      </w:r>
    </w:p>
    <w:p w14:paraId="6D9C4F3B" w14:textId="77777777" w:rsidR="00095258" w:rsidRDefault="00A36E1D" w:rsidP="00A36E1D">
      <w:r>
        <w:t xml:space="preserve">We dropped </w:t>
      </w:r>
      <w:r w:rsidR="00196F1C">
        <w:t xml:space="preserve">outcomes (a) and (b), </w:t>
      </w:r>
      <w:r>
        <w:t>the two survey</w:t>
      </w:r>
      <w:r>
        <w:noBreakHyphen/>
        <w:t xml:space="preserve">based measures of intentions to </w:t>
      </w:r>
      <w:r w:rsidR="00196F1C">
        <w:t>continue with economics studies,</w:t>
      </w:r>
      <w:r>
        <w:t xml:space="preserve"> because the endline survey response rates (55</w:t>
      </w:r>
      <w:r w:rsidR="00BC2A59">
        <w:t xml:space="preserve"> per cent</w:t>
      </w:r>
      <w:r>
        <w:t xml:space="preserve"> for treatment, 45</w:t>
      </w:r>
      <w:r w:rsidR="00BC2A59">
        <w:t xml:space="preserve"> per cent</w:t>
      </w:r>
      <w:r>
        <w:t xml:space="preserve"> for control) were too low. </w:t>
      </w:r>
    </w:p>
    <w:p w14:paraId="7F79C1A5" w14:textId="4CED370D" w:rsidR="00F20939" w:rsidRDefault="00F20939" w:rsidP="00F20939">
      <w:r>
        <w:t xml:space="preserve">We modified outcome (c)—the proportion of students who proceed to the next year of economics studies—in two ways. First, we expanded its scope modestly to include enrolment in compulsory </w:t>
      </w:r>
      <w:r w:rsidRPr="00A36E1D">
        <w:rPr>
          <w:i/>
        </w:rPr>
        <w:t>first</w:t>
      </w:r>
      <w:r w:rsidRPr="00A36E1D">
        <w:rPr>
          <w:i/>
        </w:rPr>
        <w:noBreakHyphen/>
        <w:t>year</w:t>
      </w:r>
      <w:r>
        <w:t xml:space="preserve"> economics subjects, so the binary variable was marked ‘yes’ for enrolment in </w:t>
      </w:r>
      <w:r w:rsidR="00EC0422">
        <w:t xml:space="preserve">any ‘core’ unit required for an economics major: </w:t>
      </w:r>
      <w:r>
        <w:t>microeconomics 1, 2 or 3 or macroeconomics 1, 2 or 3.</w:t>
      </w:r>
      <w:r w:rsidR="00EC0422">
        <w:rPr>
          <w:rStyle w:val="FootnoteReference"/>
        </w:rPr>
        <w:footnoteReference w:id="7"/>
      </w:r>
      <w:r>
        <w:t xml:space="preserve"> Second, we applied outcome (c) to the </w:t>
      </w:r>
      <w:r w:rsidRPr="00935EE5">
        <w:rPr>
          <w:i/>
        </w:rPr>
        <w:t>next semester</w:t>
      </w:r>
      <w:r>
        <w:t xml:space="preserve"> (that is, semester two 2019) rather than the </w:t>
      </w:r>
      <w:r w:rsidRPr="00A36E1D">
        <w:rPr>
          <w:i/>
        </w:rPr>
        <w:t>next year</w:t>
      </w:r>
      <w:r>
        <w:t xml:space="preserve"> (as prespecified) because, by 2020, </w:t>
      </w:r>
      <w:r w:rsidR="006E501B">
        <w:t>17 </w:t>
      </w:r>
      <w:r>
        <w:t>later</w:t>
      </w:r>
      <w:r>
        <w:noBreakHyphen/>
        <w:t>year students had already completed their degree and so could not enrol in any of the core economics units.</w:t>
      </w:r>
      <w:r w:rsidR="006E501B">
        <w:t xml:space="preserve"> </w:t>
      </w:r>
      <w:r w:rsidR="00EC0422">
        <w:t>W</w:t>
      </w:r>
      <w:r w:rsidR="006E501B">
        <w:t xml:space="preserve">e regard </w:t>
      </w:r>
      <w:r w:rsidR="00EC0422">
        <w:t xml:space="preserve">both </w:t>
      </w:r>
      <w:r w:rsidR="006E501B">
        <w:t>change</w:t>
      </w:r>
      <w:r w:rsidR="00EC0422">
        <w:t xml:space="preserve">s as minor and </w:t>
      </w:r>
      <w:r w:rsidR="006E501B">
        <w:t>consistent with the intent of our pre</w:t>
      </w:r>
      <w:r w:rsidR="006E501B">
        <w:noBreakHyphen/>
        <w:t>specified outcome.</w:t>
      </w:r>
    </w:p>
    <w:p w14:paraId="7D06C622" w14:textId="7D381ECD" w:rsidR="00F20939" w:rsidRDefault="006E501B" w:rsidP="00F20939">
      <w:r>
        <w:t>We were unable to use outcome (d) as prespecified due to unanticipated difficulties in getting data on completion of an economics major. Instead, t</w:t>
      </w:r>
      <w:r w:rsidR="00F20939">
        <w:t>o assess the impact of the program in 2020, we combined economics degree completion and</w:t>
      </w:r>
      <w:r>
        <w:t>—for those who had not yet completed their degree—</w:t>
      </w:r>
      <w:r w:rsidR="00F20939">
        <w:t xml:space="preserve">enrolment in </w:t>
      </w:r>
      <w:r>
        <w:t xml:space="preserve">a </w:t>
      </w:r>
      <w:r w:rsidR="00F20939">
        <w:t>core economics unit.</w:t>
      </w:r>
      <w:r w:rsidR="00EC0422">
        <w:rPr>
          <w:rStyle w:val="FootnoteReference"/>
        </w:rPr>
        <w:footnoteReference w:id="8"/>
      </w:r>
      <w:r w:rsidR="00F20939">
        <w:t xml:space="preserve"> </w:t>
      </w:r>
      <w:r w:rsidR="00EC0422">
        <w:t xml:space="preserve">This hybrid outcome is strongly connected to the intent of the mentoring program to encourage students to complete an economics major or degree and thus, we believe, </w:t>
      </w:r>
      <w:r>
        <w:t>is also consistent with the intent of our prespecified outcomes</w:t>
      </w:r>
      <w:r w:rsidR="00EC0422">
        <w:t xml:space="preserve">. However, </w:t>
      </w:r>
      <w:r>
        <w:t>it involves a more substantial deviation from our pre</w:t>
      </w:r>
      <w:r>
        <w:noBreakHyphen/>
        <w:t xml:space="preserve">analysis plan so </w:t>
      </w:r>
      <w:r w:rsidR="00EC0422">
        <w:t xml:space="preserve">the </w:t>
      </w:r>
      <w:r>
        <w:t xml:space="preserve">results </w:t>
      </w:r>
      <w:r w:rsidR="00EC0422">
        <w:t xml:space="preserve">for this outcome should </w:t>
      </w:r>
      <w:r>
        <w:t>be interpreted with some caution.</w:t>
      </w:r>
      <w:r w:rsidR="00F20939">
        <w:t xml:space="preserve"> </w:t>
      </w:r>
    </w:p>
    <w:p w14:paraId="38A4C318" w14:textId="32752B0B" w:rsidR="006E501B" w:rsidRDefault="006E501B" w:rsidP="00F20939">
      <w:r w:rsidRPr="006E501B">
        <w:t>Due to the impact of COVID-19, in S1 2020 students were given the option of replacing their grade for any unit with ‘Course Requirement Satisfied/Not Satisfied’. There were 18 students who took this option for at least one unit and so these units are not reflected in their GPA.</w:t>
      </w:r>
    </w:p>
    <w:p w14:paraId="4985315D" w14:textId="385E16E0" w:rsidR="001E5FE8" w:rsidRDefault="002C6CF1" w:rsidP="001E5FE8">
      <w:r>
        <w:t xml:space="preserve">We also </w:t>
      </w:r>
      <w:r w:rsidR="001E5FE8">
        <w:t xml:space="preserve">prespecified </w:t>
      </w:r>
      <w:r w:rsidR="001E5FE8" w:rsidRPr="001E5FE8">
        <w:rPr>
          <w:b/>
        </w:rPr>
        <w:t>secondary outcomes</w:t>
      </w:r>
      <w:r w:rsidR="001E5FE8">
        <w:t xml:space="preserve"> </w:t>
      </w:r>
      <w:r>
        <w:t xml:space="preserve">for </w:t>
      </w:r>
      <w:r w:rsidR="001E5FE8">
        <w:t xml:space="preserve">several </w:t>
      </w:r>
      <w:r>
        <w:t xml:space="preserve">mediator variables that, we </w:t>
      </w:r>
      <w:r w:rsidR="001E5FE8">
        <w:t>hypothesised</w:t>
      </w:r>
      <w:r>
        <w:t xml:space="preserve">, should </w:t>
      </w:r>
      <w:r w:rsidR="001E5FE8">
        <w:t xml:space="preserve">lead to changes in the </w:t>
      </w:r>
      <w:r>
        <w:t>primary outcomes</w:t>
      </w:r>
      <w:r w:rsidR="00935EE5">
        <w:t>. However, these were all survey</w:t>
      </w:r>
      <w:r w:rsidR="00935EE5">
        <w:noBreakHyphen/>
        <w:t>based measures and, due low a</w:t>
      </w:r>
      <w:r w:rsidR="001E5FE8">
        <w:t>nd differential survey response rates, we did not conduct statistical tests on the differences in these variables</w:t>
      </w:r>
      <w:r w:rsidR="00935EE5">
        <w:t>.</w:t>
      </w:r>
      <w:r w:rsidR="005E34F8">
        <w:t xml:space="preserve"> Where descriptive statistics seemed informative, they are reported in the Results section or in Appendix </w:t>
      </w:r>
      <w:r w:rsidR="00EC0422">
        <w:t>3</w:t>
      </w:r>
      <w:r w:rsidR="005E34F8">
        <w:t xml:space="preserve"> below. </w:t>
      </w:r>
    </w:p>
    <w:p w14:paraId="325A85A7" w14:textId="53A10FC9" w:rsidR="001E5FE8" w:rsidRDefault="001E5FE8" w:rsidP="001E5FE8">
      <w:r>
        <w:t xml:space="preserve">Finally, we </w:t>
      </w:r>
      <w:r w:rsidR="005E34F8">
        <w:t xml:space="preserve">conducted </w:t>
      </w:r>
      <w:r w:rsidR="005E34F8" w:rsidRPr="005E34F8">
        <w:rPr>
          <w:b/>
        </w:rPr>
        <w:t>exploratory analysis</w:t>
      </w:r>
      <w:r w:rsidR="005E34F8">
        <w:t xml:space="preserve"> </w:t>
      </w:r>
      <w:r>
        <w:t xml:space="preserve">on students’ </w:t>
      </w:r>
      <w:r w:rsidR="005E34F8">
        <w:t>Grade Point Average (GPA), which took values from zero to seven</w:t>
      </w:r>
      <w:r w:rsidR="00DE22BC">
        <w:t>. (That is, High Distinction=7, Distinction=6, Credit=5, Pass or Pass at supplementary exam=4 and zero is assigned for Fail, Not completed/fail, or Withdrawn with failure.)</w:t>
      </w:r>
      <w:r>
        <w:t xml:space="preserve"> Although we did not pre</w:t>
      </w:r>
      <w:r w:rsidR="00F06F10">
        <w:noBreakHyphen/>
      </w:r>
      <w:r>
        <w:t>specify this outcome or an associated hypothesis, we did conduct statistical tests of whether grades were higher for the treatment group than for control.</w:t>
      </w:r>
      <w:r w:rsidR="00F06F10">
        <w:t xml:space="preserve"> </w:t>
      </w:r>
    </w:p>
    <w:p w14:paraId="24304A8F" w14:textId="2C040324" w:rsidR="00F539B3" w:rsidRPr="00267F1D" w:rsidRDefault="007C4693" w:rsidP="006D0013">
      <w:pPr>
        <w:pStyle w:val="Heading4"/>
      </w:pPr>
      <w:r>
        <w:t>Population and sampling</w:t>
      </w:r>
    </w:p>
    <w:p w14:paraId="6A3C8460" w14:textId="05A99114" w:rsidR="00673938" w:rsidRDefault="001E5FE8" w:rsidP="004A1EBF">
      <w:r w:rsidRPr="006E501B">
        <w:t xml:space="preserve">The population of interest </w:t>
      </w:r>
      <w:r w:rsidR="004E4FD5" w:rsidRPr="006E501B">
        <w:t xml:space="preserve">for </w:t>
      </w:r>
      <w:r w:rsidR="00645389">
        <w:t xml:space="preserve">evaluating a </w:t>
      </w:r>
      <w:r w:rsidR="00645389" w:rsidRPr="006E501B">
        <w:t xml:space="preserve">mentoring program </w:t>
      </w:r>
      <w:r w:rsidR="00645389">
        <w:t xml:space="preserve">like ours </w:t>
      </w:r>
      <w:r w:rsidRPr="006E501B">
        <w:t xml:space="preserve">is </w:t>
      </w:r>
      <w:r w:rsidR="005A7D75" w:rsidRPr="006E501B">
        <w:t xml:space="preserve">the subset of </w:t>
      </w:r>
      <w:r w:rsidRPr="006E501B">
        <w:t xml:space="preserve">women economics </w:t>
      </w:r>
      <w:r w:rsidR="005A7D75" w:rsidRPr="006E501B">
        <w:t xml:space="preserve">university </w:t>
      </w:r>
      <w:r w:rsidRPr="006E501B">
        <w:t>students who may wish to participate in a mentoring program.</w:t>
      </w:r>
      <w:r w:rsidR="00673938">
        <w:t xml:space="preserve"> This definition is vague because</w:t>
      </w:r>
      <w:r w:rsidR="00645389">
        <w:t xml:space="preserve"> the </w:t>
      </w:r>
      <w:r w:rsidR="00673938">
        <w:t xml:space="preserve">students who wish to participate may change depending on how it is advertised. </w:t>
      </w:r>
      <w:r w:rsidR="00645389">
        <w:t>For example, m</w:t>
      </w:r>
      <w:r w:rsidR="00673938">
        <w:t>ore students may decide they are interested in the program if it is advertised more aggressively</w:t>
      </w:r>
      <w:r w:rsidR="00645389">
        <w:t xml:space="preserve">. </w:t>
      </w:r>
      <w:r w:rsidR="00673938">
        <w:t xml:space="preserve">This is relevant for generalising the results of this study as </w:t>
      </w:r>
      <w:r w:rsidR="00645389">
        <w:t xml:space="preserve">the </w:t>
      </w:r>
      <w:r w:rsidR="00673938" w:rsidRPr="006E501B">
        <w:t xml:space="preserve">mentoring program </w:t>
      </w:r>
      <w:r w:rsidR="00673938">
        <w:t xml:space="preserve">may </w:t>
      </w:r>
      <w:r w:rsidR="00673938" w:rsidRPr="006E501B">
        <w:t>have different impact</w:t>
      </w:r>
      <w:r w:rsidR="00673938">
        <w:t xml:space="preserve">s for different </w:t>
      </w:r>
      <w:r w:rsidR="00645389">
        <w:t>students</w:t>
      </w:r>
      <w:r w:rsidR="00673938">
        <w:t xml:space="preserve">. For example, mentoring may be less effective </w:t>
      </w:r>
      <w:r w:rsidR="00673938" w:rsidRPr="006E501B">
        <w:t xml:space="preserve">for a student who only decides to participate after </w:t>
      </w:r>
      <w:r w:rsidR="00673938">
        <w:t xml:space="preserve">aggressive advertising </w:t>
      </w:r>
      <w:r w:rsidR="00673938" w:rsidRPr="006E501B">
        <w:t>as compared to a student who is eager to participate.</w:t>
      </w:r>
    </w:p>
    <w:p w14:paraId="5ACEAA8D" w14:textId="77777777" w:rsidR="00645389" w:rsidRPr="006E501B" w:rsidRDefault="00645389" w:rsidP="00645389">
      <w:r>
        <w:t>For this study, a</w:t>
      </w:r>
      <w:r w:rsidR="002C6CF1" w:rsidRPr="006E501B">
        <w:t xml:space="preserve">ll women students at </w:t>
      </w:r>
      <w:r w:rsidR="001E5FE8" w:rsidRPr="006E501B">
        <w:t xml:space="preserve">the </w:t>
      </w:r>
      <w:r w:rsidR="002C6CF1" w:rsidRPr="006E501B">
        <w:t xml:space="preserve">ANU who </w:t>
      </w:r>
      <w:r w:rsidR="001E5FE8" w:rsidRPr="006E501B">
        <w:t>wer</w:t>
      </w:r>
      <w:r w:rsidR="002C6CF1" w:rsidRPr="006E501B">
        <w:t>e enrolled</w:t>
      </w:r>
      <w:r w:rsidR="001E5FE8" w:rsidRPr="006E501B">
        <w:t>, in first semester 2018,</w:t>
      </w:r>
      <w:r w:rsidR="002C6CF1" w:rsidRPr="006E501B">
        <w:t xml:space="preserve"> in a </w:t>
      </w:r>
      <w:r w:rsidR="001E5FE8" w:rsidRPr="006E501B">
        <w:t>first</w:t>
      </w:r>
      <w:r w:rsidR="001E5FE8" w:rsidRPr="006E501B">
        <w:noBreakHyphen/>
      </w:r>
      <w:r w:rsidR="002C6CF1" w:rsidRPr="006E501B">
        <w:t xml:space="preserve"> or </w:t>
      </w:r>
      <w:r w:rsidR="001E5FE8" w:rsidRPr="006E501B">
        <w:t>second</w:t>
      </w:r>
      <w:r w:rsidR="001E5FE8" w:rsidRPr="006E501B">
        <w:noBreakHyphen/>
        <w:t>y</w:t>
      </w:r>
      <w:r w:rsidR="002C6CF1" w:rsidRPr="006E501B">
        <w:t xml:space="preserve">ear economics subject were eligible to apply for the mentoring program. </w:t>
      </w:r>
      <w:r w:rsidRPr="006E501B">
        <w:t>The program was advertised through a number of channels. The ANU sent an email distributed to first</w:t>
      </w:r>
      <w:r w:rsidRPr="006E501B">
        <w:noBreakHyphen/>
        <w:t xml:space="preserve"> and second</w:t>
      </w:r>
      <w:r w:rsidRPr="006E501B">
        <w:noBreakHyphen/>
        <w:t>year economics students, and advertised the program through the weekly ANU College of Business and Economics newsletter. The program was mentioned by lecturers in some of their first</w:t>
      </w:r>
      <w:r w:rsidRPr="006E501B">
        <w:noBreakHyphen/>
        <w:t xml:space="preserve"> and second</w:t>
      </w:r>
      <w:r w:rsidRPr="006E501B">
        <w:noBreakHyphen/>
        <w:t xml:space="preserve">year subjects. Finally, the program was advertised through the Women in Economics Network, the Economics Society of Australia and the Australian Government Economics Network.  </w:t>
      </w:r>
    </w:p>
    <w:p w14:paraId="3FED737E" w14:textId="6E123F21" w:rsidR="00E54C46" w:rsidRPr="006E501B" w:rsidRDefault="007C4693" w:rsidP="004A1EBF">
      <w:r>
        <w:t xml:space="preserve">The </w:t>
      </w:r>
      <w:r w:rsidR="00645389">
        <w:t xml:space="preserve">study </w:t>
      </w:r>
      <w:r>
        <w:t xml:space="preserve">sample </w:t>
      </w:r>
      <w:r w:rsidR="00E54C46" w:rsidRPr="006E501B">
        <w:t xml:space="preserve">comprised the 88 students who submitted a complete application by the closing date. To provide some indication of the eligible population, there were 1,376 students enrolled in microeconomics 1 or 2 in the relevant semester. Of these, 620 were women, suggesting our applications comprised about 14 per cent of the potential population. </w:t>
      </w:r>
    </w:p>
    <w:p w14:paraId="1608ED58" w14:textId="7A752143" w:rsidR="00653B6A" w:rsidRPr="006E501B" w:rsidRDefault="003F3621" w:rsidP="004A1EBF">
      <w:r w:rsidRPr="006E501B">
        <w:t>W</w:t>
      </w:r>
      <w:r w:rsidR="00E54C46" w:rsidRPr="006E501B">
        <w:t>e did not strictly enforce the</w:t>
      </w:r>
      <w:r w:rsidR="00100DF6" w:rsidRPr="006E501B">
        <w:t xml:space="preserve"> eligibility criteria: we simply asked applicants to confirm they met them. </w:t>
      </w:r>
      <w:r w:rsidR="00653B6A" w:rsidRPr="006E501B">
        <w:t xml:space="preserve">These criteria were relatively broad, as they included </w:t>
      </w:r>
      <w:r w:rsidR="0089137B" w:rsidRPr="006E501B">
        <w:t>at least 48 </w:t>
      </w:r>
      <w:r w:rsidR="00653B6A" w:rsidRPr="006E501B">
        <w:t>students</w:t>
      </w:r>
      <w:r w:rsidR="0089137B" w:rsidRPr="006E501B">
        <w:t xml:space="preserve"> (55</w:t>
      </w:r>
      <w:r w:rsidR="00100DF6" w:rsidRPr="006E501B">
        <w:t> per cent</w:t>
      </w:r>
      <w:r w:rsidR="0089137B" w:rsidRPr="006E501B">
        <w:t xml:space="preserve"> of the sample) </w:t>
      </w:r>
      <w:r w:rsidR="00653B6A" w:rsidRPr="006E501B">
        <w:t xml:space="preserve">who were not enrolled in a </w:t>
      </w:r>
      <w:r w:rsidR="00100DF6" w:rsidRPr="006E501B">
        <w:t>B</w:t>
      </w:r>
      <w:r w:rsidR="00653B6A" w:rsidRPr="006E501B">
        <w:t xml:space="preserve">achelor of </w:t>
      </w:r>
      <w:r w:rsidR="00100DF6" w:rsidRPr="006E501B">
        <w:t>E</w:t>
      </w:r>
      <w:r w:rsidR="00653B6A" w:rsidRPr="006E501B">
        <w:t>conomics.</w:t>
      </w:r>
      <w:r w:rsidR="00C140E2" w:rsidRPr="006E501B">
        <w:t xml:space="preserve"> Of these, 14 were pursuing masters degrees in economics, economic policy or applied economics, 10 were commerce students and another 8 were enrolled in Politics, Philos</w:t>
      </w:r>
      <w:r w:rsidR="00804477">
        <w:t>o</w:t>
      </w:r>
      <w:r w:rsidR="00C140E2" w:rsidRPr="006E501B">
        <w:t>phy and Economics. The remainder were studying a range of degrees including arts, finance, accounting, business administration and international relations.</w:t>
      </w:r>
    </w:p>
    <w:p w14:paraId="194DADE4" w14:textId="77777777" w:rsidR="0063664B" w:rsidRPr="00267F1D" w:rsidRDefault="0063664B" w:rsidP="006D0013">
      <w:pPr>
        <w:pStyle w:val="Heading4"/>
      </w:pPr>
      <w:r w:rsidRPr="00267F1D">
        <w:t xml:space="preserve">Power </w:t>
      </w:r>
      <w:r>
        <w:t>c</w:t>
      </w:r>
      <w:r w:rsidRPr="00267F1D">
        <w:t>alculations</w:t>
      </w:r>
      <w:r>
        <w:t xml:space="preserve"> and sample size</w:t>
      </w:r>
    </w:p>
    <w:p w14:paraId="4A662609" w14:textId="77777777" w:rsidR="00653B6A" w:rsidRPr="006E501B" w:rsidRDefault="00653B6A" w:rsidP="004A1EBF">
      <w:r w:rsidRPr="006E501B">
        <w:t xml:space="preserve">The sample size was determined by the number of applicants for the mentoring program, and the size of the treatment group was determined by the number of mentors available. </w:t>
      </w:r>
    </w:p>
    <w:p w14:paraId="738C5E52" w14:textId="77777777" w:rsidR="006059F7" w:rsidRPr="006E501B" w:rsidRDefault="00653B6A" w:rsidP="004A1EBF">
      <w:r w:rsidRPr="006E501B">
        <w:t>In our pre</w:t>
      </w:r>
      <w:r w:rsidRPr="006E501B">
        <w:noBreakHyphen/>
        <w:t>analysis plan, we noted this study had low statistical power to detect plausible effects of the mentoring program, if ind</w:t>
      </w:r>
      <w:r w:rsidR="006059F7" w:rsidRPr="006E501B">
        <w:t xml:space="preserve">eed it did have an effect. The original </w:t>
      </w:r>
      <w:r w:rsidRPr="006E501B">
        <w:t xml:space="preserve">power analysis </w:t>
      </w:r>
      <w:r w:rsidR="006059F7" w:rsidRPr="006E501B">
        <w:t xml:space="preserve">was based on </w:t>
      </w:r>
      <w:r w:rsidRPr="006E501B">
        <w:t>a range of scenarios</w:t>
      </w:r>
      <w:r w:rsidR="006059F7" w:rsidRPr="006E501B">
        <w:t xml:space="preserve"> that varied the sample size, treatment/control ratios, the test (one- or two</w:t>
      </w:r>
      <w:r w:rsidR="006059F7" w:rsidRPr="006E501B">
        <w:noBreakHyphen/>
        <w:t xml:space="preserve">sided), and plausible effect sizes. We used the conventional alpha of p &lt; 0.05 in the absence of a good rationale for a different choice. </w:t>
      </w:r>
    </w:p>
    <w:p w14:paraId="70F9962A" w14:textId="562FE298" w:rsidR="006059F7" w:rsidRPr="006E501B" w:rsidRDefault="006059F7" w:rsidP="004A1EBF">
      <w:r w:rsidRPr="006E501B">
        <w:t>We repeated the power analysis based on our final sample size (N</w:t>
      </w:r>
      <w:r w:rsidRPr="006E501B">
        <w:rPr>
          <w:vertAlign w:val="subscript"/>
        </w:rPr>
        <w:t>T</w:t>
      </w:r>
      <w:r w:rsidRPr="006E501B">
        <w:t>=55, N</w:t>
      </w:r>
      <w:r w:rsidRPr="006E501B">
        <w:rPr>
          <w:vertAlign w:val="subscript"/>
        </w:rPr>
        <w:t>C</w:t>
      </w:r>
      <w:r w:rsidRPr="006E501B">
        <w:t>=33), the one</w:t>
      </w:r>
      <w:r w:rsidRPr="006E501B">
        <w:noBreakHyphen/>
        <w:t>sided test that we pre</w:t>
      </w:r>
      <w:r w:rsidRPr="006E501B">
        <w:noBreakHyphen/>
        <w:t>specified, and the effect sizes we used for the initial scenarios (increases of 8</w:t>
      </w:r>
      <w:r w:rsidRPr="006E501B">
        <w:noBreakHyphen/>
        <w:t>10 percentage points from an estimated base rate of continuing with economics of 34</w:t>
      </w:r>
      <w:r w:rsidR="00BC2A59" w:rsidRPr="006E501B">
        <w:t xml:space="preserve"> per cent</w:t>
      </w:r>
      <w:r w:rsidRPr="006E501B">
        <w:t>). This suggested we had very low power—around 19</w:t>
      </w:r>
      <w:r w:rsidRPr="006E501B">
        <w:noBreakHyphen/>
        <w:t>24</w:t>
      </w:r>
      <w:r w:rsidR="00BC2A59" w:rsidRPr="006E501B">
        <w:t xml:space="preserve"> per cent</w:t>
      </w:r>
      <w:r w:rsidRPr="006E501B">
        <w:t>—to detect these effect sizes, if the program had such effects.</w:t>
      </w:r>
    </w:p>
    <w:p w14:paraId="77FBCC67" w14:textId="77777777" w:rsidR="0063664B" w:rsidRPr="00267F1D" w:rsidRDefault="0063664B" w:rsidP="006D0013">
      <w:pPr>
        <w:pStyle w:val="Heading4"/>
      </w:pPr>
      <w:r>
        <w:t>Randomisation and balance checks</w:t>
      </w:r>
    </w:p>
    <w:p w14:paraId="0D8162A2" w14:textId="7687698A" w:rsidR="00653B6A" w:rsidRPr="006E501B" w:rsidRDefault="00653B6A" w:rsidP="004A1EBF">
      <w:r w:rsidRPr="006E501B">
        <w:t xml:space="preserve">Prior to randomisation, we stratified the </w:t>
      </w:r>
      <w:r w:rsidR="007C4693">
        <w:t xml:space="preserve">sample </w:t>
      </w:r>
      <w:r w:rsidRPr="006E501B">
        <w:t xml:space="preserve">on three binary variables: </w:t>
      </w:r>
    </w:p>
    <w:p w14:paraId="37B19873" w14:textId="382854DE" w:rsidR="00653B6A" w:rsidRPr="006E501B" w:rsidRDefault="00BF743C" w:rsidP="00BF743C">
      <w:pPr>
        <w:ind w:left="720" w:hanging="360"/>
      </w:pPr>
      <w:r w:rsidRPr="006E501B">
        <w:rPr>
          <w:rFonts w:ascii="Symbol" w:hAnsi="Symbol"/>
        </w:rPr>
        <w:t></w:t>
      </w:r>
      <w:r w:rsidRPr="006E501B">
        <w:rPr>
          <w:rFonts w:ascii="Symbol" w:hAnsi="Symbol"/>
        </w:rPr>
        <w:tab/>
      </w:r>
      <w:r w:rsidR="00653B6A" w:rsidRPr="006E501B">
        <w:t xml:space="preserve">Year of study (first year or second year), </w:t>
      </w:r>
    </w:p>
    <w:p w14:paraId="33324513" w14:textId="3675392A" w:rsidR="00653B6A" w:rsidRPr="006E501B" w:rsidRDefault="00BF743C" w:rsidP="00BF743C">
      <w:pPr>
        <w:ind w:left="720" w:hanging="360"/>
      </w:pPr>
      <w:r w:rsidRPr="006E501B">
        <w:rPr>
          <w:rFonts w:ascii="Symbol" w:hAnsi="Symbol"/>
        </w:rPr>
        <w:t></w:t>
      </w:r>
      <w:r w:rsidRPr="006E501B">
        <w:rPr>
          <w:rFonts w:ascii="Symbol" w:hAnsi="Symbol"/>
        </w:rPr>
        <w:tab/>
      </w:r>
      <w:r w:rsidR="00653B6A" w:rsidRPr="006E501B">
        <w:t>Domestic/international student status, and</w:t>
      </w:r>
    </w:p>
    <w:p w14:paraId="2A90C6D1" w14:textId="57287C60" w:rsidR="00653B6A" w:rsidRPr="006E501B" w:rsidRDefault="00BF743C" w:rsidP="00BF743C">
      <w:pPr>
        <w:ind w:left="720" w:hanging="360"/>
      </w:pPr>
      <w:r w:rsidRPr="006E501B">
        <w:rPr>
          <w:rFonts w:ascii="Symbol" w:hAnsi="Symbol"/>
        </w:rPr>
        <w:t></w:t>
      </w:r>
      <w:r w:rsidRPr="006E501B">
        <w:rPr>
          <w:rFonts w:ascii="Symbol" w:hAnsi="Symbol"/>
        </w:rPr>
        <w:tab/>
      </w:r>
      <w:r w:rsidR="00653B6A" w:rsidRPr="006E501B">
        <w:t>Degree of study (</w:t>
      </w:r>
      <w:r w:rsidR="00C54E0D" w:rsidRPr="006E501B">
        <w:t>B</w:t>
      </w:r>
      <w:r w:rsidR="000F2FD3" w:rsidRPr="006E501B">
        <w:t xml:space="preserve">achelor of </w:t>
      </w:r>
      <w:r w:rsidR="00C54E0D" w:rsidRPr="006E501B">
        <w:t>E</w:t>
      </w:r>
      <w:r w:rsidR="000F2FD3" w:rsidRPr="006E501B">
        <w:t>conomics</w:t>
      </w:r>
      <w:r w:rsidR="00C54E0D" w:rsidRPr="006E501B">
        <w:t xml:space="preserve"> or</w:t>
      </w:r>
      <w:r w:rsidR="00653B6A" w:rsidRPr="006E501B">
        <w:t xml:space="preserve"> not).</w:t>
      </w:r>
    </w:p>
    <w:p w14:paraId="6669E80D" w14:textId="1F6108BF" w:rsidR="00C54E0D" w:rsidRPr="006E501B" w:rsidRDefault="00C54E0D" w:rsidP="004A1EBF">
      <w:r w:rsidRPr="006E501B">
        <w:t xml:space="preserve">This should have given us eight strata cells however there was only one student in one of the cells (first year, international student enrolled in a Bachelor of Economics) so she was placed in the same cell as other first year, international students. </w:t>
      </w:r>
      <w:r w:rsidR="00653B6A" w:rsidRPr="006E501B">
        <w:t xml:space="preserve">We </w:t>
      </w:r>
      <w:r w:rsidR="000F2FD3" w:rsidRPr="006E501B">
        <w:t xml:space="preserve">then </w:t>
      </w:r>
      <w:r w:rsidR="00653B6A" w:rsidRPr="006E501B">
        <w:t>randomised within each stratum using simple randomisation. That is, we used a random number generator to assign</w:t>
      </w:r>
      <w:r w:rsidRPr="006E501B">
        <w:t>—</w:t>
      </w:r>
      <w:r w:rsidR="00653B6A" w:rsidRPr="006E501B">
        <w:t>within each stratum</w:t>
      </w:r>
      <w:r w:rsidRPr="006E501B">
        <w:t>—</w:t>
      </w:r>
      <w:r w:rsidR="00B04153" w:rsidRPr="006E501B">
        <w:t xml:space="preserve">approximately </w:t>
      </w:r>
      <w:r w:rsidR="00653B6A" w:rsidRPr="006E501B">
        <w:t>a fixed proportion (</w:t>
      </w:r>
      <w:r w:rsidR="00B04153" w:rsidRPr="006E501B">
        <w:t>33/</w:t>
      </w:r>
      <w:r w:rsidR="00653B6A" w:rsidRPr="006E501B">
        <w:t>5</w:t>
      </w:r>
      <w:r w:rsidRPr="006E501B">
        <w:t>5</w:t>
      </w:r>
      <w:r w:rsidR="00B04153" w:rsidRPr="006E501B">
        <w:t>, or 60 per cent</w:t>
      </w:r>
      <w:r w:rsidR="00653B6A" w:rsidRPr="006E501B">
        <w:t xml:space="preserve">) of students to </w:t>
      </w:r>
      <w:r w:rsidR="00B04153" w:rsidRPr="006E501B">
        <w:t>control or treatment (</w:t>
      </w:r>
      <w:r w:rsidR="00653B6A" w:rsidRPr="006E501B">
        <w:t xml:space="preserve">the </w:t>
      </w:r>
      <w:r w:rsidR="00B04153" w:rsidRPr="006E501B">
        <w:t xml:space="preserve">mentoring </w:t>
      </w:r>
      <w:r w:rsidR="00653B6A" w:rsidRPr="006E501B">
        <w:t>program</w:t>
      </w:r>
      <w:r w:rsidR="00B04153" w:rsidRPr="006E501B">
        <w:t>)</w:t>
      </w:r>
      <w:r w:rsidR="00653B6A" w:rsidRPr="006E501B">
        <w:t>.</w:t>
      </w:r>
      <w:r w:rsidRPr="006E501B">
        <w:t xml:space="preserve"> In practice,</w:t>
      </w:r>
      <w:r w:rsidR="00B04153" w:rsidRPr="006E501B">
        <w:t xml:space="preserve"> the allocation within individual cells did not perfectly match this ratio (Figure </w:t>
      </w:r>
      <w:r w:rsidR="00B64A14" w:rsidRPr="006E501B">
        <w:t>8</w:t>
      </w:r>
      <w:r w:rsidR="00B04153" w:rsidRPr="006E501B">
        <w:t>).</w:t>
      </w:r>
      <w:r w:rsidRPr="006E501B">
        <w:t xml:space="preserve"> </w:t>
      </w:r>
    </w:p>
    <w:p w14:paraId="7ED45476" w14:textId="50D4EAE9" w:rsidR="00653B6A" w:rsidRDefault="00BF743C" w:rsidP="00BF743C">
      <w:pPr>
        <w:pStyle w:val="FigureHeading"/>
        <w:numPr>
          <w:ilvl w:val="0"/>
          <w:numId w:val="0"/>
        </w:numPr>
        <w:ind w:left="1429" w:hanging="720"/>
      </w:pPr>
      <w:r>
        <w:t xml:space="preserve">Figure 8: </w:t>
      </w:r>
      <w:r w:rsidR="00C54E0D">
        <w:t>Stratification variables</w:t>
      </w:r>
      <w:r w:rsidR="000F2FD3">
        <w:t xml:space="preserve"> </w:t>
      </w:r>
    </w:p>
    <w:tbl>
      <w:tblPr>
        <w:tblW w:w="8260" w:type="dxa"/>
        <w:tblLook w:val="04A0" w:firstRow="1" w:lastRow="0" w:firstColumn="1" w:lastColumn="0" w:noHBand="0" w:noVBand="1"/>
        <w:tblCaption w:val="Figure 8: Stratification variables "/>
      </w:tblPr>
      <w:tblGrid>
        <w:gridCol w:w="783"/>
        <w:gridCol w:w="1200"/>
        <w:gridCol w:w="1317"/>
        <w:gridCol w:w="1077"/>
        <w:gridCol w:w="960"/>
        <w:gridCol w:w="1183"/>
        <w:gridCol w:w="780"/>
        <w:gridCol w:w="960"/>
      </w:tblGrid>
      <w:tr w:rsidR="00C54E0D" w:rsidRPr="00C54E0D" w14:paraId="18C7122C" w14:textId="77777777" w:rsidTr="00731CEB">
        <w:trPr>
          <w:trHeight w:val="288"/>
          <w:tblHeader/>
        </w:trPr>
        <w:tc>
          <w:tcPr>
            <w:tcW w:w="783" w:type="dxa"/>
            <w:tcBorders>
              <w:top w:val="nil"/>
              <w:left w:val="nil"/>
              <w:bottom w:val="nil"/>
              <w:right w:val="nil"/>
            </w:tcBorders>
            <w:shd w:val="clear" w:color="000000" w:fill="142E3A"/>
            <w:noWrap/>
            <w:vAlign w:val="center"/>
            <w:hideMark/>
          </w:tcPr>
          <w:p w14:paraId="60993759" w14:textId="23403C71" w:rsidR="00C54E0D" w:rsidRPr="00C54E0D" w:rsidRDefault="00C54E0D" w:rsidP="000C48FB">
            <w:pPr>
              <w:keepNext/>
              <w:spacing w:before="0" w:after="0" w:line="240" w:lineRule="auto"/>
              <w:jc w:val="center"/>
              <w:rPr>
                <w:rFonts w:ascii="Arial" w:hAnsi="Arial" w:cs="Arial"/>
                <w:b/>
                <w:bCs/>
                <w:color w:val="FFFFFF"/>
                <w:szCs w:val="20"/>
              </w:rPr>
            </w:pPr>
            <w:r>
              <w:rPr>
                <w:rFonts w:ascii="Arial" w:hAnsi="Arial" w:cs="Arial"/>
                <w:b/>
                <w:bCs/>
                <w:color w:val="FFFFFF"/>
                <w:szCs w:val="20"/>
              </w:rPr>
              <w:t>Strata I</w:t>
            </w:r>
            <w:r w:rsidRPr="00C54E0D">
              <w:rPr>
                <w:rFonts w:ascii="Arial" w:hAnsi="Arial" w:cs="Arial"/>
                <w:b/>
                <w:bCs/>
                <w:color w:val="FFFFFF"/>
                <w:szCs w:val="20"/>
              </w:rPr>
              <w:t>D</w:t>
            </w:r>
          </w:p>
        </w:tc>
        <w:tc>
          <w:tcPr>
            <w:tcW w:w="1200" w:type="dxa"/>
            <w:tcBorders>
              <w:top w:val="nil"/>
              <w:left w:val="nil"/>
              <w:bottom w:val="nil"/>
              <w:right w:val="nil"/>
            </w:tcBorders>
            <w:shd w:val="clear" w:color="000000" w:fill="142E3A"/>
            <w:noWrap/>
            <w:vAlign w:val="center"/>
            <w:hideMark/>
          </w:tcPr>
          <w:p w14:paraId="70ED2EEA" w14:textId="0C9E629B" w:rsidR="00C54E0D" w:rsidRPr="00C54E0D" w:rsidRDefault="00C54E0D" w:rsidP="000C48FB">
            <w:pPr>
              <w:keepNext/>
              <w:spacing w:before="0" w:after="0" w:line="240" w:lineRule="auto"/>
              <w:jc w:val="center"/>
              <w:rPr>
                <w:rFonts w:ascii="Arial" w:hAnsi="Arial" w:cs="Arial"/>
                <w:b/>
                <w:bCs/>
                <w:color w:val="FFFFFF"/>
                <w:szCs w:val="20"/>
              </w:rPr>
            </w:pPr>
            <w:r>
              <w:rPr>
                <w:rFonts w:ascii="Arial" w:hAnsi="Arial" w:cs="Arial"/>
                <w:b/>
                <w:bCs/>
                <w:color w:val="FFFFFF"/>
                <w:szCs w:val="20"/>
              </w:rPr>
              <w:t>Year of study</w:t>
            </w:r>
          </w:p>
        </w:tc>
        <w:tc>
          <w:tcPr>
            <w:tcW w:w="1317" w:type="dxa"/>
            <w:tcBorders>
              <w:top w:val="nil"/>
              <w:left w:val="nil"/>
              <w:bottom w:val="nil"/>
              <w:right w:val="nil"/>
            </w:tcBorders>
            <w:shd w:val="clear" w:color="000000" w:fill="142E3A"/>
            <w:noWrap/>
            <w:vAlign w:val="center"/>
            <w:hideMark/>
          </w:tcPr>
          <w:p w14:paraId="562DC230" w14:textId="3665E55F" w:rsidR="00C54E0D" w:rsidRPr="00C54E0D" w:rsidRDefault="00C54E0D" w:rsidP="000C48FB">
            <w:pPr>
              <w:keepNext/>
              <w:spacing w:before="0" w:after="0" w:line="240" w:lineRule="auto"/>
              <w:jc w:val="center"/>
              <w:rPr>
                <w:rFonts w:ascii="Arial" w:hAnsi="Arial" w:cs="Arial"/>
                <w:b/>
                <w:bCs/>
                <w:color w:val="FFFFFF"/>
                <w:szCs w:val="20"/>
              </w:rPr>
            </w:pPr>
            <w:r>
              <w:rPr>
                <w:rFonts w:ascii="Arial" w:hAnsi="Arial" w:cs="Arial"/>
                <w:b/>
                <w:bCs/>
                <w:color w:val="FFFFFF"/>
                <w:szCs w:val="20"/>
              </w:rPr>
              <w:t>Residency status</w:t>
            </w:r>
          </w:p>
        </w:tc>
        <w:tc>
          <w:tcPr>
            <w:tcW w:w="1077" w:type="dxa"/>
            <w:tcBorders>
              <w:top w:val="nil"/>
              <w:left w:val="nil"/>
              <w:bottom w:val="nil"/>
              <w:right w:val="nil"/>
            </w:tcBorders>
            <w:shd w:val="clear" w:color="000000" w:fill="142E3A"/>
            <w:noWrap/>
            <w:vAlign w:val="center"/>
            <w:hideMark/>
          </w:tcPr>
          <w:p w14:paraId="347F9CF4" w14:textId="6A0AABFA" w:rsidR="00C54E0D" w:rsidRPr="00C54E0D" w:rsidRDefault="00C54E0D" w:rsidP="000C48FB">
            <w:pPr>
              <w:keepNext/>
              <w:spacing w:before="0" w:after="0" w:line="240" w:lineRule="auto"/>
              <w:jc w:val="center"/>
              <w:rPr>
                <w:rFonts w:ascii="Arial" w:hAnsi="Arial" w:cs="Arial"/>
                <w:b/>
                <w:bCs/>
                <w:color w:val="FFFFFF"/>
                <w:szCs w:val="20"/>
              </w:rPr>
            </w:pPr>
            <w:r>
              <w:rPr>
                <w:rFonts w:ascii="Arial" w:hAnsi="Arial" w:cs="Arial"/>
                <w:b/>
                <w:bCs/>
                <w:color w:val="FFFFFF"/>
                <w:szCs w:val="20"/>
              </w:rPr>
              <w:t>Degree</w:t>
            </w:r>
          </w:p>
        </w:tc>
        <w:tc>
          <w:tcPr>
            <w:tcW w:w="960" w:type="dxa"/>
            <w:tcBorders>
              <w:top w:val="nil"/>
              <w:left w:val="nil"/>
              <w:bottom w:val="nil"/>
              <w:right w:val="nil"/>
            </w:tcBorders>
            <w:shd w:val="clear" w:color="000000" w:fill="142E3A"/>
            <w:noWrap/>
            <w:vAlign w:val="center"/>
            <w:hideMark/>
          </w:tcPr>
          <w:p w14:paraId="1EB51D9A" w14:textId="77777777" w:rsidR="00C54E0D" w:rsidRPr="00C54E0D" w:rsidRDefault="00C54E0D" w:rsidP="000C48FB">
            <w:pPr>
              <w:keepNext/>
              <w:spacing w:before="0" w:after="0" w:line="240" w:lineRule="auto"/>
              <w:jc w:val="center"/>
              <w:rPr>
                <w:rFonts w:ascii="Arial" w:hAnsi="Arial" w:cs="Arial"/>
                <w:b/>
                <w:bCs/>
                <w:color w:val="FFFFFF"/>
                <w:szCs w:val="20"/>
              </w:rPr>
            </w:pPr>
            <w:r w:rsidRPr="00C54E0D">
              <w:rPr>
                <w:rFonts w:ascii="Arial" w:hAnsi="Arial" w:cs="Arial"/>
                <w:b/>
                <w:bCs/>
                <w:color w:val="FFFFFF"/>
                <w:szCs w:val="20"/>
              </w:rPr>
              <w:t>Control</w:t>
            </w:r>
          </w:p>
        </w:tc>
        <w:tc>
          <w:tcPr>
            <w:tcW w:w="1183" w:type="dxa"/>
            <w:tcBorders>
              <w:top w:val="nil"/>
              <w:left w:val="nil"/>
              <w:bottom w:val="nil"/>
              <w:right w:val="nil"/>
            </w:tcBorders>
            <w:shd w:val="clear" w:color="000000" w:fill="142E3A"/>
            <w:noWrap/>
            <w:vAlign w:val="center"/>
            <w:hideMark/>
          </w:tcPr>
          <w:p w14:paraId="253D5212" w14:textId="77777777" w:rsidR="00C54E0D" w:rsidRPr="00C54E0D" w:rsidRDefault="00C54E0D" w:rsidP="000C48FB">
            <w:pPr>
              <w:keepNext/>
              <w:spacing w:before="0" w:after="0" w:line="240" w:lineRule="auto"/>
              <w:jc w:val="center"/>
              <w:rPr>
                <w:rFonts w:ascii="Arial" w:hAnsi="Arial" w:cs="Arial"/>
                <w:b/>
                <w:bCs/>
                <w:color w:val="FFFFFF"/>
                <w:szCs w:val="20"/>
              </w:rPr>
            </w:pPr>
            <w:r w:rsidRPr="00C54E0D">
              <w:rPr>
                <w:rFonts w:ascii="Arial" w:hAnsi="Arial" w:cs="Arial"/>
                <w:b/>
                <w:bCs/>
                <w:color w:val="FFFFFF"/>
                <w:szCs w:val="20"/>
              </w:rPr>
              <w:t>Treatment</w:t>
            </w:r>
          </w:p>
        </w:tc>
        <w:tc>
          <w:tcPr>
            <w:tcW w:w="780" w:type="dxa"/>
            <w:tcBorders>
              <w:top w:val="nil"/>
              <w:left w:val="nil"/>
              <w:bottom w:val="nil"/>
              <w:right w:val="nil"/>
            </w:tcBorders>
            <w:shd w:val="clear" w:color="000000" w:fill="142E3A"/>
            <w:noWrap/>
            <w:vAlign w:val="center"/>
            <w:hideMark/>
          </w:tcPr>
          <w:p w14:paraId="3C824E10" w14:textId="77777777" w:rsidR="00C54E0D" w:rsidRPr="00C54E0D" w:rsidRDefault="00C54E0D" w:rsidP="000C48FB">
            <w:pPr>
              <w:keepNext/>
              <w:spacing w:before="0" w:after="0" w:line="240" w:lineRule="auto"/>
              <w:jc w:val="center"/>
              <w:rPr>
                <w:rFonts w:ascii="Arial" w:hAnsi="Arial" w:cs="Arial"/>
                <w:b/>
                <w:bCs/>
                <w:color w:val="FFFFFF"/>
                <w:szCs w:val="20"/>
              </w:rPr>
            </w:pPr>
            <w:r w:rsidRPr="00C54E0D">
              <w:rPr>
                <w:rFonts w:ascii="Arial" w:hAnsi="Arial" w:cs="Arial"/>
                <w:b/>
                <w:bCs/>
                <w:color w:val="FFFFFF"/>
                <w:szCs w:val="20"/>
              </w:rPr>
              <w:t>All</w:t>
            </w:r>
          </w:p>
        </w:tc>
        <w:tc>
          <w:tcPr>
            <w:tcW w:w="960" w:type="dxa"/>
            <w:tcBorders>
              <w:top w:val="nil"/>
              <w:left w:val="nil"/>
              <w:bottom w:val="nil"/>
              <w:right w:val="nil"/>
            </w:tcBorders>
            <w:shd w:val="clear" w:color="000000" w:fill="142E3A"/>
            <w:noWrap/>
            <w:vAlign w:val="center"/>
            <w:hideMark/>
          </w:tcPr>
          <w:p w14:paraId="6DF98743" w14:textId="0F2A935F" w:rsidR="00C54E0D" w:rsidRPr="00C54E0D" w:rsidRDefault="00B04153" w:rsidP="000C48FB">
            <w:pPr>
              <w:keepNext/>
              <w:spacing w:before="0" w:after="0" w:line="240" w:lineRule="auto"/>
              <w:jc w:val="center"/>
              <w:rPr>
                <w:rFonts w:ascii="Arial" w:hAnsi="Arial" w:cs="Arial"/>
                <w:b/>
                <w:bCs/>
                <w:color w:val="FFFFFF"/>
                <w:szCs w:val="20"/>
              </w:rPr>
            </w:pPr>
            <w:r>
              <w:rPr>
                <w:rFonts w:ascii="Arial" w:hAnsi="Arial" w:cs="Arial"/>
                <w:b/>
                <w:bCs/>
                <w:color w:val="FFFFFF"/>
                <w:szCs w:val="20"/>
              </w:rPr>
              <w:t>C:T</w:t>
            </w:r>
            <w:r w:rsidR="00C54E0D" w:rsidRPr="00C54E0D">
              <w:rPr>
                <w:rFonts w:ascii="Arial" w:hAnsi="Arial" w:cs="Arial"/>
                <w:b/>
                <w:bCs/>
                <w:color w:val="FFFFFF"/>
                <w:szCs w:val="20"/>
              </w:rPr>
              <w:t xml:space="preserve"> ratio</w:t>
            </w:r>
          </w:p>
        </w:tc>
      </w:tr>
      <w:tr w:rsidR="00C54E0D" w:rsidRPr="00C54E0D" w14:paraId="676E3BBF" w14:textId="77777777" w:rsidTr="00C54E0D">
        <w:trPr>
          <w:trHeight w:val="288"/>
        </w:trPr>
        <w:tc>
          <w:tcPr>
            <w:tcW w:w="783" w:type="dxa"/>
            <w:tcBorders>
              <w:top w:val="nil"/>
              <w:left w:val="nil"/>
              <w:bottom w:val="nil"/>
              <w:right w:val="nil"/>
            </w:tcBorders>
            <w:shd w:val="clear" w:color="000000" w:fill="F2F2F2"/>
            <w:noWrap/>
            <w:vAlign w:val="center"/>
            <w:hideMark/>
          </w:tcPr>
          <w:p w14:paraId="2810ED24" w14:textId="77777777" w:rsidR="00C54E0D" w:rsidRPr="00C54E0D" w:rsidRDefault="00C54E0D" w:rsidP="000C48FB">
            <w:pPr>
              <w:keepNext/>
              <w:spacing w:before="0" w:after="0" w:line="240" w:lineRule="auto"/>
              <w:jc w:val="center"/>
              <w:rPr>
                <w:rFonts w:ascii="Arial" w:hAnsi="Arial" w:cs="Arial"/>
                <w:color w:val="000000"/>
                <w:szCs w:val="20"/>
              </w:rPr>
            </w:pPr>
            <w:r w:rsidRPr="00C54E0D">
              <w:rPr>
                <w:rFonts w:ascii="Arial" w:hAnsi="Arial" w:cs="Arial"/>
                <w:color w:val="000000"/>
                <w:szCs w:val="20"/>
              </w:rPr>
              <w:t>1</w:t>
            </w:r>
          </w:p>
        </w:tc>
        <w:tc>
          <w:tcPr>
            <w:tcW w:w="1200" w:type="dxa"/>
            <w:tcBorders>
              <w:top w:val="nil"/>
              <w:left w:val="nil"/>
              <w:bottom w:val="nil"/>
              <w:right w:val="nil"/>
            </w:tcBorders>
            <w:shd w:val="clear" w:color="000000" w:fill="F2F2F2"/>
            <w:noWrap/>
            <w:vAlign w:val="center"/>
            <w:hideMark/>
          </w:tcPr>
          <w:p w14:paraId="2C6638AC"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Later year</w:t>
            </w:r>
          </w:p>
        </w:tc>
        <w:tc>
          <w:tcPr>
            <w:tcW w:w="1317" w:type="dxa"/>
            <w:tcBorders>
              <w:top w:val="nil"/>
              <w:left w:val="nil"/>
              <w:bottom w:val="nil"/>
              <w:right w:val="nil"/>
            </w:tcBorders>
            <w:shd w:val="clear" w:color="000000" w:fill="F2F2F2"/>
            <w:noWrap/>
            <w:vAlign w:val="center"/>
            <w:hideMark/>
          </w:tcPr>
          <w:p w14:paraId="6898F9F8"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International</w:t>
            </w:r>
          </w:p>
        </w:tc>
        <w:tc>
          <w:tcPr>
            <w:tcW w:w="1077" w:type="dxa"/>
            <w:tcBorders>
              <w:top w:val="nil"/>
              <w:left w:val="nil"/>
              <w:bottom w:val="nil"/>
              <w:right w:val="nil"/>
            </w:tcBorders>
            <w:shd w:val="clear" w:color="000000" w:fill="F2F2F2"/>
            <w:noWrap/>
            <w:vAlign w:val="center"/>
            <w:hideMark/>
          </w:tcPr>
          <w:p w14:paraId="4FBA96FA"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Non-B.Ec</w:t>
            </w:r>
          </w:p>
        </w:tc>
        <w:tc>
          <w:tcPr>
            <w:tcW w:w="960" w:type="dxa"/>
            <w:tcBorders>
              <w:top w:val="nil"/>
              <w:left w:val="nil"/>
              <w:bottom w:val="nil"/>
              <w:right w:val="nil"/>
            </w:tcBorders>
            <w:shd w:val="clear" w:color="000000" w:fill="F2F2F2"/>
            <w:noWrap/>
            <w:vAlign w:val="center"/>
            <w:hideMark/>
          </w:tcPr>
          <w:p w14:paraId="443EE6A3"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4</w:t>
            </w:r>
          </w:p>
        </w:tc>
        <w:tc>
          <w:tcPr>
            <w:tcW w:w="1183" w:type="dxa"/>
            <w:tcBorders>
              <w:top w:val="nil"/>
              <w:left w:val="nil"/>
              <w:bottom w:val="nil"/>
              <w:right w:val="nil"/>
            </w:tcBorders>
            <w:shd w:val="clear" w:color="000000" w:fill="F2F2F2"/>
            <w:noWrap/>
            <w:vAlign w:val="center"/>
            <w:hideMark/>
          </w:tcPr>
          <w:p w14:paraId="3C22D1AF"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6</w:t>
            </w:r>
          </w:p>
        </w:tc>
        <w:tc>
          <w:tcPr>
            <w:tcW w:w="780" w:type="dxa"/>
            <w:tcBorders>
              <w:top w:val="nil"/>
              <w:left w:val="nil"/>
              <w:bottom w:val="nil"/>
              <w:right w:val="nil"/>
            </w:tcBorders>
            <w:shd w:val="clear" w:color="000000" w:fill="F2F2F2"/>
            <w:noWrap/>
            <w:vAlign w:val="center"/>
            <w:hideMark/>
          </w:tcPr>
          <w:p w14:paraId="1ED2F194"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10</w:t>
            </w:r>
          </w:p>
        </w:tc>
        <w:tc>
          <w:tcPr>
            <w:tcW w:w="960" w:type="dxa"/>
            <w:tcBorders>
              <w:top w:val="nil"/>
              <w:left w:val="nil"/>
              <w:bottom w:val="nil"/>
              <w:right w:val="nil"/>
            </w:tcBorders>
            <w:shd w:val="clear" w:color="000000" w:fill="F2F2F2"/>
            <w:noWrap/>
            <w:vAlign w:val="center"/>
            <w:hideMark/>
          </w:tcPr>
          <w:p w14:paraId="1D8A8DCA"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67%</w:t>
            </w:r>
          </w:p>
        </w:tc>
      </w:tr>
      <w:tr w:rsidR="00C54E0D" w:rsidRPr="00C54E0D" w14:paraId="1F50BBDB" w14:textId="77777777" w:rsidTr="00C54E0D">
        <w:trPr>
          <w:trHeight w:val="288"/>
        </w:trPr>
        <w:tc>
          <w:tcPr>
            <w:tcW w:w="783" w:type="dxa"/>
            <w:tcBorders>
              <w:top w:val="nil"/>
              <w:left w:val="nil"/>
              <w:bottom w:val="nil"/>
              <w:right w:val="nil"/>
            </w:tcBorders>
            <w:shd w:val="clear" w:color="000000" w:fill="F2F2F2"/>
            <w:noWrap/>
            <w:vAlign w:val="center"/>
            <w:hideMark/>
          </w:tcPr>
          <w:p w14:paraId="0AF70587" w14:textId="77777777" w:rsidR="00C54E0D" w:rsidRPr="00C54E0D" w:rsidRDefault="00C54E0D" w:rsidP="000C48FB">
            <w:pPr>
              <w:keepNext/>
              <w:spacing w:before="0" w:after="0" w:line="240" w:lineRule="auto"/>
              <w:jc w:val="center"/>
              <w:rPr>
                <w:rFonts w:ascii="Arial" w:hAnsi="Arial" w:cs="Arial"/>
                <w:color w:val="000000"/>
                <w:szCs w:val="20"/>
              </w:rPr>
            </w:pPr>
            <w:r w:rsidRPr="00C54E0D">
              <w:rPr>
                <w:rFonts w:ascii="Arial" w:hAnsi="Arial" w:cs="Arial"/>
                <w:color w:val="000000"/>
                <w:szCs w:val="20"/>
              </w:rPr>
              <w:t>2</w:t>
            </w:r>
          </w:p>
        </w:tc>
        <w:tc>
          <w:tcPr>
            <w:tcW w:w="1200" w:type="dxa"/>
            <w:tcBorders>
              <w:top w:val="nil"/>
              <w:left w:val="nil"/>
              <w:bottom w:val="nil"/>
              <w:right w:val="nil"/>
            </w:tcBorders>
            <w:shd w:val="clear" w:color="000000" w:fill="F2F2F2"/>
            <w:noWrap/>
            <w:vAlign w:val="center"/>
            <w:hideMark/>
          </w:tcPr>
          <w:p w14:paraId="419BB82D"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Later year</w:t>
            </w:r>
          </w:p>
        </w:tc>
        <w:tc>
          <w:tcPr>
            <w:tcW w:w="1317" w:type="dxa"/>
            <w:tcBorders>
              <w:top w:val="nil"/>
              <w:left w:val="nil"/>
              <w:bottom w:val="nil"/>
              <w:right w:val="nil"/>
            </w:tcBorders>
            <w:shd w:val="clear" w:color="000000" w:fill="F2F2F2"/>
            <w:noWrap/>
            <w:vAlign w:val="center"/>
            <w:hideMark/>
          </w:tcPr>
          <w:p w14:paraId="0DF56FAA"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International</w:t>
            </w:r>
          </w:p>
        </w:tc>
        <w:tc>
          <w:tcPr>
            <w:tcW w:w="1077" w:type="dxa"/>
            <w:tcBorders>
              <w:top w:val="nil"/>
              <w:left w:val="nil"/>
              <w:bottom w:val="nil"/>
              <w:right w:val="nil"/>
            </w:tcBorders>
            <w:shd w:val="clear" w:color="000000" w:fill="F2F2F2"/>
            <w:noWrap/>
            <w:vAlign w:val="center"/>
            <w:hideMark/>
          </w:tcPr>
          <w:p w14:paraId="1BC99404"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B.Ec</w:t>
            </w:r>
          </w:p>
        </w:tc>
        <w:tc>
          <w:tcPr>
            <w:tcW w:w="960" w:type="dxa"/>
            <w:tcBorders>
              <w:top w:val="nil"/>
              <w:left w:val="nil"/>
              <w:bottom w:val="nil"/>
              <w:right w:val="nil"/>
            </w:tcBorders>
            <w:shd w:val="clear" w:color="000000" w:fill="F2F2F2"/>
            <w:noWrap/>
            <w:vAlign w:val="center"/>
            <w:hideMark/>
          </w:tcPr>
          <w:p w14:paraId="1F402D54"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2</w:t>
            </w:r>
          </w:p>
        </w:tc>
        <w:tc>
          <w:tcPr>
            <w:tcW w:w="1183" w:type="dxa"/>
            <w:tcBorders>
              <w:top w:val="nil"/>
              <w:left w:val="nil"/>
              <w:bottom w:val="nil"/>
              <w:right w:val="nil"/>
            </w:tcBorders>
            <w:shd w:val="clear" w:color="000000" w:fill="F2F2F2"/>
            <w:noWrap/>
            <w:vAlign w:val="center"/>
            <w:hideMark/>
          </w:tcPr>
          <w:p w14:paraId="7C17BB1D"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4</w:t>
            </w:r>
          </w:p>
        </w:tc>
        <w:tc>
          <w:tcPr>
            <w:tcW w:w="780" w:type="dxa"/>
            <w:tcBorders>
              <w:top w:val="nil"/>
              <w:left w:val="nil"/>
              <w:bottom w:val="nil"/>
              <w:right w:val="nil"/>
            </w:tcBorders>
            <w:shd w:val="clear" w:color="000000" w:fill="F2F2F2"/>
            <w:noWrap/>
            <w:vAlign w:val="center"/>
            <w:hideMark/>
          </w:tcPr>
          <w:p w14:paraId="3572524E"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6</w:t>
            </w:r>
          </w:p>
        </w:tc>
        <w:tc>
          <w:tcPr>
            <w:tcW w:w="960" w:type="dxa"/>
            <w:tcBorders>
              <w:top w:val="nil"/>
              <w:left w:val="nil"/>
              <w:bottom w:val="nil"/>
              <w:right w:val="nil"/>
            </w:tcBorders>
            <w:shd w:val="clear" w:color="000000" w:fill="F2F2F2"/>
            <w:noWrap/>
            <w:vAlign w:val="center"/>
            <w:hideMark/>
          </w:tcPr>
          <w:p w14:paraId="7DCC3D18"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50%</w:t>
            </w:r>
          </w:p>
        </w:tc>
      </w:tr>
      <w:tr w:rsidR="00C54E0D" w:rsidRPr="00C54E0D" w14:paraId="5B2BA19E" w14:textId="77777777" w:rsidTr="00C54E0D">
        <w:trPr>
          <w:trHeight w:val="288"/>
        </w:trPr>
        <w:tc>
          <w:tcPr>
            <w:tcW w:w="783" w:type="dxa"/>
            <w:tcBorders>
              <w:top w:val="nil"/>
              <w:left w:val="nil"/>
              <w:bottom w:val="nil"/>
              <w:right w:val="nil"/>
            </w:tcBorders>
            <w:shd w:val="clear" w:color="000000" w:fill="F2F2F2"/>
            <w:noWrap/>
            <w:vAlign w:val="center"/>
            <w:hideMark/>
          </w:tcPr>
          <w:p w14:paraId="77437707" w14:textId="77777777" w:rsidR="00C54E0D" w:rsidRPr="00C54E0D" w:rsidRDefault="00C54E0D" w:rsidP="000C48FB">
            <w:pPr>
              <w:keepNext/>
              <w:spacing w:before="0" w:after="0" w:line="240" w:lineRule="auto"/>
              <w:jc w:val="center"/>
              <w:rPr>
                <w:rFonts w:ascii="Arial" w:hAnsi="Arial" w:cs="Arial"/>
                <w:color w:val="000000"/>
                <w:szCs w:val="20"/>
              </w:rPr>
            </w:pPr>
            <w:r w:rsidRPr="00C54E0D">
              <w:rPr>
                <w:rFonts w:ascii="Arial" w:hAnsi="Arial" w:cs="Arial"/>
                <w:color w:val="000000"/>
                <w:szCs w:val="20"/>
              </w:rPr>
              <w:t>3</w:t>
            </w:r>
          </w:p>
        </w:tc>
        <w:tc>
          <w:tcPr>
            <w:tcW w:w="1200" w:type="dxa"/>
            <w:tcBorders>
              <w:top w:val="nil"/>
              <w:left w:val="nil"/>
              <w:bottom w:val="nil"/>
              <w:right w:val="nil"/>
            </w:tcBorders>
            <w:shd w:val="clear" w:color="000000" w:fill="F2F2F2"/>
            <w:noWrap/>
            <w:vAlign w:val="center"/>
            <w:hideMark/>
          </w:tcPr>
          <w:p w14:paraId="723A49C4"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Later year</w:t>
            </w:r>
          </w:p>
        </w:tc>
        <w:tc>
          <w:tcPr>
            <w:tcW w:w="1317" w:type="dxa"/>
            <w:tcBorders>
              <w:top w:val="nil"/>
              <w:left w:val="nil"/>
              <w:bottom w:val="nil"/>
              <w:right w:val="nil"/>
            </w:tcBorders>
            <w:shd w:val="clear" w:color="000000" w:fill="F2F2F2"/>
            <w:noWrap/>
            <w:vAlign w:val="center"/>
            <w:hideMark/>
          </w:tcPr>
          <w:p w14:paraId="412CD8B8"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Domestic</w:t>
            </w:r>
          </w:p>
        </w:tc>
        <w:tc>
          <w:tcPr>
            <w:tcW w:w="1077" w:type="dxa"/>
            <w:tcBorders>
              <w:top w:val="nil"/>
              <w:left w:val="nil"/>
              <w:bottom w:val="nil"/>
              <w:right w:val="nil"/>
            </w:tcBorders>
            <w:shd w:val="clear" w:color="000000" w:fill="F2F2F2"/>
            <w:noWrap/>
            <w:vAlign w:val="center"/>
            <w:hideMark/>
          </w:tcPr>
          <w:p w14:paraId="7082CFB3"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Non-B.Ec</w:t>
            </w:r>
          </w:p>
        </w:tc>
        <w:tc>
          <w:tcPr>
            <w:tcW w:w="960" w:type="dxa"/>
            <w:tcBorders>
              <w:top w:val="nil"/>
              <w:left w:val="nil"/>
              <w:bottom w:val="nil"/>
              <w:right w:val="nil"/>
            </w:tcBorders>
            <w:shd w:val="clear" w:color="000000" w:fill="F2F2F2"/>
            <w:noWrap/>
            <w:vAlign w:val="center"/>
            <w:hideMark/>
          </w:tcPr>
          <w:p w14:paraId="65670375"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4</w:t>
            </w:r>
          </w:p>
        </w:tc>
        <w:tc>
          <w:tcPr>
            <w:tcW w:w="1183" w:type="dxa"/>
            <w:tcBorders>
              <w:top w:val="nil"/>
              <w:left w:val="nil"/>
              <w:bottom w:val="nil"/>
              <w:right w:val="nil"/>
            </w:tcBorders>
            <w:shd w:val="clear" w:color="000000" w:fill="F2F2F2"/>
            <w:noWrap/>
            <w:vAlign w:val="center"/>
            <w:hideMark/>
          </w:tcPr>
          <w:p w14:paraId="3BFC7C0A"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7</w:t>
            </w:r>
          </w:p>
        </w:tc>
        <w:tc>
          <w:tcPr>
            <w:tcW w:w="780" w:type="dxa"/>
            <w:tcBorders>
              <w:top w:val="nil"/>
              <w:left w:val="nil"/>
              <w:bottom w:val="nil"/>
              <w:right w:val="nil"/>
            </w:tcBorders>
            <w:shd w:val="clear" w:color="000000" w:fill="F2F2F2"/>
            <w:noWrap/>
            <w:vAlign w:val="center"/>
            <w:hideMark/>
          </w:tcPr>
          <w:p w14:paraId="602F71FC"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11</w:t>
            </w:r>
          </w:p>
        </w:tc>
        <w:tc>
          <w:tcPr>
            <w:tcW w:w="960" w:type="dxa"/>
            <w:tcBorders>
              <w:top w:val="nil"/>
              <w:left w:val="nil"/>
              <w:bottom w:val="nil"/>
              <w:right w:val="nil"/>
            </w:tcBorders>
            <w:shd w:val="clear" w:color="000000" w:fill="F2F2F2"/>
            <w:noWrap/>
            <w:vAlign w:val="center"/>
            <w:hideMark/>
          </w:tcPr>
          <w:p w14:paraId="1734AF09"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57%</w:t>
            </w:r>
          </w:p>
        </w:tc>
      </w:tr>
      <w:tr w:rsidR="00C54E0D" w:rsidRPr="00C54E0D" w14:paraId="238C67FD" w14:textId="77777777" w:rsidTr="00C54E0D">
        <w:trPr>
          <w:trHeight w:val="288"/>
        </w:trPr>
        <w:tc>
          <w:tcPr>
            <w:tcW w:w="783" w:type="dxa"/>
            <w:tcBorders>
              <w:top w:val="nil"/>
              <w:left w:val="nil"/>
              <w:bottom w:val="nil"/>
              <w:right w:val="nil"/>
            </w:tcBorders>
            <w:shd w:val="clear" w:color="000000" w:fill="F2F2F2"/>
            <w:noWrap/>
            <w:vAlign w:val="center"/>
            <w:hideMark/>
          </w:tcPr>
          <w:p w14:paraId="33E410D4" w14:textId="77777777" w:rsidR="00C54E0D" w:rsidRPr="00C54E0D" w:rsidRDefault="00C54E0D" w:rsidP="000C48FB">
            <w:pPr>
              <w:keepNext/>
              <w:spacing w:before="0" w:after="0" w:line="240" w:lineRule="auto"/>
              <w:jc w:val="center"/>
              <w:rPr>
                <w:rFonts w:ascii="Arial" w:hAnsi="Arial" w:cs="Arial"/>
                <w:color w:val="000000"/>
                <w:szCs w:val="20"/>
              </w:rPr>
            </w:pPr>
            <w:r w:rsidRPr="00C54E0D">
              <w:rPr>
                <w:rFonts w:ascii="Arial" w:hAnsi="Arial" w:cs="Arial"/>
                <w:color w:val="000000"/>
                <w:szCs w:val="20"/>
              </w:rPr>
              <w:t>4</w:t>
            </w:r>
          </w:p>
        </w:tc>
        <w:tc>
          <w:tcPr>
            <w:tcW w:w="1200" w:type="dxa"/>
            <w:tcBorders>
              <w:top w:val="nil"/>
              <w:left w:val="nil"/>
              <w:bottom w:val="nil"/>
              <w:right w:val="nil"/>
            </w:tcBorders>
            <w:shd w:val="clear" w:color="000000" w:fill="F2F2F2"/>
            <w:noWrap/>
            <w:vAlign w:val="center"/>
            <w:hideMark/>
          </w:tcPr>
          <w:p w14:paraId="4F66541B"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Later year</w:t>
            </w:r>
          </w:p>
        </w:tc>
        <w:tc>
          <w:tcPr>
            <w:tcW w:w="1317" w:type="dxa"/>
            <w:tcBorders>
              <w:top w:val="nil"/>
              <w:left w:val="nil"/>
              <w:bottom w:val="nil"/>
              <w:right w:val="nil"/>
            </w:tcBorders>
            <w:shd w:val="clear" w:color="000000" w:fill="F2F2F2"/>
            <w:noWrap/>
            <w:vAlign w:val="center"/>
            <w:hideMark/>
          </w:tcPr>
          <w:p w14:paraId="23B56767"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Domestic</w:t>
            </w:r>
          </w:p>
        </w:tc>
        <w:tc>
          <w:tcPr>
            <w:tcW w:w="1077" w:type="dxa"/>
            <w:tcBorders>
              <w:top w:val="nil"/>
              <w:left w:val="nil"/>
              <w:bottom w:val="nil"/>
              <w:right w:val="nil"/>
            </w:tcBorders>
            <w:shd w:val="clear" w:color="000000" w:fill="F2F2F2"/>
            <w:noWrap/>
            <w:vAlign w:val="center"/>
            <w:hideMark/>
          </w:tcPr>
          <w:p w14:paraId="014C9ADC"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B.Ec</w:t>
            </w:r>
          </w:p>
        </w:tc>
        <w:tc>
          <w:tcPr>
            <w:tcW w:w="960" w:type="dxa"/>
            <w:tcBorders>
              <w:top w:val="nil"/>
              <w:left w:val="nil"/>
              <w:bottom w:val="nil"/>
              <w:right w:val="nil"/>
            </w:tcBorders>
            <w:shd w:val="clear" w:color="000000" w:fill="F2F2F2"/>
            <w:noWrap/>
            <w:vAlign w:val="center"/>
            <w:hideMark/>
          </w:tcPr>
          <w:p w14:paraId="72DDA57D"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8</w:t>
            </w:r>
          </w:p>
        </w:tc>
        <w:tc>
          <w:tcPr>
            <w:tcW w:w="1183" w:type="dxa"/>
            <w:tcBorders>
              <w:top w:val="nil"/>
              <w:left w:val="nil"/>
              <w:bottom w:val="nil"/>
              <w:right w:val="nil"/>
            </w:tcBorders>
            <w:shd w:val="clear" w:color="000000" w:fill="F2F2F2"/>
            <w:noWrap/>
            <w:vAlign w:val="center"/>
            <w:hideMark/>
          </w:tcPr>
          <w:p w14:paraId="3C2295C3"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14</w:t>
            </w:r>
          </w:p>
        </w:tc>
        <w:tc>
          <w:tcPr>
            <w:tcW w:w="780" w:type="dxa"/>
            <w:tcBorders>
              <w:top w:val="nil"/>
              <w:left w:val="nil"/>
              <w:bottom w:val="nil"/>
              <w:right w:val="nil"/>
            </w:tcBorders>
            <w:shd w:val="clear" w:color="000000" w:fill="F2F2F2"/>
            <w:noWrap/>
            <w:vAlign w:val="center"/>
            <w:hideMark/>
          </w:tcPr>
          <w:p w14:paraId="15D827B1"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22</w:t>
            </w:r>
          </w:p>
        </w:tc>
        <w:tc>
          <w:tcPr>
            <w:tcW w:w="960" w:type="dxa"/>
            <w:tcBorders>
              <w:top w:val="nil"/>
              <w:left w:val="nil"/>
              <w:bottom w:val="nil"/>
              <w:right w:val="nil"/>
            </w:tcBorders>
            <w:shd w:val="clear" w:color="000000" w:fill="F2F2F2"/>
            <w:noWrap/>
            <w:vAlign w:val="center"/>
            <w:hideMark/>
          </w:tcPr>
          <w:p w14:paraId="20778094"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57%</w:t>
            </w:r>
          </w:p>
        </w:tc>
      </w:tr>
      <w:tr w:rsidR="00C54E0D" w:rsidRPr="00C54E0D" w14:paraId="0043DFEC" w14:textId="77777777" w:rsidTr="00C54E0D">
        <w:trPr>
          <w:trHeight w:val="288"/>
        </w:trPr>
        <w:tc>
          <w:tcPr>
            <w:tcW w:w="783" w:type="dxa"/>
            <w:tcBorders>
              <w:top w:val="nil"/>
              <w:left w:val="nil"/>
              <w:bottom w:val="nil"/>
              <w:right w:val="nil"/>
            </w:tcBorders>
            <w:shd w:val="clear" w:color="000000" w:fill="F2F2F2"/>
            <w:noWrap/>
            <w:vAlign w:val="center"/>
            <w:hideMark/>
          </w:tcPr>
          <w:p w14:paraId="5C7E0D8E" w14:textId="77777777" w:rsidR="00C54E0D" w:rsidRPr="00C54E0D" w:rsidRDefault="00C54E0D" w:rsidP="000C48FB">
            <w:pPr>
              <w:keepNext/>
              <w:spacing w:before="0" w:after="0" w:line="240" w:lineRule="auto"/>
              <w:jc w:val="center"/>
              <w:rPr>
                <w:rFonts w:ascii="Arial" w:hAnsi="Arial" w:cs="Arial"/>
                <w:color w:val="000000"/>
                <w:szCs w:val="20"/>
              </w:rPr>
            </w:pPr>
            <w:r w:rsidRPr="00C54E0D">
              <w:rPr>
                <w:rFonts w:ascii="Arial" w:hAnsi="Arial" w:cs="Arial"/>
                <w:color w:val="000000"/>
                <w:szCs w:val="20"/>
              </w:rPr>
              <w:t>5</w:t>
            </w:r>
          </w:p>
        </w:tc>
        <w:tc>
          <w:tcPr>
            <w:tcW w:w="1200" w:type="dxa"/>
            <w:tcBorders>
              <w:top w:val="nil"/>
              <w:left w:val="nil"/>
              <w:bottom w:val="nil"/>
              <w:right w:val="nil"/>
            </w:tcBorders>
            <w:shd w:val="clear" w:color="000000" w:fill="F2F2F2"/>
            <w:noWrap/>
            <w:vAlign w:val="center"/>
            <w:hideMark/>
          </w:tcPr>
          <w:p w14:paraId="6ADAE6B6"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First year</w:t>
            </w:r>
          </w:p>
        </w:tc>
        <w:tc>
          <w:tcPr>
            <w:tcW w:w="1317" w:type="dxa"/>
            <w:tcBorders>
              <w:top w:val="nil"/>
              <w:left w:val="nil"/>
              <w:bottom w:val="nil"/>
              <w:right w:val="nil"/>
            </w:tcBorders>
            <w:shd w:val="clear" w:color="000000" w:fill="F2F2F2"/>
            <w:noWrap/>
            <w:vAlign w:val="center"/>
            <w:hideMark/>
          </w:tcPr>
          <w:p w14:paraId="6AD1C40F"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International</w:t>
            </w:r>
          </w:p>
        </w:tc>
        <w:tc>
          <w:tcPr>
            <w:tcW w:w="1077" w:type="dxa"/>
            <w:tcBorders>
              <w:top w:val="nil"/>
              <w:left w:val="nil"/>
              <w:bottom w:val="nil"/>
              <w:right w:val="nil"/>
            </w:tcBorders>
            <w:shd w:val="clear" w:color="000000" w:fill="F2F2F2"/>
            <w:noWrap/>
            <w:vAlign w:val="center"/>
            <w:hideMark/>
          </w:tcPr>
          <w:p w14:paraId="0C5B5BAE"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Both</w:t>
            </w:r>
          </w:p>
        </w:tc>
        <w:tc>
          <w:tcPr>
            <w:tcW w:w="960" w:type="dxa"/>
            <w:tcBorders>
              <w:top w:val="nil"/>
              <w:left w:val="nil"/>
              <w:bottom w:val="nil"/>
              <w:right w:val="nil"/>
            </w:tcBorders>
            <w:shd w:val="clear" w:color="000000" w:fill="F2F2F2"/>
            <w:noWrap/>
            <w:vAlign w:val="center"/>
            <w:hideMark/>
          </w:tcPr>
          <w:p w14:paraId="27D8C8CD"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6</w:t>
            </w:r>
          </w:p>
        </w:tc>
        <w:tc>
          <w:tcPr>
            <w:tcW w:w="1183" w:type="dxa"/>
            <w:tcBorders>
              <w:top w:val="nil"/>
              <w:left w:val="nil"/>
              <w:bottom w:val="nil"/>
              <w:right w:val="nil"/>
            </w:tcBorders>
            <w:shd w:val="clear" w:color="000000" w:fill="F2F2F2"/>
            <w:noWrap/>
            <w:vAlign w:val="center"/>
            <w:hideMark/>
          </w:tcPr>
          <w:p w14:paraId="429C28DB"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10</w:t>
            </w:r>
          </w:p>
        </w:tc>
        <w:tc>
          <w:tcPr>
            <w:tcW w:w="780" w:type="dxa"/>
            <w:tcBorders>
              <w:top w:val="nil"/>
              <w:left w:val="nil"/>
              <w:bottom w:val="nil"/>
              <w:right w:val="nil"/>
            </w:tcBorders>
            <w:shd w:val="clear" w:color="000000" w:fill="F2F2F2"/>
            <w:noWrap/>
            <w:vAlign w:val="center"/>
            <w:hideMark/>
          </w:tcPr>
          <w:p w14:paraId="7BD81EDD"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16</w:t>
            </w:r>
          </w:p>
        </w:tc>
        <w:tc>
          <w:tcPr>
            <w:tcW w:w="960" w:type="dxa"/>
            <w:tcBorders>
              <w:top w:val="nil"/>
              <w:left w:val="nil"/>
              <w:bottom w:val="nil"/>
              <w:right w:val="nil"/>
            </w:tcBorders>
            <w:shd w:val="clear" w:color="000000" w:fill="F2F2F2"/>
            <w:noWrap/>
            <w:vAlign w:val="center"/>
            <w:hideMark/>
          </w:tcPr>
          <w:p w14:paraId="2D25052A"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60%</w:t>
            </w:r>
          </w:p>
        </w:tc>
      </w:tr>
      <w:tr w:rsidR="00C54E0D" w:rsidRPr="00C54E0D" w14:paraId="39AB07D1" w14:textId="77777777" w:rsidTr="00C54E0D">
        <w:trPr>
          <w:trHeight w:val="288"/>
        </w:trPr>
        <w:tc>
          <w:tcPr>
            <w:tcW w:w="783" w:type="dxa"/>
            <w:tcBorders>
              <w:top w:val="nil"/>
              <w:left w:val="nil"/>
              <w:bottom w:val="nil"/>
              <w:right w:val="nil"/>
            </w:tcBorders>
            <w:shd w:val="clear" w:color="000000" w:fill="F2F2F2"/>
            <w:noWrap/>
            <w:vAlign w:val="center"/>
            <w:hideMark/>
          </w:tcPr>
          <w:p w14:paraId="46F21509" w14:textId="77777777" w:rsidR="00C54E0D" w:rsidRPr="00C54E0D" w:rsidRDefault="00C54E0D" w:rsidP="000C48FB">
            <w:pPr>
              <w:keepNext/>
              <w:spacing w:before="0" w:after="0" w:line="240" w:lineRule="auto"/>
              <w:jc w:val="center"/>
              <w:rPr>
                <w:rFonts w:ascii="Arial" w:hAnsi="Arial" w:cs="Arial"/>
                <w:color w:val="000000"/>
                <w:szCs w:val="20"/>
              </w:rPr>
            </w:pPr>
            <w:r w:rsidRPr="00C54E0D">
              <w:rPr>
                <w:rFonts w:ascii="Arial" w:hAnsi="Arial" w:cs="Arial"/>
                <w:color w:val="000000"/>
                <w:szCs w:val="20"/>
              </w:rPr>
              <w:t>6</w:t>
            </w:r>
          </w:p>
        </w:tc>
        <w:tc>
          <w:tcPr>
            <w:tcW w:w="1200" w:type="dxa"/>
            <w:tcBorders>
              <w:top w:val="nil"/>
              <w:left w:val="nil"/>
              <w:bottom w:val="nil"/>
              <w:right w:val="nil"/>
            </w:tcBorders>
            <w:shd w:val="clear" w:color="000000" w:fill="F2F2F2"/>
            <w:noWrap/>
            <w:vAlign w:val="center"/>
            <w:hideMark/>
          </w:tcPr>
          <w:p w14:paraId="501DCBDE"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First year</w:t>
            </w:r>
          </w:p>
        </w:tc>
        <w:tc>
          <w:tcPr>
            <w:tcW w:w="1317" w:type="dxa"/>
            <w:tcBorders>
              <w:top w:val="nil"/>
              <w:left w:val="nil"/>
              <w:bottom w:val="nil"/>
              <w:right w:val="nil"/>
            </w:tcBorders>
            <w:shd w:val="clear" w:color="000000" w:fill="F2F2F2"/>
            <w:noWrap/>
            <w:vAlign w:val="center"/>
            <w:hideMark/>
          </w:tcPr>
          <w:p w14:paraId="2222E475"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Domestic</w:t>
            </w:r>
          </w:p>
        </w:tc>
        <w:tc>
          <w:tcPr>
            <w:tcW w:w="1077" w:type="dxa"/>
            <w:tcBorders>
              <w:top w:val="nil"/>
              <w:left w:val="nil"/>
              <w:bottom w:val="nil"/>
              <w:right w:val="nil"/>
            </w:tcBorders>
            <w:shd w:val="clear" w:color="000000" w:fill="F2F2F2"/>
            <w:noWrap/>
            <w:vAlign w:val="center"/>
            <w:hideMark/>
          </w:tcPr>
          <w:p w14:paraId="2FA32A0E"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Non-B.Ec</w:t>
            </w:r>
          </w:p>
        </w:tc>
        <w:tc>
          <w:tcPr>
            <w:tcW w:w="960" w:type="dxa"/>
            <w:tcBorders>
              <w:top w:val="nil"/>
              <w:left w:val="nil"/>
              <w:bottom w:val="nil"/>
              <w:right w:val="nil"/>
            </w:tcBorders>
            <w:shd w:val="clear" w:color="000000" w:fill="F2F2F2"/>
            <w:noWrap/>
            <w:vAlign w:val="center"/>
            <w:hideMark/>
          </w:tcPr>
          <w:p w14:paraId="219134DA"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4</w:t>
            </w:r>
          </w:p>
        </w:tc>
        <w:tc>
          <w:tcPr>
            <w:tcW w:w="1183" w:type="dxa"/>
            <w:tcBorders>
              <w:top w:val="nil"/>
              <w:left w:val="nil"/>
              <w:bottom w:val="nil"/>
              <w:right w:val="nil"/>
            </w:tcBorders>
            <w:shd w:val="clear" w:color="000000" w:fill="F2F2F2"/>
            <w:noWrap/>
            <w:vAlign w:val="center"/>
            <w:hideMark/>
          </w:tcPr>
          <w:p w14:paraId="5AA559E6"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8</w:t>
            </w:r>
          </w:p>
        </w:tc>
        <w:tc>
          <w:tcPr>
            <w:tcW w:w="780" w:type="dxa"/>
            <w:tcBorders>
              <w:top w:val="nil"/>
              <w:left w:val="nil"/>
              <w:bottom w:val="nil"/>
              <w:right w:val="nil"/>
            </w:tcBorders>
            <w:shd w:val="clear" w:color="000000" w:fill="F2F2F2"/>
            <w:noWrap/>
            <w:vAlign w:val="center"/>
            <w:hideMark/>
          </w:tcPr>
          <w:p w14:paraId="1476AA11"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12</w:t>
            </w:r>
          </w:p>
        </w:tc>
        <w:tc>
          <w:tcPr>
            <w:tcW w:w="960" w:type="dxa"/>
            <w:tcBorders>
              <w:top w:val="nil"/>
              <w:left w:val="nil"/>
              <w:bottom w:val="nil"/>
              <w:right w:val="nil"/>
            </w:tcBorders>
            <w:shd w:val="clear" w:color="000000" w:fill="F2F2F2"/>
            <w:noWrap/>
            <w:vAlign w:val="center"/>
            <w:hideMark/>
          </w:tcPr>
          <w:p w14:paraId="27671C07"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50%</w:t>
            </w:r>
          </w:p>
        </w:tc>
      </w:tr>
      <w:tr w:rsidR="00C54E0D" w:rsidRPr="00C54E0D" w14:paraId="0F36DFA6" w14:textId="77777777" w:rsidTr="00C54E0D">
        <w:trPr>
          <w:trHeight w:val="288"/>
        </w:trPr>
        <w:tc>
          <w:tcPr>
            <w:tcW w:w="783" w:type="dxa"/>
            <w:tcBorders>
              <w:top w:val="nil"/>
              <w:left w:val="nil"/>
              <w:bottom w:val="nil"/>
              <w:right w:val="nil"/>
            </w:tcBorders>
            <w:shd w:val="clear" w:color="000000" w:fill="F2F2F2"/>
            <w:noWrap/>
            <w:vAlign w:val="center"/>
            <w:hideMark/>
          </w:tcPr>
          <w:p w14:paraId="7157BD81" w14:textId="77777777" w:rsidR="00C54E0D" w:rsidRPr="00C54E0D" w:rsidRDefault="00C54E0D" w:rsidP="000C48FB">
            <w:pPr>
              <w:keepNext/>
              <w:spacing w:before="0" w:after="0" w:line="240" w:lineRule="auto"/>
              <w:jc w:val="center"/>
              <w:rPr>
                <w:rFonts w:ascii="Arial" w:hAnsi="Arial" w:cs="Arial"/>
                <w:color w:val="000000"/>
                <w:szCs w:val="20"/>
              </w:rPr>
            </w:pPr>
            <w:r w:rsidRPr="00C54E0D">
              <w:rPr>
                <w:rFonts w:ascii="Arial" w:hAnsi="Arial" w:cs="Arial"/>
                <w:color w:val="000000"/>
                <w:szCs w:val="20"/>
              </w:rPr>
              <w:t>7</w:t>
            </w:r>
          </w:p>
        </w:tc>
        <w:tc>
          <w:tcPr>
            <w:tcW w:w="1200" w:type="dxa"/>
            <w:tcBorders>
              <w:top w:val="nil"/>
              <w:left w:val="nil"/>
              <w:bottom w:val="nil"/>
              <w:right w:val="nil"/>
            </w:tcBorders>
            <w:shd w:val="clear" w:color="000000" w:fill="F2F2F2"/>
            <w:noWrap/>
            <w:vAlign w:val="center"/>
            <w:hideMark/>
          </w:tcPr>
          <w:p w14:paraId="4E0E033C"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First year</w:t>
            </w:r>
          </w:p>
        </w:tc>
        <w:tc>
          <w:tcPr>
            <w:tcW w:w="1317" w:type="dxa"/>
            <w:tcBorders>
              <w:top w:val="nil"/>
              <w:left w:val="nil"/>
              <w:bottom w:val="nil"/>
              <w:right w:val="nil"/>
            </w:tcBorders>
            <w:shd w:val="clear" w:color="000000" w:fill="F2F2F2"/>
            <w:noWrap/>
            <w:vAlign w:val="center"/>
            <w:hideMark/>
          </w:tcPr>
          <w:p w14:paraId="0A9EFAED"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Domestic</w:t>
            </w:r>
          </w:p>
        </w:tc>
        <w:tc>
          <w:tcPr>
            <w:tcW w:w="1077" w:type="dxa"/>
            <w:tcBorders>
              <w:top w:val="nil"/>
              <w:left w:val="nil"/>
              <w:bottom w:val="nil"/>
              <w:right w:val="nil"/>
            </w:tcBorders>
            <w:shd w:val="clear" w:color="000000" w:fill="F2F2F2"/>
            <w:noWrap/>
            <w:vAlign w:val="center"/>
            <w:hideMark/>
          </w:tcPr>
          <w:p w14:paraId="100D1FAE" w14:textId="77777777" w:rsidR="00C54E0D" w:rsidRPr="00C54E0D" w:rsidRDefault="00C54E0D" w:rsidP="000C48FB">
            <w:pPr>
              <w:keepNext/>
              <w:spacing w:before="0" w:after="0" w:line="240" w:lineRule="auto"/>
              <w:rPr>
                <w:rFonts w:ascii="Arial" w:hAnsi="Arial" w:cs="Arial"/>
                <w:color w:val="000000"/>
                <w:szCs w:val="20"/>
              </w:rPr>
            </w:pPr>
            <w:r w:rsidRPr="00C54E0D">
              <w:rPr>
                <w:rFonts w:ascii="Arial" w:hAnsi="Arial" w:cs="Arial"/>
                <w:color w:val="000000"/>
                <w:szCs w:val="20"/>
              </w:rPr>
              <w:t>B.Ec</w:t>
            </w:r>
          </w:p>
        </w:tc>
        <w:tc>
          <w:tcPr>
            <w:tcW w:w="960" w:type="dxa"/>
            <w:tcBorders>
              <w:top w:val="nil"/>
              <w:left w:val="nil"/>
              <w:bottom w:val="nil"/>
              <w:right w:val="nil"/>
            </w:tcBorders>
            <w:shd w:val="clear" w:color="000000" w:fill="F2F2F2"/>
            <w:noWrap/>
            <w:vAlign w:val="center"/>
            <w:hideMark/>
          </w:tcPr>
          <w:p w14:paraId="628517EC"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5</w:t>
            </w:r>
          </w:p>
        </w:tc>
        <w:tc>
          <w:tcPr>
            <w:tcW w:w="1183" w:type="dxa"/>
            <w:tcBorders>
              <w:top w:val="nil"/>
              <w:left w:val="nil"/>
              <w:bottom w:val="nil"/>
              <w:right w:val="nil"/>
            </w:tcBorders>
            <w:shd w:val="clear" w:color="000000" w:fill="F2F2F2"/>
            <w:noWrap/>
            <w:vAlign w:val="center"/>
            <w:hideMark/>
          </w:tcPr>
          <w:p w14:paraId="26F39E0A"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6</w:t>
            </w:r>
          </w:p>
        </w:tc>
        <w:tc>
          <w:tcPr>
            <w:tcW w:w="780" w:type="dxa"/>
            <w:tcBorders>
              <w:top w:val="nil"/>
              <w:left w:val="nil"/>
              <w:bottom w:val="nil"/>
              <w:right w:val="nil"/>
            </w:tcBorders>
            <w:shd w:val="clear" w:color="000000" w:fill="F2F2F2"/>
            <w:noWrap/>
            <w:vAlign w:val="center"/>
            <w:hideMark/>
          </w:tcPr>
          <w:p w14:paraId="6B02AF49"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11</w:t>
            </w:r>
          </w:p>
        </w:tc>
        <w:tc>
          <w:tcPr>
            <w:tcW w:w="960" w:type="dxa"/>
            <w:tcBorders>
              <w:top w:val="nil"/>
              <w:left w:val="nil"/>
              <w:bottom w:val="nil"/>
              <w:right w:val="nil"/>
            </w:tcBorders>
            <w:shd w:val="clear" w:color="000000" w:fill="F2F2F2"/>
            <w:noWrap/>
            <w:vAlign w:val="center"/>
            <w:hideMark/>
          </w:tcPr>
          <w:p w14:paraId="610B7290" w14:textId="77777777" w:rsidR="00C54E0D" w:rsidRPr="00C54E0D" w:rsidRDefault="00C54E0D" w:rsidP="000C48FB">
            <w:pPr>
              <w:keepNext/>
              <w:spacing w:before="0" w:after="0" w:line="240" w:lineRule="auto"/>
              <w:jc w:val="right"/>
              <w:rPr>
                <w:rFonts w:ascii="Arial" w:hAnsi="Arial" w:cs="Arial"/>
                <w:color w:val="000000"/>
                <w:szCs w:val="20"/>
              </w:rPr>
            </w:pPr>
            <w:r w:rsidRPr="00C54E0D">
              <w:rPr>
                <w:rFonts w:ascii="Arial" w:hAnsi="Arial" w:cs="Arial"/>
                <w:color w:val="000000"/>
                <w:szCs w:val="20"/>
              </w:rPr>
              <w:t>83%</w:t>
            </w:r>
          </w:p>
        </w:tc>
      </w:tr>
      <w:tr w:rsidR="00C54E0D" w:rsidRPr="00C54E0D" w14:paraId="4A9E87AA" w14:textId="77777777" w:rsidTr="00C54E0D">
        <w:trPr>
          <w:trHeight w:val="288"/>
        </w:trPr>
        <w:tc>
          <w:tcPr>
            <w:tcW w:w="783" w:type="dxa"/>
            <w:tcBorders>
              <w:top w:val="nil"/>
              <w:left w:val="nil"/>
              <w:bottom w:val="nil"/>
              <w:right w:val="nil"/>
            </w:tcBorders>
            <w:shd w:val="clear" w:color="000000" w:fill="F2F2F2"/>
            <w:noWrap/>
            <w:vAlign w:val="center"/>
            <w:hideMark/>
          </w:tcPr>
          <w:p w14:paraId="472E94E8" w14:textId="77777777" w:rsidR="00C54E0D" w:rsidRPr="00C54E0D" w:rsidRDefault="00C54E0D" w:rsidP="00C54E0D">
            <w:pPr>
              <w:spacing w:before="0" w:after="0" w:line="240" w:lineRule="auto"/>
              <w:jc w:val="center"/>
              <w:rPr>
                <w:rFonts w:ascii="Arial" w:hAnsi="Arial" w:cs="Arial"/>
                <w:color w:val="000000"/>
                <w:szCs w:val="20"/>
              </w:rPr>
            </w:pPr>
            <w:r w:rsidRPr="00C54E0D">
              <w:rPr>
                <w:rFonts w:ascii="Arial" w:hAnsi="Arial" w:cs="Arial"/>
                <w:color w:val="000000"/>
                <w:szCs w:val="20"/>
              </w:rPr>
              <w:t>All</w:t>
            </w:r>
          </w:p>
        </w:tc>
        <w:tc>
          <w:tcPr>
            <w:tcW w:w="1200" w:type="dxa"/>
            <w:tcBorders>
              <w:top w:val="nil"/>
              <w:left w:val="nil"/>
              <w:bottom w:val="nil"/>
              <w:right w:val="nil"/>
            </w:tcBorders>
            <w:shd w:val="clear" w:color="000000" w:fill="F2F2F2"/>
            <w:noWrap/>
            <w:vAlign w:val="center"/>
            <w:hideMark/>
          </w:tcPr>
          <w:p w14:paraId="61136B8F" w14:textId="77777777" w:rsidR="00C54E0D" w:rsidRPr="00C54E0D" w:rsidRDefault="00C54E0D" w:rsidP="00C54E0D">
            <w:pPr>
              <w:spacing w:before="0" w:after="0" w:line="240" w:lineRule="auto"/>
              <w:rPr>
                <w:rFonts w:ascii="Arial" w:hAnsi="Arial" w:cs="Arial"/>
                <w:color w:val="000000"/>
                <w:szCs w:val="20"/>
              </w:rPr>
            </w:pPr>
            <w:r w:rsidRPr="00C54E0D">
              <w:rPr>
                <w:rFonts w:ascii="Arial" w:hAnsi="Arial" w:cs="Arial"/>
                <w:color w:val="000000"/>
                <w:szCs w:val="20"/>
              </w:rPr>
              <w:t> </w:t>
            </w:r>
          </w:p>
        </w:tc>
        <w:tc>
          <w:tcPr>
            <w:tcW w:w="1317" w:type="dxa"/>
            <w:tcBorders>
              <w:top w:val="nil"/>
              <w:left w:val="nil"/>
              <w:bottom w:val="nil"/>
              <w:right w:val="nil"/>
            </w:tcBorders>
            <w:shd w:val="clear" w:color="000000" w:fill="F2F2F2"/>
            <w:noWrap/>
            <w:vAlign w:val="center"/>
            <w:hideMark/>
          </w:tcPr>
          <w:p w14:paraId="411240A4" w14:textId="77777777" w:rsidR="00C54E0D" w:rsidRPr="00C54E0D" w:rsidRDefault="00C54E0D" w:rsidP="00C54E0D">
            <w:pPr>
              <w:spacing w:before="0" w:after="0" w:line="240" w:lineRule="auto"/>
              <w:rPr>
                <w:rFonts w:ascii="Arial" w:hAnsi="Arial" w:cs="Arial"/>
                <w:color w:val="000000"/>
                <w:szCs w:val="20"/>
              </w:rPr>
            </w:pPr>
            <w:r w:rsidRPr="00C54E0D">
              <w:rPr>
                <w:rFonts w:ascii="Arial" w:hAnsi="Arial" w:cs="Arial"/>
                <w:color w:val="000000"/>
                <w:szCs w:val="20"/>
              </w:rPr>
              <w:t> </w:t>
            </w:r>
          </w:p>
        </w:tc>
        <w:tc>
          <w:tcPr>
            <w:tcW w:w="1077" w:type="dxa"/>
            <w:tcBorders>
              <w:top w:val="nil"/>
              <w:left w:val="nil"/>
              <w:bottom w:val="nil"/>
              <w:right w:val="nil"/>
            </w:tcBorders>
            <w:shd w:val="clear" w:color="000000" w:fill="F2F2F2"/>
            <w:noWrap/>
            <w:vAlign w:val="center"/>
            <w:hideMark/>
          </w:tcPr>
          <w:p w14:paraId="7446986F" w14:textId="77777777" w:rsidR="00C54E0D" w:rsidRPr="00C54E0D" w:rsidRDefault="00C54E0D" w:rsidP="00C54E0D">
            <w:pPr>
              <w:spacing w:before="0" w:after="0" w:line="240" w:lineRule="auto"/>
              <w:rPr>
                <w:rFonts w:ascii="Arial" w:hAnsi="Arial" w:cs="Arial"/>
                <w:color w:val="000000"/>
                <w:szCs w:val="20"/>
              </w:rPr>
            </w:pPr>
            <w:r w:rsidRPr="00C54E0D">
              <w:rPr>
                <w:rFonts w:ascii="Arial" w:hAnsi="Arial" w:cs="Arial"/>
                <w:color w:val="000000"/>
                <w:szCs w:val="20"/>
              </w:rPr>
              <w:t> </w:t>
            </w:r>
          </w:p>
        </w:tc>
        <w:tc>
          <w:tcPr>
            <w:tcW w:w="960" w:type="dxa"/>
            <w:tcBorders>
              <w:top w:val="nil"/>
              <w:left w:val="nil"/>
              <w:bottom w:val="nil"/>
              <w:right w:val="nil"/>
            </w:tcBorders>
            <w:shd w:val="clear" w:color="000000" w:fill="F2F2F2"/>
            <w:noWrap/>
            <w:vAlign w:val="center"/>
            <w:hideMark/>
          </w:tcPr>
          <w:p w14:paraId="5352D7C1" w14:textId="77777777" w:rsidR="00C54E0D" w:rsidRPr="00C54E0D" w:rsidRDefault="00C54E0D" w:rsidP="00C54E0D">
            <w:pPr>
              <w:spacing w:before="0" w:after="0" w:line="240" w:lineRule="auto"/>
              <w:jc w:val="right"/>
              <w:rPr>
                <w:rFonts w:ascii="Arial" w:hAnsi="Arial" w:cs="Arial"/>
                <w:color w:val="000000"/>
                <w:szCs w:val="20"/>
              </w:rPr>
            </w:pPr>
            <w:r w:rsidRPr="00C54E0D">
              <w:rPr>
                <w:rFonts w:ascii="Arial" w:hAnsi="Arial" w:cs="Arial"/>
                <w:color w:val="000000"/>
                <w:szCs w:val="20"/>
              </w:rPr>
              <w:t>33</w:t>
            </w:r>
          </w:p>
        </w:tc>
        <w:tc>
          <w:tcPr>
            <w:tcW w:w="1183" w:type="dxa"/>
            <w:tcBorders>
              <w:top w:val="nil"/>
              <w:left w:val="nil"/>
              <w:bottom w:val="nil"/>
              <w:right w:val="nil"/>
            </w:tcBorders>
            <w:shd w:val="clear" w:color="000000" w:fill="F2F2F2"/>
            <w:noWrap/>
            <w:vAlign w:val="center"/>
            <w:hideMark/>
          </w:tcPr>
          <w:p w14:paraId="2C2BE3A7" w14:textId="77777777" w:rsidR="00C54E0D" w:rsidRPr="00C54E0D" w:rsidRDefault="00C54E0D" w:rsidP="00C54E0D">
            <w:pPr>
              <w:spacing w:before="0" w:after="0" w:line="240" w:lineRule="auto"/>
              <w:jc w:val="right"/>
              <w:rPr>
                <w:rFonts w:ascii="Arial" w:hAnsi="Arial" w:cs="Arial"/>
                <w:color w:val="000000"/>
                <w:szCs w:val="20"/>
              </w:rPr>
            </w:pPr>
            <w:r w:rsidRPr="00C54E0D">
              <w:rPr>
                <w:rFonts w:ascii="Arial" w:hAnsi="Arial" w:cs="Arial"/>
                <w:color w:val="000000"/>
                <w:szCs w:val="20"/>
              </w:rPr>
              <w:t>55</w:t>
            </w:r>
          </w:p>
        </w:tc>
        <w:tc>
          <w:tcPr>
            <w:tcW w:w="780" w:type="dxa"/>
            <w:tcBorders>
              <w:top w:val="nil"/>
              <w:left w:val="nil"/>
              <w:bottom w:val="nil"/>
              <w:right w:val="nil"/>
            </w:tcBorders>
            <w:shd w:val="clear" w:color="000000" w:fill="F2F2F2"/>
            <w:noWrap/>
            <w:vAlign w:val="center"/>
            <w:hideMark/>
          </w:tcPr>
          <w:p w14:paraId="2AC93DA9" w14:textId="77777777" w:rsidR="00C54E0D" w:rsidRPr="00C54E0D" w:rsidRDefault="00C54E0D" w:rsidP="00C54E0D">
            <w:pPr>
              <w:spacing w:before="0" w:after="0" w:line="240" w:lineRule="auto"/>
              <w:jc w:val="right"/>
              <w:rPr>
                <w:rFonts w:ascii="Arial" w:hAnsi="Arial" w:cs="Arial"/>
                <w:color w:val="000000"/>
                <w:szCs w:val="20"/>
              </w:rPr>
            </w:pPr>
            <w:r w:rsidRPr="00C54E0D">
              <w:rPr>
                <w:rFonts w:ascii="Arial" w:hAnsi="Arial" w:cs="Arial"/>
                <w:color w:val="000000"/>
                <w:szCs w:val="20"/>
              </w:rPr>
              <w:t>88</w:t>
            </w:r>
          </w:p>
        </w:tc>
        <w:tc>
          <w:tcPr>
            <w:tcW w:w="960" w:type="dxa"/>
            <w:tcBorders>
              <w:top w:val="nil"/>
              <w:left w:val="nil"/>
              <w:bottom w:val="nil"/>
              <w:right w:val="nil"/>
            </w:tcBorders>
            <w:shd w:val="clear" w:color="000000" w:fill="F2F2F2"/>
            <w:noWrap/>
            <w:vAlign w:val="center"/>
            <w:hideMark/>
          </w:tcPr>
          <w:p w14:paraId="054F3485" w14:textId="77777777" w:rsidR="00C54E0D" w:rsidRPr="00C54E0D" w:rsidRDefault="00C54E0D" w:rsidP="00C54E0D">
            <w:pPr>
              <w:spacing w:before="0" w:after="0" w:line="240" w:lineRule="auto"/>
              <w:jc w:val="right"/>
              <w:rPr>
                <w:rFonts w:ascii="Arial" w:hAnsi="Arial" w:cs="Arial"/>
                <w:color w:val="000000"/>
                <w:szCs w:val="20"/>
              </w:rPr>
            </w:pPr>
            <w:r w:rsidRPr="00C54E0D">
              <w:rPr>
                <w:rFonts w:ascii="Arial" w:hAnsi="Arial" w:cs="Arial"/>
                <w:color w:val="000000"/>
                <w:szCs w:val="20"/>
              </w:rPr>
              <w:t>60%</w:t>
            </w:r>
          </w:p>
        </w:tc>
      </w:tr>
    </w:tbl>
    <w:p w14:paraId="2C99598D" w14:textId="14ABED5C" w:rsidR="006812F4" w:rsidRPr="006E501B" w:rsidRDefault="006812F4" w:rsidP="004A1EBF">
      <w:r w:rsidRPr="006E501B">
        <w:t xml:space="preserve">We report baseline characteristics for the treatment and control groups in Appendix </w:t>
      </w:r>
      <w:r w:rsidR="006E501B" w:rsidRPr="006E501B">
        <w:t>3</w:t>
      </w:r>
      <w:r w:rsidRPr="006E501B">
        <w:t>. We did not conduct formal statistical tests for balance on these characteristics however the descriptive statistics suggest the groups were very similar on most available measures including, for example, mean age (20.8 versus 20.5 years) or whether they studied economics in year 11 or 12 (55 per cent versus 56 per cent). As expected, there were some differences, for example, in part</w:t>
      </w:r>
      <w:r w:rsidRPr="006E501B">
        <w:noBreakHyphen/>
        <w:t>time work (</w:t>
      </w:r>
      <w:r w:rsidR="00B85FF5" w:rsidRPr="006E501B">
        <w:t>55 per cent versus 62</w:t>
      </w:r>
      <w:r w:rsidRPr="006E501B">
        <w:t> per cent), or</w:t>
      </w:r>
      <w:r w:rsidR="00B85FF5" w:rsidRPr="006E501B">
        <w:t xml:space="preserve"> in attending a public high school in year 12 (42 per cent versus 53 per cent).</w:t>
      </w:r>
    </w:p>
    <w:p w14:paraId="498F2C0B" w14:textId="77777777" w:rsidR="0063664B" w:rsidRPr="006979D8" w:rsidRDefault="0063664B" w:rsidP="00E84ACD">
      <w:pPr>
        <w:pStyle w:val="Heading4"/>
      </w:pPr>
      <w:r>
        <w:t>Data cleaning</w:t>
      </w:r>
    </w:p>
    <w:p w14:paraId="663C872D" w14:textId="262C3DF2" w:rsidR="007E7924" w:rsidRPr="006E501B" w:rsidRDefault="006059F7" w:rsidP="004A1EBF">
      <w:r w:rsidRPr="006E501B">
        <w:t xml:space="preserve">The university’s administrative data on enrolments and GPA was the </w:t>
      </w:r>
      <w:r w:rsidR="0010302C" w:rsidRPr="006E501B">
        <w:t>key</w:t>
      </w:r>
      <w:r w:rsidRPr="006E501B">
        <w:t xml:space="preserve"> data set for our analysis. </w:t>
      </w:r>
      <w:r w:rsidR="007E7924" w:rsidRPr="006E501B">
        <w:t>This data came in the request</w:t>
      </w:r>
      <w:r w:rsidR="00303871" w:rsidRPr="006E501B">
        <w:t>ed</w:t>
      </w:r>
      <w:r w:rsidR="007E7924" w:rsidRPr="006E501B">
        <w:t xml:space="preserve"> format so no data cleaning was required and no outliers w</w:t>
      </w:r>
      <w:r w:rsidR="001E7AE0" w:rsidRPr="006E501B">
        <w:t>ere removed.</w:t>
      </w:r>
    </w:p>
    <w:p w14:paraId="68AEBA5C" w14:textId="38F34FDE" w:rsidR="007E7924" w:rsidRPr="006E501B" w:rsidRDefault="007E7924" w:rsidP="004A1EBF">
      <w:r w:rsidRPr="006E501B">
        <w:t>The survey data required some cleaning. For the baseline survey, we dropped incomplete applications, which were treated as ineligible and thus dropped prior to randomisation. We also found three duplicates records where the same student had commenced the application twice: these records were merged. For the endline surveys, there were several incomplete responses (six from control, one from treatment) that we dropped as none contained substantive responses.</w:t>
      </w:r>
      <w:r w:rsidR="00D17A55" w:rsidRPr="006E501B">
        <w:t xml:space="preserve"> </w:t>
      </w:r>
    </w:p>
    <w:p w14:paraId="6121DC0A" w14:textId="77777777" w:rsidR="0063664B" w:rsidRPr="006979D8" w:rsidRDefault="0063664B" w:rsidP="00E84ACD">
      <w:pPr>
        <w:pStyle w:val="Heading4"/>
      </w:pPr>
      <w:r>
        <w:t>Method of analysis</w:t>
      </w:r>
    </w:p>
    <w:p w14:paraId="57C83984" w14:textId="69A2DAED" w:rsidR="007E7924" w:rsidRPr="006E501B" w:rsidRDefault="007E7924" w:rsidP="004A1EBF">
      <w:r w:rsidRPr="006E501B">
        <w:t>We used ordinary least squares (OLS) regression to estimate average treatment effects</w:t>
      </w:r>
      <w:r w:rsidR="00750731" w:rsidRPr="006E501B">
        <w:t xml:space="preserve"> (ATE)</w:t>
      </w:r>
      <w:r w:rsidR="00303871" w:rsidRPr="006E501B">
        <w:t xml:space="preserve"> following an intent-to-treat analysis</w:t>
      </w:r>
      <w:r w:rsidRPr="006E501B">
        <w:t>. These estima</w:t>
      </w:r>
      <w:r w:rsidR="00303871" w:rsidRPr="006E501B">
        <w:t>tes, confidence intervals and p</w:t>
      </w:r>
      <w:r w:rsidR="00303871" w:rsidRPr="006E501B">
        <w:noBreakHyphen/>
      </w:r>
      <w:r w:rsidRPr="006E501B">
        <w:t>values were derived from a model with the following specification:</w:t>
      </w:r>
    </w:p>
    <w:p w14:paraId="375366AE" w14:textId="7CDA4E5C" w:rsidR="007E7924" w:rsidRPr="006E501B" w:rsidRDefault="007E7924" w:rsidP="004A1EBF">
      <w:pPr>
        <w:rPr>
          <w:rFonts w:eastAsiaTheme="minorEastAsia"/>
          <w:iCs/>
        </w:rPr>
      </w:pPr>
      <w:r w:rsidRPr="006E501B">
        <w:rPr>
          <w:rFonts w:ascii="Helvetica" w:hAnsi="Helvetica"/>
        </w:rPr>
        <w:t xml:space="preserve"> </w:t>
      </w:r>
      <m:oMath>
        <m:r>
          <w:rPr>
            <w:rFonts w:ascii="Cambria Math" w:hAnsi="Cambria Math"/>
          </w:rPr>
          <m:t>y</m:t>
        </m:r>
        <m:r>
          <m:rPr>
            <m:sty m:val="p"/>
          </m:rPr>
          <w:rPr>
            <w:rFonts w:ascii="Cambria Math" w:hAnsi="Cambria Math"/>
          </w:rPr>
          <m:t xml:space="preserve">= </m:t>
        </m:r>
        <m:r>
          <w:rPr>
            <w:rFonts w:ascii="Cambria Math" w:hAnsi="Cambria Math"/>
          </w:rPr>
          <m:t>α</m:t>
        </m:r>
        <m:r>
          <m:rPr>
            <m:sty m:val="p"/>
          </m:rPr>
          <w:rPr>
            <w:rFonts w:ascii="Cambria Math" w:hAnsi="Cambria Math"/>
          </w:rPr>
          <m:t>+</m:t>
        </m:r>
        <m:sSub>
          <m:sSubPr>
            <m:ctrlPr>
              <w:rPr>
                <w:rFonts w:ascii="Cambria Math" w:hAnsi="Cambria Math" w:cs="Calibri"/>
                <w:iCs/>
              </w:rPr>
            </m:ctrlPr>
          </m:sSubPr>
          <m:e>
            <m:r>
              <w:rPr>
                <w:rFonts w:ascii="Cambria Math" w:hAnsi="Cambria Math"/>
              </w:rPr>
              <m:t>τ</m:t>
            </m:r>
          </m:e>
          <m:sub>
            <m:r>
              <m:rPr>
                <m:sty m:val="p"/>
              </m:rPr>
              <w:rPr>
                <w:rFonts w:ascii="Cambria Math" w:hAnsi="Cambria Math"/>
              </w:rPr>
              <m:t>1</m:t>
            </m:r>
          </m:sub>
        </m:sSub>
        <m:r>
          <w:rPr>
            <w:rFonts w:ascii="Cambria Math" w:hAnsi="Cambria Math"/>
          </w:rPr>
          <m:t>Z</m:t>
        </m:r>
        <m:r>
          <m:rPr>
            <m:sty m:val="p"/>
          </m:rPr>
          <w:rPr>
            <w:rFonts w:ascii="Cambria Math" w:hAnsi="Cambria Math"/>
          </w:rPr>
          <m:t>+</m:t>
        </m:r>
        <m:sSub>
          <m:sSubPr>
            <m:ctrlPr>
              <w:rPr>
                <w:rFonts w:ascii="Cambria Math" w:hAnsi="Cambria Math" w:cs="Calibri"/>
                <w:iCs/>
              </w:rPr>
            </m:ctrlPr>
          </m:sSubPr>
          <m:e>
            <m:r>
              <w:rPr>
                <w:rFonts w:ascii="Cambria Math" w:hAnsi="Cambria Math"/>
              </w:rPr>
              <m:t>τ</m:t>
            </m:r>
          </m:e>
          <m:sub>
            <m:r>
              <m:rPr>
                <m:sty m:val="p"/>
              </m:rPr>
              <w:rPr>
                <w:rFonts w:ascii="Cambria Math" w:hAnsi="Cambria Math"/>
              </w:rPr>
              <m:t>2</m:t>
            </m:r>
          </m:sub>
        </m:sSub>
        <m:r>
          <w:rPr>
            <w:rFonts w:ascii="Cambria Math" w:hAnsi="Cambria Math"/>
          </w:rPr>
          <m:t>X</m:t>
        </m:r>
        <m:r>
          <m:rPr>
            <m:sty m:val="p"/>
          </m:rPr>
          <w:rPr>
            <w:rFonts w:ascii="Cambria Math" w:hAnsi="Cambria Math"/>
          </w:rPr>
          <m:t xml:space="preserve">+ </m:t>
        </m:r>
        <m:sSub>
          <m:sSubPr>
            <m:ctrlPr>
              <w:rPr>
                <w:rFonts w:ascii="Cambria Math" w:hAnsi="Cambria Math" w:cs="Calibri"/>
                <w:iCs/>
              </w:rPr>
            </m:ctrlPr>
          </m:sSubPr>
          <m:e>
            <m:r>
              <w:rPr>
                <w:rFonts w:ascii="Cambria Math" w:hAnsi="Cambria Math"/>
              </w:rPr>
              <m:t>τ</m:t>
            </m:r>
          </m:e>
          <m:sub>
            <m:r>
              <m:rPr>
                <m:sty m:val="p"/>
              </m:rPr>
              <w:rPr>
                <w:rFonts w:ascii="Cambria Math" w:hAnsi="Cambria Math"/>
              </w:rPr>
              <m:t>3</m:t>
            </m:r>
          </m:sub>
        </m:sSub>
        <m:r>
          <w:rPr>
            <w:rFonts w:ascii="Cambria Math" w:hAnsi="Cambria Math"/>
          </w:rPr>
          <m:t>ZX</m:t>
        </m:r>
        <m:r>
          <m:rPr>
            <m:sty m:val="p"/>
          </m:rPr>
          <w:rPr>
            <w:rFonts w:ascii="Cambria Math" w:hAnsi="Cambria Math"/>
          </w:rPr>
          <m:t>+</m:t>
        </m:r>
        <m:r>
          <w:rPr>
            <w:rFonts w:ascii="Cambria Math" w:hAnsi="Cambria Math"/>
          </w:rPr>
          <m:t>ϵ</m:t>
        </m:r>
      </m:oMath>
    </w:p>
    <w:p w14:paraId="2A64E550" w14:textId="59467BA6" w:rsidR="00750731" w:rsidRPr="006E501B" w:rsidRDefault="00750731" w:rsidP="004A1EBF">
      <w:r w:rsidRPr="006E501B">
        <w:t xml:space="preserve">Where </w:t>
      </w:r>
      <w:r w:rsidRPr="006E501B">
        <w:rPr>
          <w:i/>
        </w:rPr>
        <w:t>y</w:t>
      </w:r>
      <w:r w:rsidRPr="006E501B">
        <w:t xml:space="preserve"> represents our outcome variables, </w:t>
      </w:r>
      <w:r w:rsidRPr="006E501B">
        <w:rPr>
          <w:i/>
        </w:rPr>
        <w:t>Z</w:t>
      </w:r>
      <w:r w:rsidRPr="006E501B">
        <w:t xml:space="preserve"> is a treatment indicator (and so </w:t>
      </w:r>
      <m:oMath>
        <m:sSub>
          <m:sSubPr>
            <m:ctrlPr>
              <w:rPr>
                <w:rFonts w:ascii="Cambria Math" w:hAnsi="Cambria Math" w:cs="Calibri"/>
                <w:i/>
                <w:iCs/>
                <w:spacing w:val="4"/>
              </w:rPr>
            </m:ctrlPr>
          </m:sSubPr>
          <m:e>
            <m:r>
              <w:rPr>
                <w:rFonts w:ascii="Cambria Math" w:hAnsi="Cambria Math"/>
                <w:spacing w:val="4"/>
              </w:rPr>
              <m:t>τ</m:t>
            </m:r>
          </m:e>
          <m:sub>
            <m:r>
              <w:rPr>
                <w:rFonts w:ascii="Cambria Math" w:hAnsi="Cambria Math"/>
                <w:spacing w:val="4"/>
              </w:rPr>
              <m:t>1</m:t>
            </m:r>
          </m:sub>
        </m:sSub>
      </m:oMath>
      <w:r w:rsidR="00303871" w:rsidRPr="006E501B">
        <w:rPr>
          <w:iCs/>
          <w:spacing w:val="4"/>
        </w:rPr>
        <w:t xml:space="preserve"> represents</w:t>
      </w:r>
      <w:r w:rsidRPr="006E501B">
        <w:t xml:space="preserve"> the </w:t>
      </w:r>
      <w:r w:rsidR="00303871" w:rsidRPr="006E501B">
        <w:t>ATE</w:t>
      </w:r>
      <w:r w:rsidRPr="006E501B">
        <w:t>), and X is a matrix of demeaned strata variables and the single covariate (baseline likelihood to continue with economics studies in the following year).</w:t>
      </w:r>
      <w:r w:rsidR="00551647" w:rsidRPr="006E501B">
        <w:t xml:space="preserve"> </w:t>
      </w:r>
    </w:p>
    <w:p w14:paraId="75DD79DB" w14:textId="4DE231F2" w:rsidR="00303871" w:rsidRPr="006E501B" w:rsidRDefault="00303871" w:rsidP="004A1EBF">
      <w:r w:rsidRPr="006E501B">
        <w:t>We conducted one</w:t>
      </w:r>
      <w:r w:rsidRPr="006E501B">
        <w:noBreakHyphen/>
        <w:t>sided hypothesis tests. These were not mentioned in our pre</w:t>
      </w:r>
      <w:r w:rsidRPr="006E501B">
        <w:noBreakHyphen/>
        <w:t xml:space="preserve">analysis plan but they were prespecified </w:t>
      </w:r>
      <w:r w:rsidR="002A6358" w:rsidRPr="006E501B">
        <w:t>on our OSF pre</w:t>
      </w:r>
      <w:r w:rsidR="002A6358" w:rsidRPr="006E501B">
        <w:noBreakHyphen/>
        <w:t xml:space="preserve">registration page </w:t>
      </w:r>
      <w:r w:rsidR="002A6358">
        <w:rPr>
          <w:color w:val="3F3F3F"/>
        </w:rPr>
        <w:t>(</w:t>
      </w:r>
      <w:hyperlink r:id="rId36" w:history="1">
        <w:r w:rsidR="00B13A5E">
          <w:rPr>
            <w:rStyle w:val="Hyperlink"/>
          </w:rPr>
          <w:t>https://osf.io/pt89y</w:t>
        </w:r>
      </w:hyperlink>
      <w:r w:rsidR="00B13A5E">
        <w:t>,</w:t>
      </w:r>
      <w:r w:rsidR="00B13A5E">
        <w:rPr>
          <w:color w:val="3F3F3F"/>
        </w:rPr>
        <w:t xml:space="preserve"> </w:t>
      </w:r>
      <w:r w:rsidR="002A6358" w:rsidRPr="006E501B">
        <w:t xml:space="preserve">see </w:t>
      </w:r>
      <w:r w:rsidR="00B13A5E" w:rsidRPr="006E501B">
        <w:t>the sub</w:t>
      </w:r>
      <w:r w:rsidR="00B13A5E" w:rsidRPr="006E501B">
        <w:noBreakHyphen/>
      </w:r>
      <w:r w:rsidR="002A6358" w:rsidRPr="006E501B">
        <w:t xml:space="preserve">section </w:t>
      </w:r>
      <w:r w:rsidR="00B13A5E" w:rsidRPr="006E501B">
        <w:t>‘Analysis Plan/inference criteria’</w:t>
      </w:r>
      <w:r w:rsidR="002A6358" w:rsidRPr="006E501B">
        <w:t xml:space="preserve">). </w:t>
      </w:r>
      <w:r w:rsidR="00B13A5E" w:rsidRPr="006E501B">
        <w:t>For consistency, we also report one</w:t>
      </w:r>
      <w:r w:rsidR="00B13A5E" w:rsidRPr="006E501B">
        <w:noBreakHyphen/>
        <w:t>sided confidence intervals.</w:t>
      </w:r>
      <w:r w:rsidR="00321DBB" w:rsidRPr="006E501B">
        <w:t xml:space="preserve"> We calculated HC2 robust standard errors.</w:t>
      </w:r>
    </w:p>
    <w:p w14:paraId="7003A4D2" w14:textId="1E785FED" w:rsidR="00303871" w:rsidRPr="006E501B" w:rsidRDefault="007E7924" w:rsidP="004A1EBF">
      <w:r w:rsidRPr="006E501B">
        <w:t xml:space="preserve">We </w:t>
      </w:r>
      <w:r w:rsidR="00303871" w:rsidRPr="006E501B">
        <w:t xml:space="preserve">also </w:t>
      </w:r>
      <w:r w:rsidRPr="006E501B">
        <w:t>conduct</w:t>
      </w:r>
      <w:r w:rsidR="00303871" w:rsidRPr="006E501B">
        <w:t>ed r</w:t>
      </w:r>
      <w:r w:rsidRPr="006E501B">
        <w:t>obustness checks</w:t>
      </w:r>
      <w:r w:rsidR="00303871" w:rsidRPr="006E501B">
        <w:t xml:space="preserve">. </w:t>
      </w:r>
      <w:r w:rsidR="00D93B63" w:rsidRPr="006E501B">
        <w:t>First, we analysed the binary outcome on enrolments using logistic regression</w:t>
      </w:r>
      <w:r w:rsidR="00551647" w:rsidRPr="006E501B">
        <w:t>.</w:t>
      </w:r>
      <w:r w:rsidR="00B3106B">
        <w:t xml:space="preserve"> </w:t>
      </w:r>
      <w:r w:rsidR="00551647" w:rsidRPr="006E501B">
        <w:t>Second</w:t>
      </w:r>
      <w:r w:rsidR="00303871" w:rsidRPr="006E501B">
        <w:t>, we conducted unadjusted analysis. That is, we removed the covariate however we continued to include strat</w:t>
      </w:r>
      <w:r w:rsidR="00321DBB" w:rsidRPr="006E501B">
        <w:t>a</w:t>
      </w:r>
      <w:r w:rsidR="00303871" w:rsidRPr="006E501B">
        <w:t xml:space="preserve"> dummy variables since they were part of our research design.</w:t>
      </w:r>
      <w:r w:rsidR="00321DBB" w:rsidRPr="006E501B">
        <w:t xml:space="preserve"> (Removing the strata dummies had no material impact on our results. </w:t>
      </w:r>
      <w:r w:rsidR="00B3106B">
        <w:t>S</w:t>
      </w:r>
      <w:r w:rsidR="00551647" w:rsidRPr="006E501B">
        <w:t xml:space="preserve">ee Appendix </w:t>
      </w:r>
      <w:r w:rsidR="006E501B" w:rsidRPr="006E501B">
        <w:t>3</w:t>
      </w:r>
      <w:r w:rsidR="00551647" w:rsidRPr="006E501B">
        <w:t xml:space="preserve"> for details.</w:t>
      </w:r>
      <w:r w:rsidR="005371F1">
        <w:t>)</w:t>
      </w:r>
      <w:r w:rsidR="00551647" w:rsidRPr="006E501B">
        <w:t xml:space="preserve"> </w:t>
      </w:r>
    </w:p>
    <w:p w14:paraId="55014B80" w14:textId="09F4D399" w:rsidR="002A6358" w:rsidRDefault="002A6358" w:rsidP="00E84ACD">
      <w:pPr>
        <w:pStyle w:val="Heading4"/>
      </w:pPr>
      <w:r>
        <w:t>Trial threats</w:t>
      </w:r>
    </w:p>
    <w:p w14:paraId="284329B7" w14:textId="24E59D18" w:rsidR="002A6358" w:rsidRPr="006E501B" w:rsidRDefault="002A6358" w:rsidP="004A1EBF">
      <w:r w:rsidRPr="006E501B">
        <w:rPr>
          <w:i/>
        </w:rPr>
        <w:t>Spillovers</w:t>
      </w:r>
      <w:r w:rsidRPr="006E501B">
        <w:t>: We continue to hold the view, noted in our pre</w:t>
      </w:r>
      <w:r w:rsidRPr="006E501B">
        <w:noBreakHyphen/>
        <w:t>analysis plan, that the risk of spillover from mentees to non-mentees was likely to be small because we hypothesised that actual exposure to the mentor is what would change intentions and behaviour.</w:t>
      </w:r>
    </w:p>
    <w:p w14:paraId="1D63995D" w14:textId="2EACF33B" w:rsidR="00DA27E1" w:rsidRPr="006E501B" w:rsidRDefault="002A6358" w:rsidP="004A1EBF">
      <w:r w:rsidRPr="006E501B">
        <w:rPr>
          <w:i/>
        </w:rPr>
        <w:t xml:space="preserve">Attrition/missing </w:t>
      </w:r>
      <w:r w:rsidR="000C71BF" w:rsidRPr="006E501B">
        <w:rPr>
          <w:i/>
        </w:rPr>
        <w:t xml:space="preserve">data—administrative </w:t>
      </w:r>
      <w:r w:rsidRPr="006E501B">
        <w:rPr>
          <w:i/>
        </w:rPr>
        <w:t>data</w:t>
      </w:r>
      <w:r w:rsidRPr="006E501B">
        <w:t xml:space="preserve">: </w:t>
      </w:r>
      <w:r w:rsidR="00DA27E1" w:rsidRPr="006E501B">
        <w:t>By design, w</w:t>
      </w:r>
      <w:r w:rsidRPr="006E501B">
        <w:t>e had no missing data for our primary outcome (enrolments)</w:t>
      </w:r>
      <w:r w:rsidR="00DA27E1" w:rsidRPr="006E501B">
        <w:t xml:space="preserve"> since we only coded a value of one if students were enrolled in the specified units</w:t>
      </w:r>
      <w:r w:rsidR="000C71BF" w:rsidRPr="006E501B">
        <w:t xml:space="preserve"> at ANU</w:t>
      </w:r>
      <w:r w:rsidR="00DA27E1" w:rsidRPr="006E501B">
        <w:t>. This could introduce some measurement error if, for example, a student continued with economics studies at another university. (Free</w:t>
      </w:r>
      <w:r w:rsidR="00DA27E1" w:rsidRPr="006E501B">
        <w:noBreakHyphen/>
        <w:t xml:space="preserve">text </w:t>
      </w:r>
      <w:r w:rsidR="000C71BF" w:rsidRPr="006E501B">
        <w:t>survey responses indicate</w:t>
      </w:r>
      <w:r w:rsidR="00DA27E1" w:rsidRPr="006E501B">
        <w:t xml:space="preserve"> this occurred </w:t>
      </w:r>
      <w:r w:rsidR="000C71BF" w:rsidRPr="006E501B">
        <w:t xml:space="preserve">for </w:t>
      </w:r>
      <w:r w:rsidR="00DA27E1" w:rsidRPr="006E501B">
        <w:t xml:space="preserve">at least one </w:t>
      </w:r>
      <w:r w:rsidR="000C71BF" w:rsidRPr="006E501B">
        <w:t xml:space="preserve">student in </w:t>
      </w:r>
      <w:r w:rsidR="00DA27E1" w:rsidRPr="006E501B">
        <w:t xml:space="preserve">the treatment group.) We had </w:t>
      </w:r>
      <w:r w:rsidRPr="006E501B">
        <w:t xml:space="preserve">two </w:t>
      </w:r>
      <w:r w:rsidR="00DA27E1" w:rsidRPr="006E501B">
        <w:t xml:space="preserve">missing observations </w:t>
      </w:r>
      <w:r w:rsidRPr="006E501B">
        <w:t>for our exploratory analysis of GPA</w:t>
      </w:r>
      <w:r w:rsidR="00D17A55" w:rsidRPr="006E501B">
        <w:t xml:space="preserve"> (both in treatment)</w:t>
      </w:r>
      <w:r w:rsidR="00140D2F" w:rsidRPr="006E501B">
        <w:t>, which were dropped from the analysis</w:t>
      </w:r>
      <w:r w:rsidRPr="006E501B">
        <w:t>.</w:t>
      </w:r>
      <w:r w:rsidR="00100DF6" w:rsidRPr="006E501B">
        <w:t xml:space="preserve"> They appear to be first year students who discontinued their studies before completing any subjects.</w:t>
      </w:r>
      <w:r w:rsidRPr="006E501B">
        <w:t xml:space="preserve"> </w:t>
      </w:r>
    </w:p>
    <w:p w14:paraId="158861C0" w14:textId="60E71DF5" w:rsidR="00C37D26" w:rsidRPr="006E501B" w:rsidRDefault="000C71BF" w:rsidP="004A1EBF">
      <w:r w:rsidRPr="006E501B">
        <w:rPr>
          <w:i/>
        </w:rPr>
        <w:t>Attrition/missing data—survey data</w:t>
      </w:r>
      <w:r w:rsidRPr="006E501B">
        <w:t xml:space="preserve">: </w:t>
      </w:r>
      <w:r w:rsidR="00DA27E1" w:rsidRPr="006E501B">
        <w:t>A</w:t>
      </w:r>
      <w:r w:rsidR="002A6358" w:rsidRPr="006E501B">
        <w:t>s noted above, we had low and differential response rates to our endline survey (55</w:t>
      </w:r>
      <w:r w:rsidR="00BC2A59" w:rsidRPr="006E501B">
        <w:t> per cent</w:t>
      </w:r>
      <w:r w:rsidR="002A6358" w:rsidRPr="006E501B">
        <w:t xml:space="preserve"> for treatment, 45</w:t>
      </w:r>
      <w:r w:rsidR="00BC2A59" w:rsidRPr="006E501B">
        <w:t xml:space="preserve"> per cent</w:t>
      </w:r>
      <w:r w:rsidR="002A6358" w:rsidRPr="006E501B">
        <w:t xml:space="preserve"> for control).</w:t>
      </w:r>
      <w:r w:rsidR="00BC2A59" w:rsidRPr="006E501B">
        <w:t xml:space="preserve"> This introduces the risk that treatment respondents were systematically different from the control respondents, confounding any comparisons and undoing the benefits of randomisation. We identified some systematic differences on observed baseline characteristics, which are reported in Appendix </w:t>
      </w:r>
      <w:r w:rsidR="006E501B" w:rsidRPr="006E501B">
        <w:t>3</w:t>
      </w:r>
      <w:r w:rsidR="00BC2A59" w:rsidRPr="006E501B">
        <w:t xml:space="preserve"> along with baseline-endline comparisons. However, decided we could not conduct credible statistical tests on those outcomes.</w:t>
      </w:r>
    </w:p>
    <w:p w14:paraId="227FEE98" w14:textId="77777777" w:rsidR="00C37D26" w:rsidRPr="00C37D26" w:rsidRDefault="00C37D26" w:rsidP="004A1EBF"/>
    <w:p w14:paraId="5249DC64" w14:textId="54A693FE" w:rsidR="0063664B" w:rsidRDefault="0063664B" w:rsidP="0063664B">
      <w:r>
        <w:br w:type="page"/>
      </w:r>
    </w:p>
    <w:p w14:paraId="673D8AA8" w14:textId="0B78315A" w:rsidR="005360AA" w:rsidRDefault="00BF743C" w:rsidP="00BF743C">
      <w:pPr>
        <w:pStyle w:val="AppendixHeading"/>
        <w:numPr>
          <w:ilvl w:val="0"/>
          <w:numId w:val="0"/>
        </w:numPr>
        <w:ind w:left="1134" w:hanging="1134"/>
      </w:pPr>
      <w:bookmarkStart w:id="11" w:name="_Toc57814949"/>
      <w:r>
        <w:rPr>
          <w:rFonts w:ascii="Helvetica" w:hAnsi="Helvetica"/>
        </w:rPr>
        <w:t xml:space="preserve">Appendix 2 - </w:t>
      </w:r>
      <w:r w:rsidR="00825008">
        <w:t>A</w:t>
      </w:r>
      <w:r w:rsidR="005360AA">
        <w:t xml:space="preserve">dministration </w:t>
      </w:r>
      <w:r w:rsidR="00825008">
        <w:t xml:space="preserve">and </w:t>
      </w:r>
      <w:r w:rsidR="005360AA">
        <w:t>events</w:t>
      </w:r>
      <w:bookmarkEnd w:id="11"/>
    </w:p>
    <w:p w14:paraId="5CB716E5" w14:textId="416CEA06" w:rsidR="005360AA" w:rsidRPr="006E501B" w:rsidRDefault="005360AA" w:rsidP="004A1EBF">
      <w:r w:rsidRPr="006E501B">
        <w:t xml:space="preserve">This appendix summarises survey responses relating to the </w:t>
      </w:r>
      <w:r w:rsidR="00DF52FB" w:rsidRPr="006E501B">
        <w:t xml:space="preserve">program’s </w:t>
      </w:r>
      <w:r w:rsidRPr="006E501B">
        <w:t xml:space="preserve">administration and networking events. </w:t>
      </w:r>
    </w:p>
    <w:p w14:paraId="3D93DBB4" w14:textId="77777777" w:rsidR="005360AA" w:rsidRDefault="005360AA" w:rsidP="00E84ACD">
      <w:pPr>
        <w:pStyle w:val="Heading4"/>
      </w:pPr>
      <w:r>
        <w:t>Program administration</w:t>
      </w:r>
    </w:p>
    <w:p w14:paraId="6C605317" w14:textId="6F37EB85" w:rsidR="005360AA" w:rsidRPr="006E501B" w:rsidRDefault="005360AA" w:rsidP="004A1EBF">
      <w:r w:rsidRPr="006E501B">
        <w:t>Student and mentor respondents were satisfied with the mentoring program’s administration</w:t>
      </w:r>
      <w:r w:rsidR="000F3E99" w:rsidRPr="006E501B">
        <w:t xml:space="preserve"> (Figures 9</w:t>
      </w:r>
      <w:r w:rsidR="00B64A14" w:rsidRPr="006E501B">
        <w:t xml:space="preserve"> and 10</w:t>
      </w:r>
      <w:r w:rsidR="000F3E99" w:rsidRPr="006E501B">
        <w:t>)</w:t>
      </w:r>
      <w:r w:rsidRPr="006E501B">
        <w:t>. A large majority (over 80</w:t>
      </w:r>
      <w:r w:rsidR="00DF52FB" w:rsidRPr="006E501B">
        <w:t> per cent</w:t>
      </w:r>
      <w:r w:rsidRPr="006E501B">
        <w:t xml:space="preserve">) were satisfied or very satisfied with all aspects of the program that we asked about, with one exception. Around one quarter of </w:t>
      </w:r>
      <w:r w:rsidRPr="006E501B">
        <w:rPr>
          <w:i/>
        </w:rPr>
        <w:t>mentor</w:t>
      </w:r>
      <w:r w:rsidRPr="006E501B">
        <w:t xml:space="preserve"> respondents were dissatisfied with the matching process. As discussed </w:t>
      </w:r>
      <w:r w:rsidR="00DF52FB" w:rsidRPr="006E501B">
        <w:t>in the Discussion and Conclusion</w:t>
      </w:r>
      <w:r w:rsidRPr="006E501B">
        <w:t>, this may reflect issues with the initial screening of candidates to be eligible for the program, rather than the subsequent matching process.</w:t>
      </w:r>
    </w:p>
    <w:p w14:paraId="46609D3B" w14:textId="1DE8EA7B" w:rsidR="005360AA" w:rsidRPr="00E824AB" w:rsidRDefault="00BF743C" w:rsidP="00BF743C">
      <w:pPr>
        <w:pStyle w:val="FigureHeading"/>
        <w:numPr>
          <w:ilvl w:val="0"/>
          <w:numId w:val="0"/>
        </w:numPr>
        <w:ind w:left="1430" w:hanging="720"/>
        <w:rPr>
          <w:iCs/>
        </w:rPr>
      </w:pPr>
      <w:r w:rsidRPr="00E824AB">
        <w:t xml:space="preserve">Figure 9: </w:t>
      </w:r>
      <w:r w:rsidR="005360AA" w:rsidRPr="00E824AB">
        <w:rPr>
          <w:iCs/>
        </w:rPr>
        <w:t>Mentor satisfaction with program administration</w:t>
      </w:r>
    </w:p>
    <w:p w14:paraId="037CAE4A" w14:textId="52BA6211" w:rsidR="005360AA" w:rsidRDefault="00F81371" w:rsidP="005360AA">
      <w:pPr>
        <w:keepNext/>
      </w:pPr>
      <w:r w:rsidRPr="00F81371">
        <w:rPr>
          <w:noProof/>
        </w:rPr>
        <w:drawing>
          <wp:inline distT="0" distB="0" distL="0" distR="0" wp14:anchorId="72B5154E" wp14:editId="7DF54D99">
            <wp:extent cx="5256530" cy="3015202"/>
            <wp:effectExtent l="0" t="0" r="1270" b="0"/>
            <wp:docPr id="30" name="Picture 30" descr="Figure 9 shows mentor satisfaction with three aspects of the program’s administration. A large majority were satisfied with all aspects, although this majority was smaller for the matching process (23/38 were satisfied with this aspect while 9/38 were dissatisfied)." title="Figure 9: Mentor satisfaction with program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6530" cy="3015202"/>
                    </a:xfrm>
                    <a:prstGeom prst="rect">
                      <a:avLst/>
                    </a:prstGeom>
                    <a:noFill/>
                    <a:ln>
                      <a:noFill/>
                    </a:ln>
                  </pic:spPr>
                </pic:pic>
              </a:graphicData>
            </a:graphic>
          </wp:inline>
        </w:drawing>
      </w:r>
    </w:p>
    <w:p w14:paraId="6136F5CB" w14:textId="3E8A1C39" w:rsidR="005360AA" w:rsidRPr="004A1EBF" w:rsidRDefault="00DF52FB" w:rsidP="004A1EBF">
      <w:pPr>
        <w:pStyle w:val="SourceNotesText"/>
        <w:rPr>
          <w:sz w:val="16"/>
        </w:rPr>
      </w:pPr>
      <w:r w:rsidRPr="004A1EBF">
        <w:rPr>
          <w:sz w:val="16"/>
        </w:rPr>
        <w:t>Endline survey (</w:t>
      </w:r>
      <w:r w:rsidR="004F1EC9">
        <w:rPr>
          <w:sz w:val="16"/>
        </w:rPr>
        <w:t>Sep</w:t>
      </w:r>
      <w:r w:rsidRPr="004A1EBF">
        <w:rPr>
          <w:sz w:val="16"/>
        </w:rPr>
        <w:t xml:space="preserve"> 2019). </w:t>
      </w:r>
      <w:r w:rsidR="005360AA" w:rsidRPr="004A1EBF">
        <w:rPr>
          <w:sz w:val="16"/>
        </w:rPr>
        <w:t>Questions: Please indicate your satisfaction with: 1. Communication from the administrators. 2. The matching process. 3. The guidance material provided.</w:t>
      </w:r>
    </w:p>
    <w:p w14:paraId="14804D55" w14:textId="54ECDD0C" w:rsidR="005360AA" w:rsidRPr="00E824AB" w:rsidRDefault="00BF743C" w:rsidP="00BF743C">
      <w:pPr>
        <w:pStyle w:val="FigureHeading"/>
        <w:numPr>
          <w:ilvl w:val="0"/>
          <w:numId w:val="0"/>
        </w:numPr>
        <w:ind w:left="1430" w:hanging="720"/>
        <w:rPr>
          <w:iCs/>
        </w:rPr>
      </w:pPr>
      <w:r w:rsidRPr="00E824AB">
        <w:t xml:space="preserve">Figure 10: </w:t>
      </w:r>
      <w:r w:rsidR="005360AA" w:rsidRPr="00E824AB">
        <w:rPr>
          <w:iCs/>
        </w:rPr>
        <w:t>Student satisfaction with program administration</w:t>
      </w:r>
    </w:p>
    <w:p w14:paraId="19236E87" w14:textId="4CBF385F" w:rsidR="005360AA" w:rsidRDefault="00AE4C76" w:rsidP="005360AA">
      <w:pPr>
        <w:keepNext/>
      </w:pPr>
      <w:r w:rsidRPr="00AE4C76">
        <w:rPr>
          <w:noProof/>
        </w:rPr>
        <w:drawing>
          <wp:inline distT="0" distB="0" distL="0" distR="0" wp14:anchorId="03F52B4E" wp14:editId="783D274B">
            <wp:extent cx="5256530" cy="3057156"/>
            <wp:effectExtent l="0" t="0" r="1270" b="0"/>
            <wp:docPr id="27" name="Picture 27" descr="Figure 10 shows student satisfaction with five aspects of the program’s administration. A large majority were satisfied with all aspects." title="Figure 10: Student satisfaction with program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56530" cy="3057156"/>
                    </a:xfrm>
                    <a:prstGeom prst="rect">
                      <a:avLst/>
                    </a:prstGeom>
                    <a:noFill/>
                    <a:ln>
                      <a:noFill/>
                    </a:ln>
                  </pic:spPr>
                </pic:pic>
              </a:graphicData>
            </a:graphic>
          </wp:inline>
        </w:drawing>
      </w:r>
    </w:p>
    <w:p w14:paraId="7F53F0CE" w14:textId="77777777" w:rsidR="005360AA" w:rsidRPr="004A1EBF" w:rsidRDefault="005360AA" w:rsidP="004A1EBF">
      <w:pPr>
        <w:pStyle w:val="SourceNotesText"/>
        <w:rPr>
          <w:sz w:val="16"/>
        </w:rPr>
      </w:pPr>
      <w:r w:rsidRPr="004A1EBF">
        <w:rPr>
          <w:sz w:val="16"/>
        </w:rPr>
        <w:t>Midline survey (Nov 2018). The final category ‘dissatisfied’ combines three response options (somewhat dissatisfied, dissatisfied, and very dissatisfied). Questions: Please indicate how satisfied you are with the following aspects of the mentoring program so far.… 1. The application process. 2. The mentor you were matched with. 3 The timing of the program with regards to your uni schedule. 4. Communication from the mentoring program. 5. The guidance material about the program.</w:t>
      </w:r>
    </w:p>
    <w:p w14:paraId="5249FEC7" w14:textId="77777777" w:rsidR="005360AA" w:rsidRDefault="005360AA" w:rsidP="00E84ACD">
      <w:pPr>
        <w:pStyle w:val="Heading4"/>
      </w:pPr>
      <w:r>
        <w:t>Events</w:t>
      </w:r>
    </w:p>
    <w:p w14:paraId="6E018556" w14:textId="2BDD689A" w:rsidR="00F71307" w:rsidRPr="006E501B" w:rsidRDefault="005360AA" w:rsidP="004A1EBF">
      <w:r w:rsidRPr="006E501B">
        <w:t>Students particularly liked the speed mentoring event: 10 of the 16 respondents who attended were ‘very satisfied’ with that event</w:t>
      </w:r>
      <w:r w:rsidR="000F3E99" w:rsidRPr="006E501B">
        <w:t xml:space="preserve"> (Figure </w:t>
      </w:r>
      <w:r w:rsidR="00B64A14" w:rsidRPr="006E501B">
        <w:t>11</w:t>
      </w:r>
      <w:r w:rsidR="000F3E99" w:rsidRPr="006E501B">
        <w:t>)</w:t>
      </w:r>
      <w:r w:rsidRPr="006E501B">
        <w:t xml:space="preserve">. </w:t>
      </w:r>
      <w:r w:rsidR="00F71307" w:rsidRPr="006E501B">
        <w:t>The launch event achieved the highest attendance amongst respondents, with the lowest for the program close. The main reasons students could not attend were clashes with work (16 out of 30) or with studies (10</w:t>
      </w:r>
      <w:r w:rsidR="00B64A14" w:rsidRPr="006E501B">
        <w:t> </w:t>
      </w:r>
      <w:r w:rsidR="00F71307" w:rsidRPr="006E501B">
        <w:t xml:space="preserve">out of 30). </w:t>
      </w:r>
    </w:p>
    <w:p w14:paraId="7BC00084" w14:textId="47C9FAA3" w:rsidR="005360AA" w:rsidRPr="006E501B" w:rsidRDefault="005360AA" w:rsidP="004A1EBF">
      <w:r w:rsidRPr="006E501B">
        <w:t>Most mentor respondents were very satisfied with all three events, although there was somewhat lower satisfaction with the program close</w:t>
      </w:r>
      <w:r w:rsidR="000F3E99" w:rsidRPr="006E501B">
        <w:t xml:space="preserve"> (Figure </w:t>
      </w:r>
      <w:r w:rsidR="00B64A14" w:rsidRPr="006E501B">
        <w:t>12</w:t>
      </w:r>
      <w:r w:rsidR="000F3E99" w:rsidRPr="006E501B">
        <w:t>)</w:t>
      </w:r>
      <w:r w:rsidRPr="006E501B">
        <w:t>.</w:t>
      </w:r>
    </w:p>
    <w:p w14:paraId="3B7A2EBA" w14:textId="18461DAB" w:rsidR="005360AA" w:rsidRPr="00E824AB" w:rsidRDefault="00BF743C" w:rsidP="00BF743C">
      <w:pPr>
        <w:pStyle w:val="FigureHeading"/>
        <w:numPr>
          <w:ilvl w:val="0"/>
          <w:numId w:val="0"/>
        </w:numPr>
        <w:ind w:left="1430" w:hanging="720"/>
        <w:rPr>
          <w:iCs/>
        </w:rPr>
      </w:pPr>
      <w:r w:rsidRPr="00E824AB">
        <w:t xml:space="preserve">Figure 11: </w:t>
      </w:r>
      <w:r w:rsidR="005360AA" w:rsidRPr="00E824AB">
        <w:rPr>
          <w:iCs/>
        </w:rPr>
        <w:t xml:space="preserve">Student satisfaction with </w:t>
      </w:r>
      <w:r w:rsidR="00EC55E3">
        <w:rPr>
          <w:iCs/>
        </w:rPr>
        <w:t>networking</w:t>
      </w:r>
      <w:r w:rsidR="005360AA" w:rsidRPr="00E824AB">
        <w:rPr>
          <w:iCs/>
        </w:rPr>
        <w:t xml:space="preserve"> events</w:t>
      </w:r>
    </w:p>
    <w:p w14:paraId="595F6CEF" w14:textId="4DB9F67E" w:rsidR="005360AA" w:rsidRDefault="009E1352" w:rsidP="005360AA">
      <w:r w:rsidRPr="009E1352">
        <w:rPr>
          <w:noProof/>
        </w:rPr>
        <w:drawing>
          <wp:inline distT="0" distB="0" distL="0" distR="0" wp14:anchorId="38B1B6CD" wp14:editId="457CAE10">
            <wp:extent cx="5256530" cy="2510581"/>
            <wp:effectExtent l="0" t="0" r="1270" b="4445"/>
            <wp:docPr id="65" name="Picture 65" descr="Figure 11 shows student attendance at and satisfaction with the three networking events. 20 student respondents attended the launch, 16 attended the speed mentoring event, and 10 attended the program close." title="Figure 11: Student satisfaction with mentor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6530" cy="2510581"/>
                    </a:xfrm>
                    <a:prstGeom prst="rect">
                      <a:avLst/>
                    </a:prstGeom>
                    <a:noFill/>
                    <a:ln>
                      <a:noFill/>
                    </a:ln>
                  </pic:spPr>
                </pic:pic>
              </a:graphicData>
            </a:graphic>
          </wp:inline>
        </w:drawing>
      </w:r>
    </w:p>
    <w:p w14:paraId="3CE30516" w14:textId="269DA047" w:rsidR="005360AA" w:rsidRPr="004A1EBF" w:rsidRDefault="00F71307" w:rsidP="004A1EBF">
      <w:pPr>
        <w:pStyle w:val="SourceNotesText"/>
        <w:rPr>
          <w:sz w:val="16"/>
        </w:rPr>
      </w:pPr>
      <w:r w:rsidRPr="004A1EBF">
        <w:rPr>
          <w:sz w:val="16"/>
        </w:rPr>
        <w:t>Endline survey (Aug</w:t>
      </w:r>
      <w:r w:rsidR="004F1EC9">
        <w:rPr>
          <w:sz w:val="16"/>
        </w:rPr>
        <w:t>-Sep</w:t>
      </w:r>
      <w:r w:rsidRPr="004A1EBF">
        <w:rPr>
          <w:sz w:val="16"/>
        </w:rPr>
        <w:t xml:space="preserve"> 2019). </w:t>
      </w:r>
      <w:r w:rsidR="005360AA" w:rsidRPr="004A1EBF">
        <w:rPr>
          <w:sz w:val="16"/>
        </w:rPr>
        <w:t>Question: How satisfied were you with each of these events?</w:t>
      </w:r>
    </w:p>
    <w:p w14:paraId="6C46E4EC" w14:textId="757B5A5A" w:rsidR="005360AA" w:rsidRDefault="00BF743C" w:rsidP="00BF743C">
      <w:pPr>
        <w:pStyle w:val="FigureHeading"/>
        <w:numPr>
          <w:ilvl w:val="0"/>
          <w:numId w:val="0"/>
        </w:numPr>
        <w:ind w:left="1430" w:hanging="720"/>
      </w:pPr>
      <w:r>
        <w:t xml:space="preserve">Figure 12: </w:t>
      </w:r>
      <w:r w:rsidR="005360AA">
        <w:t>Mentor satisfaction with networking events</w:t>
      </w:r>
    </w:p>
    <w:p w14:paraId="76C919F5" w14:textId="0BB0F923" w:rsidR="005360AA" w:rsidRDefault="009E1352" w:rsidP="005360AA">
      <w:r w:rsidRPr="009E1352">
        <w:rPr>
          <w:noProof/>
        </w:rPr>
        <w:drawing>
          <wp:inline distT="0" distB="0" distL="0" distR="0" wp14:anchorId="0A3436D8" wp14:editId="66A1C877">
            <wp:extent cx="5256530" cy="2314262"/>
            <wp:effectExtent l="0" t="0" r="1270" b="0"/>
            <wp:docPr id="66" name="Picture 66" descr="Figure 12 shows mentor attendance at and satisfaction with the three networking events. 26 mentor respondents attended the launch, 12 attended the speed mentoring event and 11 attended the program close." title="Figure 12: Mentor satisfaction with network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56530" cy="2314262"/>
                    </a:xfrm>
                    <a:prstGeom prst="rect">
                      <a:avLst/>
                    </a:prstGeom>
                    <a:noFill/>
                    <a:ln>
                      <a:noFill/>
                    </a:ln>
                  </pic:spPr>
                </pic:pic>
              </a:graphicData>
            </a:graphic>
          </wp:inline>
        </w:drawing>
      </w:r>
    </w:p>
    <w:p w14:paraId="02E9BB3E" w14:textId="4C9897D0" w:rsidR="005360AA" w:rsidRPr="004A1EBF" w:rsidRDefault="00F71307" w:rsidP="004A1EBF">
      <w:pPr>
        <w:pStyle w:val="SourceNotesText"/>
        <w:rPr>
          <w:sz w:val="16"/>
        </w:rPr>
      </w:pPr>
      <w:r w:rsidRPr="004A1EBF">
        <w:rPr>
          <w:sz w:val="16"/>
        </w:rPr>
        <w:t>Endline survey (</w:t>
      </w:r>
      <w:r w:rsidR="004F1EC9">
        <w:rPr>
          <w:sz w:val="16"/>
        </w:rPr>
        <w:t>Sep</w:t>
      </w:r>
      <w:r w:rsidRPr="004A1EBF">
        <w:rPr>
          <w:sz w:val="16"/>
        </w:rPr>
        <w:t xml:space="preserve"> 2019). </w:t>
      </w:r>
      <w:r w:rsidR="005360AA" w:rsidRPr="004A1EBF">
        <w:rPr>
          <w:sz w:val="16"/>
        </w:rPr>
        <w:t>Question: How would you rate these events?</w:t>
      </w:r>
    </w:p>
    <w:p w14:paraId="3372319F" w14:textId="6042EF78" w:rsidR="005360AA" w:rsidRPr="005360AA" w:rsidRDefault="005360AA" w:rsidP="005360AA">
      <w:pPr>
        <w:rPr>
          <w:sz w:val="18"/>
        </w:rPr>
      </w:pPr>
      <w:r>
        <w:br w:type="page"/>
      </w:r>
    </w:p>
    <w:p w14:paraId="0515FBB9" w14:textId="1F1B75F4" w:rsidR="0063664B" w:rsidRDefault="00BF743C" w:rsidP="00BF743C">
      <w:pPr>
        <w:pStyle w:val="AppendixHeading"/>
        <w:numPr>
          <w:ilvl w:val="0"/>
          <w:numId w:val="0"/>
        </w:numPr>
        <w:ind w:left="1134" w:hanging="1134"/>
      </w:pPr>
      <w:bookmarkStart w:id="12" w:name="_Toc57814950"/>
      <w:r>
        <w:rPr>
          <w:rFonts w:ascii="Helvetica" w:hAnsi="Helvetica"/>
        </w:rPr>
        <w:t xml:space="preserve">Appendix 3 - </w:t>
      </w:r>
      <w:r w:rsidR="00011F9F">
        <w:t>S</w:t>
      </w:r>
      <w:r w:rsidR="0063664B">
        <w:t>tatistical tables</w:t>
      </w:r>
      <w:bookmarkEnd w:id="12"/>
    </w:p>
    <w:p w14:paraId="24F27105" w14:textId="61824526" w:rsidR="002C1E9A" w:rsidRPr="006E501B" w:rsidRDefault="001B35FF" w:rsidP="004A1EBF">
      <w:r w:rsidRPr="006E501B">
        <w:t>This appendix presents the full results and statistical analysis from our study. It is structured as follows:</w:t>
      </w:r>
    </w:p>
    <w:p w14:paraId="555E049C" w14:textId="6EC16233" w:rsidR="001B35FF" w:rsidRPr="006E501B" w:rsidRDefault="00BF743C" w:rsidP="00BF743C">
      <w:pPr>
        <w:ind w:left="720" w:hanging="360"/>
      </w:pPr>
      <w:r w:rsidRPr="006E501B">
        <w:rPr>
          <w:rFonts w:ascii="Symbol" w:hAnsi="Symbol"/>
        </w:rPr>
        <w:t></w:t>
      </w:r>
      <w:r w:rsidRPr="006E501B">
        <w:rPr>
          <w:rFonts w:ascii="Symbol" w:hAnsi="Symbol"/>
        </w:rPr>
        <w:tab/>
      </w:r>
      <w:r w:rsidR="001B35FF" w:rsidRPr="006E501B">
        <w:t>Impact of mentoring on:</w:t>
      </w:r>
      <w:r w:rsidR="003713C0" w:rsidRPr="006E501B">
        <w:t xml:space="preserve"> </w:t>
      </w:r>
      <w:r w:rsidR="001B35FF" w:rsidRPr="006E501B">
        <w:t>economics enrolment, and Grade Point Average (GPA)</w:t>
      </w:r>
    </w:p>
    <w:p w14:paraId="4B33F13E" w14:textId="0389B4ED" w:rsidR="001B35FF" w:rsidRPr="006E501B" w:rsidRDefault="00BF743C" w:rsidP="00BF743C">
      <w:pPr>
        <w:ind w:left="720" w:hanging="360"/>
      </w:pPr>
      <w:r w:rsidRPr="006E501B">
        <w:rPr>
          <w:rFonts w:ascii="Symbol" w:hAnsi="Symbol"/>
        </w:rPr>
        <w:t></w:t>
      </w:r>
      <w:r w:rsidRPr="006E501B">
        <w:rPr>
          <w:rFonts w:ascii="Symbol" w:hAnsi="Symbol"/>
        </w:rPr>
        <w:tab/>
      </w:r>
      <w:r w:rsidR="001B35FF" w:rsidRPr="006E501B">
        <w:t>Baseline characteristics and balance checks</w:t>
      </w:r>
    </w:p>
    <w:p w14:paraId="78DE4924" w14:textId="4479B387" w:rsidR="00714821" w:rsidRPr="006E501B" w:rsidRDefault="00BF743C" w:rsidP="00BF743C">
      <w:pPr>
        <w:ind w:left="720" w:hanging="360"/>
      </w:pPr>
      <w:r w:rsidRPr="006E501B">
        <w:rPr>
          <w:rFonts w:ascii="Symbol" w:hAnsi="Symbol"/>
        </w:rPr>
        <w:t></w:t>
      </w:r>
      <w:r w:rsidRPr="006E501B">
        <w:rPr>
          <w:rFonts w:ascii="Symbol" w:hAnsi="Symbol"/>
        </w:rPr>
        <w:tab/>
      </w:r>
      <w:r w:rsidR="00714821" w:rsidRPr="006E501B">
        <w:t>Comparison of baseline and endline survey responses</w:t>
      </w:r>
    </w:p>
    <w:p w14:paraId="63A109AE" w14:textId="48EE88D8" w:rsidR="002C1E9A" w:rsidRDefault="002C1E9A" w:rsidP="00E84ACD">
      <w:pPr>
        <w:pStyle w:val="Heading4"/>
      </w:pPr>
      <w:r>
        <w:t>Impact of mentoring on economics enrolment</w:t>
      </w:r>
      <w:r w:rsidR="00A25D56">
        <w:t xml:space="preserve"> or completion</w:t>
      </w:r>
    </w:p>
    <w:p w14:paraId="2BC5A73F" w14:textId="77777777" w:rsidR="00A25D56" w:rsidRPr="006E501B" w:rsidRDefault="00CB54CA" w:rsidP="004A1EBF">
      <w:r w:rsidRPr="006E501B">
        <w:t>The tables below present the statistical analysis for the primary outcome</w:t>
      </w:r>
      <w:r w:rsidR="00A25D56" w:rsidRPr="006E501B">
        <w:t>s</w:t>
      </w:r>
      <w:r w:rsidRPr="006E501B">
        <w:t xml:space="preserve">: </w:t>
      </w:r>
    </w:p>
    <w:p w14:paraId="7EFDDDC5" w14:textId="6BA3091E" w:rsidR="00A25D56" w:rsidRPr="006E501B" w:rsidRDefault="00BF743C" w:rsidP="00BF743C">
      <w:pPr>
        <w:ind w:left="720" w:hanging="360"/>
      </w:pPr>
      <w:r w:rsidRPr="006E501B">
        <w:rPr>
          <w:rFonts w:ascii="Symbol" w:hAnsi="Symbol"/>
        </w:rPr>
        <w:t></w:t>
      </w:r>
      <w:r w:rsidRPr="006E501B">
        <w:rPr>
          <w:rFonts w:ascii="Symbol" w:hAnsi="Symbol"/>
        </w:rPr>
        <w:tab/>
      </w:r>
      <w:r w:rsidR="00A25D56" w:rsidRPr="00BF743C">
        <w:rPr>
          <w:i/>
        </w:rPr>
        <w:t>semester two 2019</w:t>
      </w:r>
      <w:r w:rsidR="00A25D56" w:rsidRPr="006E501B">
        <w:t xml:space="preserve"> (the semester following the conclusion of the mentoring program): </w:t>
      </w:r>
      <w:r w:rsidR="00CB54CA" w:rsidRPr="006E501B">
        <w:t>enrolment in a core macroeconomics or microeconomics unit</w:t>
      </w:r>
    </w:p>
    <w:p w14:paraId="58237FBC" w14:textId="1A37E006" w:rsidR="00A25D56" w:rsidRPr="006E501B" w:rsidRDefault="00BF743C" w:rsidP="00BF743C">
      <w:pPr>
        <w:ind w:left="720" w:hanging="360"/>
      </w:pPr>
      <w:r w:rsidRPr="006E501B">
        <w:rPr>
          <w:rFonts w:ascii="Symbol" w:hAnsi="Symbol"/>
        </w:rPr>
        <w:t></w:t>
      </w:r>
      <w:r w:rsidRPr="006E501B">
        <w:rPr>
          <w:rFonts w:ascii="Symbol" w:hAnsi="Symbol"/>
        </w:rPr>
        <w:tab/>
      </w:r>
      <w:r w:rsidR="00A25D56" w:rsidRPr="00BF743C">
        <w:rPr>
          <w:i/>
        </w:rPr>
        <w:t>semester one 2020</w:t>
      </w:r>
      <w:r w:rsidR="00A25D56" w:rsidRPr="006E501B">
        <w:t>: enrolment in a core economics unit or completion of an economics degree</w:t>
      </w:r>
      <w:r w:rsidR="00CB54CA" w:rsidRPr="006E501B">
        <w:t>.</w:t>
      </w:r>
      <w:r w:rsidR="006E501B" w:rsidRPr="006E501B">
        <w:rPr>
          <w:rStyle w:val="FootnoteReference"/>
          <w:color w:val="auto"/>
        </w:rPr>
        <w:footnoteReference w:id="9"/>
      </w:r>
      <w:r w:rsidR="00CB54CA" w:rsidRPr="006E501B">
        <w:t xml:space="preserve"> </w:t>
      </w:r>
    </w:p>
    <w:p w14:paraId="115DD372" w14:textId="63F98A43" w:rsidR="00A25D56" w:rsidRPr="006E501B" w:rsidRDefault="00820A12" w:rsidP="004A1EBF">
      <w:r w:rsidRPr="006E501B">
        <w:t>Our results suggest mentored s</w:t>
      </w:r>
      <w:r w:rsidR="00CB54CA" w:rsidRPr="006E501B">
        <w:t xml:space="preserve">tudents were </w:t>
      </w:r>
      <w:r w:rsidRPr="006E501B">
        <w:t xml:space="preserve">substantially </w:t>
      </w:r>
      <w:r w:rsidR="00CB54CA" w:rsidRPr="006E501B">
        <w:t xml:space="preserve">more likely to enrol in </w:t>
      </w:r>
      <w:r w:rsidR="00A25D56" w:rsidRPr="006E501B">
        <w:t xml:space="preserve">and complete </w:t>
      </w:r>
      <w:r w:rsidR="00CB54CA" w:rsidRPr="006E501B">
        <w:t>economics than</w:t>
      </w:r>
      <w:r w:rsidRPr="006E501B">
        <w:t xml:space="preserve"> those in the control group however</w:t>
      </w:r>
      <w:r w:rsidR="00CB54CA" w:rsidRPr="006E501B">
        <w:t xml:space="preserve"> </w:t>
      </w:r>
      <w:r w:rsidRPr="006E501B">
        <w:t>the wide confidence intervals imply that it is also possible the program had little or no effect</w:t>
      </w:r>
      <w:r w:rsidR="00B85FF5" w:rsidRPr="006E501B">
        <w:t xml:space="preserve"> (Figure </w:t>
      </w:r>
      <w:r w:rsidR="00B64A14" w:rsidRPr="006E501B">
        <w:t>13</w:t>
      </w:r>
      <w:r w:rsidR="00A25D56" w:rsidRPr="006E501B">
        <w:t xml:space="preserve"> and 1</w:t>
      </w:r>
      <w:r w:rsidR="009C7AEB" w:rsidRPr="006E501B">
        <w:t>7</w:t>
      </w:r>
      <w:r w:rsidR="00B85FF5" w:rsidRPr="006E501B">
        <w:t>)</w:t>
      </w:r>
      <w:r w:rsidRPr="006E501B">
        <w:t>. Our robustness checks vary little from our primary analysis</w:t>
      </w:r>
      <w:r w:rsidR="00B85FF5" w:rsidRPr="006E501B">
        <w:t xml:space="preserve"> (Figures</w:t>
      </w:r>
      <w:r w:rsidR="004B4B1B" w:rsidRPr="006E501B">
        <w:t> </w:t>
      </w:r>
      <w:r w:rsidR="00B64A14" w:rsidRPr="006E501B">
        <w:t>14 and 15</w:t>
      </w:r>
      <w:r w:rsidR="00B85FF5" w:rsidRPr="006E501B">
        <w:t>)</w:t>
      </w:r>
      <w:r w:rsidRPr="006E501B">
        <w:t xml:space="preserve">. </w:t>
      </w:r>
    </w:p>
    <w:p w14:paraId="0090A302" w14:textId="13294B95" w:rsidR="00CB54CA" w:rsidRPr="006E501B" w:rsidRDefault="00A25D56" w:rsidP="004A1EBF">
      <w:r w:rsidRPr="006E501B">
        <w:t xml:space="preserve">We also estimated the impact of mentoring in 2020 on enrolments </w:t>
      </w:r>
      <w:r w:rsidRPr="006E501B">
        <w:rPr>
          <w:u w:val="single"/>
        </w:rPr>
        <w:t>only</w:t>
      </w:r>
      <w:r w:rsidRPr="006E501B">
        <w:t>. While we pre</w:t>
      </w:r>
      <w:r w:rsidRPr="006E501B">
        <w:noBreakHyphen/>
        <w:t>specified this outcome in our analysis plan, it is clearly an inferior measure since</w:t>
      </w:r>
      <w:r w:rsidR="003C273A" w:rsidRPr="006E501B">
        <w:t xml:space="preserve"> 17 </w:t>
      </w:r>
      <w:r w:rsidRPr="006E501B">
        <w:t>later</w:t>
      </w:r>
      <w:r w:rsidRPr="006E501B">
        <w:noBreakHyphen/>
        <w:t>year students had already completed their degree by 2020 and so could not enrol in any of the core economics units</w:t>
      </w:r>
      <w:r w:rsidR="009C7AEB" w:rsidRPr="006E501B">
        <w:t xml:space="preserve"> (Figure 16)</w:t>
      </w:r>
      <w:r w:rsidRPr="006E501B">
        <w:t xml:space="preserve">. Consequently, </w:t>
      </w:r>
      <w:r w:rsidR="00095258" w:rsidRPr="006E501B">
        <w:t>although this analysis produced a null result, we do not regard this as informative of the program’s impact</w:t>
      </w:r>
      <w:r w:rsidRPr="006E501B">
        <w:t xml:space="preserve"> (Figure 1</w:t>
      </w:r>
      <w:r w:rsidR="009C7AEB" w:rsidRPr="006E501B">
        <w:t>8</w:t>
      </w:r>
      <w:r w:rsidRPr="006E501B">
        <w:t xml:space="preserve">).  </w:t>
      </w:r>
    </w:p>
    <w:p w14:paraId="077E8DAB" w14:textId="592C27FA" w:rsidR="00B85FF5" w:rsidRPr="006E501B" w:rsidRDefault="00B85FF5" w:rsidP="004A1EBF">
      <w:r w:rsidRPr="006E501B">
        <w:t xml:space="preserve">As expected, </w:t>
      </w:r>
      <w:r w:rsidR="00731AAA" w:rsidRPr="006E501B">
        <w:t xml:space="preserve">in 2019 </w:t>
      </w:r>
      <w:r w:rsidRPr="006E501B">
        <w:t>our ‘enrolments’ outcome was largely driven by enrolments in second</w:t>
      </w:r>
      <w:r w:rsidRPr="006E501B">
        <w:noBreakHyphen/>
        <w:t xml:space="preserve"> and third</w:t>
      </w:r>
      <w:r w:rsidRPr="006E501B">
        <w:noBreakHyphen/>
        <w:t>year macroeconomics (Figure </w:t>
      </w:r>
      <w:r w:rsidR="00731AAA" w:rsidRPr="006E501B">
        <w:t>1</w:t>
      </w:r>
      <w:r w:rsidR="009C7AEB" w:rsidRPr="006E501B">
        <w:t>9</w:t>
      </w:r>
      <w:r w:rsidRPr="006E501B">
        <w:t xml:space="preserve">). However it also captured a small number of students enrolled in </w:t>
      </w:r>
      <w:r w:rsidRPr="006E501B">
        <w:rPr>
          <w:i/>
        </w:rPr>
        <w:t>first</w:t>
      </w:r>
      <w:r w:rsidRPr="006E501B">
        <w:rPr>
          <w:i/>
        </w:rPr>
        <w:noBreakHyphen/>
        <w:t>year</w:t>
      </w:r>
      <w:r w:rsidRPr="006E501B">
        <w:t xml:space="preserve"> macroeconomics or second</w:t>
      </w:r>
      <w:r w:rsidRPr="006E501B">
        <w:noBreakHyphen/>
        <w:t xml:space="preserve">year </w:t>
      </w:r>
      <w:r w:rsidRPr="006E501B">
        <w:rPr>
          <w:i/>
        </w:rPr>
        <w:t>microeconomics</w:t>
      </w:r>
      <w:r w:rsidRPr="006E501B">
        <w:t xml:space="preserve">. </w:t>
      </w:r>
      <w:r w:rsidR="00A25D56" w:rsidRPr="006E501B">
        <w:t xml:space="preserve">Similar, by semester one </w:t>
      </w:r>
      <w:r w:rsidR="00731AAA" w:rsidRPr="006E501B">
        <w:t>2020, enrolments</w:t>
      </w:r>
      <w:r w:rsidR="00A25D56" w:rsidRPr="006E501B">
        <w:t xml:space="preserve"> were predominantly in third</w:t>
      </w:r>
      <w:r w:rsidR="00A25D56" w:rsidRPr="006E501B">
        <w:noBreakHyphen/>
        <w:t>year macroeconomics, with a couple of students in second</w:t>
      </w:r>
      <w:r w:rsidR="00A25D56" w:rsidRPr="006E501B">
        <w:noBreakHyphen/>
        <w:t>year microeconomic.</w:t>
      </w:r>
    </w:p>
    <w:p w14:paraId="5B2C744D" w14:textId="72D813F5" w:rsidR="002C1E9A" w:rsidRDefault="00BF743C" w:rsidP="00BF743C">
      <w:pPr>
        <w:pStyle w:val="FigureHeading"/>
        <w:numPr>
          <w:ilvl w:val="0"/>
          <w:numId w:val="0"/>
        </w:numPr>
        <w:ind w:left="1430" w:hanging="720"/>
      </w:pPr>
      <w:r>
        <w:t xml:space="preserve">Figure 13: </w:t>
      </w:r>
      <w:r w:rsidR="00CB54CA">
        <w:t>Economics enrolment</w:t>
      </w:r>
      <w:r w:rsidR="00484B88">
        <w:t xml:space="preserve"> S2 2019</w:t>
      </w:r>
      <w:r w:rsidR="00CB54CA">
        <w:t>, p</w:t>
      </w:r>
      <w:r w:rsidR="002C1E9A">
        <w:t>rimary analysis</w:t>
      </w:r>
    </w:p>
    <w:tbl>
      <w:tblPr>
        <w:tblW w:w="8225" w:type="dxa"/>
        <w:tblLook w:val="04A0" w:firstRow="1" w:lastRow="0" w:firstColumn="1" w:lastColumn="0" w:noHBand="0" w:noVBand="1"/>
        <w:tblCaption w:val="Figure 13: Economics enrolment S2 2019, primary analysis"/>
      </w:tblPr>
      <w:tblGrid>
        <w:gridCol w:w="1361"/>
        <w:gridCol w:w="510"/>
        <w:gridCol w:w="1644"/>
        <w:gridCol w:w="1195"/>
        <w:gridCol w:w="1247"/>
        <w:gridCol w:w="964"/>
        <w:gridCol w:w="1304"/>
      </w:tblGrid>
      <w:tr w:rsidR="002C1E9A" w:rsidRPr="002C1E9A" w14:paraId="0088E070" w14:textId="77777777" w:rsidTr="00731CEB">
        <w:trPr>
          <w:trHeight w:val="528"/>
          <w:tblHeader/>
        </w:trPr>
        <w:tc>
          <w:tcPr>
            <w:tcW w:w="1361" w:type="dxa"/>
            <w:tcBorders>
              <w:top w:val="nil"/>
              <w:left w:val="nil"/>
              <w:bottom w:val="nil"/>
              <w:right w:val="nil"/>
            </w:tcBorders>
            <w:shd w:val="clear" w:color="000000" w:fill="142E3A"/>
            <w:noWrap/>
            <w:vAlign w:val="center"/>
            <w:hideMark/>
          </w:tcPr>
          <w:p w14:paraId="5C3A0BAE" w14:textId="370AC2C8" w:rsidR="002C1E9A" w:rsidRPr="002C1E9A" w:rsidRDefault="002C1E9A" w:rsidP="002C1E9A">
            <w:pPr>
              <w:spacing w:before="0" w:after="0" w:line="240" w:lineRule="auto"/>
              <w:rPr>
                <w:rFonts w:ascii="Arial" w:hAnsi="Arial" w:cs="Arial"/>
                <w:b/>
                <w:bCs/>
                <w:color w:val="FFFFFF"/>
                <w:szCs w:val="20"/>
              </w:rPr>
            </w:pPr>
            <w:r w:rsidRPr="002C1E9A">
              <w:rPr>
                <w:rFonts w:ascii="Arial" w:hAnsi="Arial" w:cs="Arial"/>
                <w:b/>
                <w:bCs/>
                <w:color w:val="FFFFFF"/>
                <w:szCs w:val="20"/>
              </w:rPr>
              <w:t> Treatment</w:t>
            </w:r>
          </w:p>
        </w:tc>
        <w:tc>
          <w:tcPr>
            <w:tcW w:w="510" w:type="dxa"/>
            <w:tcBorders>
              <w:top w:val="nil"/>
              <w:left w:val="nil"/>
              <w:bottom w:val="nil"/>
              <w:right w:val="nil"/>
            </w:tcBorders>
            <w:shd w:val="clear" w:color="000000" w:fill="142E3A"/>
            <w:noWrap/>
            <w:vAlign w:val="center"/>
            <w:hideMark/>
          </w:tcPr>
          <w:p w14:paraId="39DEEA4A" w14:textId="77777777" w:rsidR="002C1E9A" w:rsidRPr="002C1E9A" w:rsidRDefault="002C1E9A" w:rsidP="002C1E9A">
            <w:pPr>
              <w:spacing w:before="0" w:after="0" w:line="240" w:lineRule="auto"/>
              <w:jc w:val="center"/>
              <w:rPr>
                <w:rFonts w:ascii="Arial" w:hAnsi="Arial" w:cs="Arial"/>
                <w:b/>
                <w:bCs/>
                <w:color w:val="FFFFFF"/>
                <w:szCs w:val="20"/>
              </w:rPr>
            </w:pPr>
            <w:r w:rsidRPr="002C1E9A">
              <w:rPr>
                <w:rFonts w:ascii="Arial" w:hAnsi="Arial" w:cs="Arial"/>
                <w:b/>
                <w:bCs/>
                <w:color w:val="FFFFFF"/>
                <w:szCs w:val="20"/>
              </w:rPr>
              <w:t>N</w:t>
            </w:r>
          </w:p>
        </w:tc>
        <w:tc>
          <w:tcPr>
            <w:tcW w:w="1644" w:type="dxa"/>
            <w:tcBorders>
              <w:top w:val="nil"/>
              <w:left w:val="nil"/>
              <w:bottom w:val="nil"/>
              <w:right w:val="nil"/>
            </w:tcBorders>
            <w:shd w:val="clear" w:color="000000" w:fill="142E3A"/>
            <w:vAlign w:val="center"/>
            <w:hideMark/>
          </w:tcPr>
          <w:p w14:paraId="37CEF366" w14:textId="77777777" w:rsidR="002C1E9A" w:rsidRPr="002C1E9A" w:rsidRDefault="002C1E9A" w:rsidP="002C1E9A">
            <w:pPr>
              <w:spacing w:before="0" w:after="0" w:line="240" w:lineRule="auto"/>
              <w:rPr>
                <w:rFonts w:ascii="Arial" w:hAnsi="Arial" w:cs="Arial"/>
                <w:b/>
                <w:bCs/>
                <w:color w:val="FFFFFF"/>
                <w:szCs w:val="20"/>
              </w:rPr>
            </w:pPr>
            <w:r w:rsidRPr="002C1E9A">
              <w:rPr>
                <w:rFonts w:ascii="Arial" w:hAnsi="Arial" w:cs="Arial"/>
                <w:b/>
                <w:bCs/>
                <w:color w:val="FFFFFF"/>
                <w:szCs w:val="20"/>
              </w:rPr>
              <w:t xml:space="preserve">Enrolled in economics </w:t>
            </w:r>
            <w:r w:rsidRPr="002C1E9A">
              <w:rPr>
                <w:rFonts w:ascii="Arial" w:hAnsi="Arial" w:cs="Arial"/>
                <w:bCs/>
                <w:color w:val="FFFFFF"/>
                <w:szCs w:val="20"/>
              </w:rPr>
              <w:t>(%)</w:t>
            </w:r>
          </w:p>
        </w:tc>
        <w:tc>
          <w:tcPr>
            <w:tcW w:w="1195" w:type="dxa"/>
            <w:tcBorders>
              <w:top w:val="nil"/>
              <w:left w:val="nil"/>
              <w:bottom w:val="nil"/>
              <w:right w:val="nil"/>
            </w:tcBorders>
            <w:shd w:val="clear" w:color="000000" w:fill="142E3A"/>
            <w:vAlign w:val="center"/>
            <w:hideMark/>
          </w:tcPr>
          <w:p w14:paraId="195C53B8" w14:textId="77777777" w:rsidR="002C1E9A" w:rsidRPr="002C1E9A" w:rsidRDefault="002C1E9A" w:rsidP="002C1E9A">
            <w:pPr>
              <w:spacing w:before="0" w:after="0" w:line="240" w:lineRule="auto"/>
              <w:rPr>
                <w:rFonts w:ascii="Arial" w:hAnsi="Arial" w:cs="Arial"/>
                <w:b/>
                <w:bCs/>
                <w:color w:val="FFFFFF"/>
                <w:szCs w:val="20"/>
              </w:rPr>
            </w:pPr>
            <w:r w:rsidRPr="002C1E9A">
              <w:rPr>
                <w:rFonts w:ascii="Arial" w:hAnsi="Arial" w:cs="Arial"/>
                <w:b/>
                <w:bCs/>
                <w:color w:val="FFFFFF"/>
                <w:szCs w:val="20"/>
              </w:rPr>
              <w:t xml:space="preserve">Difference </w:t>
            </w:r>
            <w:r w:rsidRPr="002C1E9A">
              <w:rPr>
                <w:rFonts w:ascii="Arial" w:hAnsi="Arial" w:cs="Arial"/>
                <w:bCs/>
                <w:color w:val="FFFFFF"/>
                <w:szCs w:val="20"/>
              </w:rPr>
              <w:t>(ppts)</w:t>
            </w:r>
          </w:p>
        </w:tc>
        <w:tc>
          <w:tcPr>
            <w:tcW w:w="1247" w:type="dxa"/>
            <w:tcBorders>
              <w:top w:val="nil"/>
              <w:left w:val="nil"/>
              <w:bottom w:val="nil"/>
              <w:right w:val="nil"/>
            </w:tcBorders>
            <w:shd w:val="clear" w:color="000000" w:fill="142E3A"/>
            <w:vAlign w:val="center"/>
            <w:hideMark/>
          </w:tcPr>
          <w:p w14:paraId="06046E26" w14:textId="77777777" w:rsidR="002C1E9A" w:rsidRPr="002C1E9A" w:rsidRDefault="002C1E9A" w:rsidP="002C1E9A">
            <w:pPr>
              <w:spacing w:before="0" w:after="0" w:line="240" w:lineRule="auto"/>
              <w:rPr>
                <w:rFonts w:ascii="Arial" w:hAnsi="Arial" w:cs="Arial"/>
                <w:b/>
                <w:bCs/>
                <w:color w:val="FFFFFF"/>
                <w:szCs w:val="20"/>
              </w:rPr>
            </w:pPr>
            <w:r w:rsidRPr="002C1E9A">
              <w:rPr>
                <w:rFonts w:ascii="Arial" w:hAnsi="Arial" w:cs="Arial"/>
                <w:b/>
                <w:bCs/>
                <w:color w:val="FFFFFF"/>
                <w:szCs w:val="20"/>
              </w:rPr>
              <w:t xml:space="preserve">95% CI </w:t>
            </w:r>
            <w:r w:rsidRPr="002C1E9A">
              <w:rPr>
                <w:rFonts w:ascii="Arial" w:hAnsi="Arial" w:cs="Arial"/>
                <w:b/>
                <w:bCs/>
                <w:color w:val="FFFFFF"/>
                <w:szCs w:val="20"/>
              </w:rPr>
              <w:br/>
            </w:r>
            <w:r w:rsidRPr="002C1E9A">
              <w:rPr>
                <w:rFonts w:ascii="Arial" w:hAnsi="Arial" w:cs="Arial"/>
                <w:bCs/>
                <w:color w:val="FFFFFF"/>
                <w:szCs w:val="20"/>
              </w:rPr>
              <w:t>(one-sided)</w:t>
            </w:r>
          </w:p>
        </w:tc>
        <w:tc>
          <w:tcPr>
            <w:tcW w:w="964" w:type="dxa"/>
            <w:tcBorders>
              <w:top w:val="nil"/>
              <w:left w:val="nil"/>
              <w:bottom w:val="nil"/>
              <w:right w:val="nil"/>
            </w:tcBorders>
            <w:shd w:val="clear" w:color="000000" w:fill="142E3A"/>
            <w:noWrap/>
            <w:vAlign w:val="center"/>
            <w:hideMark/>
          </w:tcPr>
          <w:p w14:paraId="73025309" w14:textId="77777777" w:rsidR="002C1E9A" w:rsidRPr="002C1E9A" w:rsidRDefault="002C1E9A" w:rsidP="002C1E9A">
            <w:pPr>
              <w:spacing w:before="0" w:after="0" w:line="240" w:lineRule="auto"/>
              <w:rPr>
                <w:rFonts w:ascii="Arial" w:hAnsi="Arial" w:cs="Arial"/>
                <w:b/>
                <w:bCs/>
                <w:color w:val="FFFFFF"/>
                <w:szCs w:val="20"/>
              </w:rPr>
            </w:pPr>
            <w:r w:rsidRPr="002C1E9A">
              <w:rPr>
                <w:rFonts w:ascii="Arial" w:hAnsi="Arial" w:cs="Arial"/>
                <w:b/>
                <w:bCs/>
                <w:color w:val="FFFFFF"/>
                <w:szCs w:val="20"/>
              </w:rPr>
              <w:t>p-value</w:t>
            </w:r>
          </w:p>
        </w:tc>
        <w:tc>
          <w:tcPr>
            <w:tcW w:w="1304" w:type="dxa"/>
            <w:tcBorders>
              <w:top w:val="nil"/>
              <w:left w:val="nil"/>
              <w:bottom w:val="nil"/>
              <w:right w:val="nil"/>
            </w:tcBorders>
            <w:shd w:val="clear" w:color="000000" w:fill="142E3A"/>
            <w:vAlign w:val="center"/>
            <w:hideMark/>
          </w:tcPr>
          <w:p w14:paraId="3B38790E" w14:textId="77777777" w:rsidR="002C1E9A" w:rsidRPr="002C1E9A" w:rsidRDefault="002C1E9A" w:rsidP="002C1E9A">
            <w:pPr>
              <w:spacing w:before="0" w:after="0" w:line="240" w:lineRule="auto"/>
              <w:rPr>
                <w:rFonts w:ascii="Arial" w:hAnsi="Arial" w:cs="Arial"/>
                <w:b/>
                <w:bCs/>
                <w:color w:val="FFFFFF"/>
                <w:szCs w:val="20"/>
              </w:rPr>
            </w:pPr>
            <w:r w:rsidRPr="002C1E9A">
              <w:rPr>
                <w:rFonts w:ascii="Arial" w:hAnsi="Arial" w:cs="Arial"/>
                <w:b/>
                <w:bCs/>
                <w:color w:val="FFFFFF"/>
                <w:szCs w:val="20"/>
              </w:rPr>
              <w:t xml:space="preserve">Standard error </w:t>
            </w:r>
            <w:r w:rsidRPr="002C1E9A">
              <w:rPr>
                <w:rFonts w:ascii="Arial" w:hAnsi="Arial" w:cs="Arial"/>
                <w:bCs/>
                <w:color w:val="FFFFFF"/>
                <w:szCs w:val="20"/>
              </w:rPr>
              <w:t>(ppts)</w:t>
            </w:r>
          </w:p>
        </w:tc>
      </w:tr>
      <w:tr w:rsidR="002C1E9A" w:rsidRPr="002C1E9A" w14:paraId="04915E85" w14:textId="77777777" w:rsidTr="002C1E9A">
        <w:trPr>
          <w:trHeight w:val="276"/>
        </w:trPr>
        <w:tc>
          <w:tcPr>
            <w:tcW w:w="1361" w:type="dxa"/>
            <w:tcBorders>
              <w:top w:val="nil"/>
              <w:left w:val="nil"/>
              <w:bottom w:val="nil"/>
              <w:right w:val="nil"/>
            </w:tcBorders>
            <w:shd w:val="clear" w:color="000000" w:fill="F2F2F2"/>
            <w:noWrap/>
            <w:vAlign w:val="center"/>
            <w:hideMark/>
          </w:tcPr>
          <w:p w14:paraId="1E16CDB4" w14:textId="77777777" w:rsidR="002C1E9A" w:rsidRPr="002C1E9A" w:rsidRDefault="002C1E9A" w:rsidP="002C1E9A">
            <w:pPr>
              <w:spacing w:before="0" w:after="0" w:line="240" w:lineRule="auto"/>
              <w:rPr>
                <w:rFonts w:ascii="Arial" w:hAnsi="Arial" w:cs="Arial"/>
                <w:color w:val="000000"/>
                <w:szCs w:val="20"/>
              </w:rPr>
            </w:pPr>
            <w:r w:rsidRPr="002C1E9A">
              <w:rPr>
                <w:rFonts w:ascii="Arial" w:hAnsi="Arial" w:cs="Arial"/>
                <w:color w:val="000000"/>
                <w:szCs w:val="20"/>
              </w:rPr>
              <w:t xml:space="preserve">Control </w:t>
            </w:r>
          </w:p>
        </w:tc>
        <w:tc>
          <w:tcPr>
            <w:tcW w:w="510" w:type="dxa"/>
            <w:tcBorders>
              <w:top w:val="nil"/>
              <w:left w:val="nil"/>
              <w:bottom w:val="nil"/>
              <w:right w:val="nil"/>
            </w:tcBorders>
            <w:shd w:val="clear" w:color="000000" w:fill="F2F2F2"/>
            <w:noWrap/>
            <w:vAlign w:val="center"/>
            <w:hideMark/>
          </w:tcPr>
          <w:p w14:paraId="6BDE41E3" w14:textId="77777777" w:rsidR="002C1E9A" w:rsidRPr="002C1E9A" w:rsidRDefault="002C1E9A" w:rsidP="002C1E9A">
            <w:pPr>
              <w:spacing w:before="0" w:after="0" w:line="240" w:lineRule="auto"/>
              <w:jc w:val="right"/>
              <w:rPr>
                <w:rFonts w:ascii="Arial" w:hAnsi="Arial" w:cs="Arial"/>
                <w:color w:val="000000"/>
                <w:szCs w:val="20"/>
              </w:rPr>
            </w:pPr>
            <w:r w:rsidRPr="002C1E9A">
              <w:rPr>
                <w:rFonts w:ascii="Arial" w:hAnsi="Arial" w:cs="Arial"/>
                <w:color w:val="000000"/>
                <w:szCs w:val="20"/>
              </w:rPr>
              <w:t>33</w:t>
            </w:r>
          </w:p>
        </w:tc>
        <w:tc>
          <w:tcPr>
            <w:tcW w:w="1644" w:type="dxa"/>
            <w:tcBorders>
              <w:top w:val="nil"/>
              <w:left w:val="nil"/>
              <w:bottom w:val="nil"/>
              <w:right w:val="nil"/>
            </w:tcBorders>
            <w:shd w:val="clear" w:color="000000" w:fill="F2F2F2"/>
            <w:noWrap/>
            <w:vAlign w:val="center"/>
            <w:hideMark/>
          </w:tcPr>
          <w:p w14:paraId="4892A274" w14:textId="77777777" w:rsidR="002C1E9A" w:rsidRPr="002C1E9A" w:rsidRDefault="002C1E9A" w:rsidP="002C1E9A">
            <w:pPr>
              <w:spacing w:before="0" w:after="0" w:line="240" w:lineRule="auto"/>
              <w:jc w:val="right"/>
              <w:rPr>
                <w:rFonts w:ascii="Arial" w:hAnsi="Arial" w:cs="Arial"/>
                <w:color w:val="000000"/>
                <w:szCs w:val="20"/>
              </w:rPr>
            </w:pPr>
            <w:r w:rsidRPr="002C1E9A">
              <w:rPr>
                <w:rFonts w:ascii="Arial" w:hAnsi="Arial" w:cs="Arial"/>
                <w:color w:val="000000"/>
                <w:szCs w:val="20"/>
              </w:rPr>
              <w:t>32.7%</w:t>
            </w:r>
          </w:p>
        </w:tc>
        <w:tc>
          <w:tcPr>
            <w:tcW w:w="1195" w:type="dxa"/>
            <w:tcBorders>
              <w:top w:val="nil"/>
              <w:left w:val="nil"/>
              <w:bottom w:val="nil"/>
              <w:right w:val="nil"/>
            </w:tcBorders>
            <w:shd w:val="clear" w:color="000000" w:fill="F2F2F2"/>
            <w:noWrap/>
            <w:hideMark/>
          </w:tcPr>
          <w:p w14:paraId="3C6F1D79" w14:textId="77777777" w:rsidR="002C1E9A" w:rsidRPr="002C1E9A" w:rsidRDefault="002C1E9A" w:rsidP="002C1E9A">
            <w:pPr>
              <w:spacing w:before="0" w:after="0" w:line="240" w:lineRule="auto"/>
              <w:rPr>
                <w:rFonts w:ascii="Arial" w:hAnsi="Arial" w:cs="Arial"/>
                <w:color w:val="3F3F3F"/>
                <w:szCs w:val="20"/>
              </w:rPr>
            </w:pPr>
            <w:r w:rsidRPr="002C1E9A">
              <w:rPr>
                <w:rFonts w:ascii="Arial" w:hAnsi="Arial" w:cs="Arial"/>
                <w:color w:val="3F3F3F"/>
                <w:szCs w:val="20"/>
              </w:rPr>
              <w:t> </w:t>
            </w:r>
          </w:p>
        </w:tc>
        <w:tc>
          <w:tcPr>
            <w:tcW w:w="1247" w:type="dxa"/>
            <w:tcBorders>
              <w:top w:val="nil"/>
              <w:left w:val="nil"/>
              <w:bottom w:val="nil"/>
              <w:right w:val="nil"/>
            </w:tcBorders>
            <w:shd w:val="clear" w:color="000000" w:fill="F2F2F2"/>
            <w:vAlign w:val="center"/>
            <w:hideMark/>
          </w:tcPr>
          <w:p w14:paraId="0DCA82ED" w14:textId="77777777" w:rsidR="002C1E9A" w:rsidRPr="002C1E9A" w:rsidRDefault="002C1E9A" w:rsidP="002C1E9A">
            <w:pPr>
              <w:spacing w:before="0" w:after="0" w:line="240" w:lineRule="auto"/>
              <w:rPr>
                <w:rFonts w:ascii="Arial" w:hAnsi="Arial" w:cs="Arial"/>
                <w:color w:val="000000"/>
                <w:szCs w:val="20"/>
              </w:rPr>
            </w:pPr>
            <w:r w:rsidRPr="002C1E9A">
              <w:rPr>
                <w:rFonts w:ascii="Arial" w:hAnsi="Arial" w:cs="Arial"/>
                <w:color w:val="000000"/>
                <w:szCs w:val="20"/>
              </w:rPr>
              <w:t> </w:t>
            </w:r>
          </w:p>
        </w:tc>
        <w:tc>
          <w:tcPr>
            <w:tcW w:w="964" w:type="dxa"/>
            <w:tcBorders>
              <w:top w:val="nil"/>
              <w:left w:val="nil"/>
              <w:bottom w:val="nil"/>
              <w:right w:val="nil"/>
            </w:tcBorders>
            <w:shd w:val="clear" w:color="000000" w:fill="F2F2F2"/>
            <w:noWrap/>
            <w:hideMark/>
          </w:tcPr>
          <w:p w14:paraId="2D0D7B04" w14:textId="77777777" w:rsidR="002C1E9A" w:rsidRPr="002C1E9A" w:rsidRDefault="002C1E9A" w:rsidP="002C1E9A">
            <w:pPr>
              <w:spacing w:before="0" w:after="0" w:line="240" w:lineRule="auto"/>
              <w:rPr>
                <w:rFonts w:ascii="Arial" w:hAnsi="Arial" w:cs="Arial"/>
                <w:color w:val="3F3F3F"/>
                <w:szCs w:val="20"/>
              </w:rPr>
            </w:pPr>
            <w:r w:rsidRPr="002C1E9A">
              <w:rPr>
                <w:rFonts w:ascii="Arial" w:hAnsi="Arial" w:cs="Arial"/>
                <w:color w:val="3F3F3F"/>
                <w:szCs w:val="20"/>
              </w:rPr>
              <w:t> </w:t>
            </w:r>
          </w:p>
        </w:tc>
        <w:tc>
          <w:tcPr>
            <w:tcW w:w="1304" w:type="dxa"/>
            <w:tcBorders>
              <w:top w:val="nil"/>
              <w:left w:val="nil"/>
              <w:bottom w:val="nil"/>
              <w:right w:val="nil"/>
            </w:tcBorders>
            <w:shd w:val="clear" w:color="000000" w:fill="F2F2F2"/>
            <w:noWrap/>
            <w:hideMark/>
          </w:tcPr>
          <w:p w14:paraId="793515C7" w14:textId="77777777" w:rsidR="002C1E9A" w:rsidRPr="002C1E9A" w:rsidRDefault="002C1E9A" w:rsidP="002C1E9A">
            <w:pPr>
              <w:spacing w:before="0" w:after="0" w:line="240" w:lineRule="auto"/>
              <w:rPr>
                <w:rFonts w:ascii="Arial" w:hAnsi="Arial" w:cs="Arial"/>
                <w:color w:val="3F3F3F"/>
                <w:szCs w:val="20"/>
              </w:rPr>
            </w:pPr>
            <w:r w:rsidRPr="002C1E9A">
              <w:rPr>
                <w:rFonts w:ascii="Arial" w:hAnsi="Arial" w:cs="Arial"/>
                <w:color w:val="3F3F3F"/>
                <w:szCs w:val="20"/>
              </w:rPr>
              <w:t> </w:t>
            </w:r>
          </w:p>
        </w:tc>
      </w:tr>
      <w:tr w:rsidR="002C1E9A" w:rsidRPr="002C1E9A" w14:paraId="3498A492" w14:textId="77777777" w:rsidTr="002C1E9A">
        <w:trPr>
          <w:trHeight w:val="276"/>
        </w:trPr>
        <w:tc>
          <w:tcPr>
            <w:tcW w:w="1361" w:type="dxa"/>
            <w:tcBorders>
              <w:top w:val="nil"/>
              <w:left w:val="nil"/>
              <w:bottom w:val="nil"/>
              <w:right w:val="nil"/>
            </w:tcBorders>
            <w:shd w:val="clear" w:color="000000" w:fill="F2F2F2"/>
            <w:noWrap/>
            <w:vAlign w:val="center"/>
            <w:hideMark/>
          </w:tcPr>
          <w:p w14:paraId="57E3C518" w14:textId="45C1C30F" w:rsidR="002C1E9A" w:rsidRPr="002C1E9A" w:rsidRDefault="002C1E9A" w:rsidP="002C1E9A">
            <w:pPr>
              <w:spacing w:before="0" w:after="0" w:line="240" w:lineRule="auto"/>
              <w:rPr>
                <w:rFonts w:ascii="Arial" w:hAnsi="Arial" w:cs="Arial"/>
                <w:color w:val="000000"/>
                <w:szCs w:val="20"/>
              </w:rPr>
            </w:pPr>
            <w:r w:rsidRPr="002C1E9A">
              <w:rPr>
                <w:rFonts w:ascii="Arial" w:hAnsi="Arial" w:cs="Arial"/>
                <w:color w:val="000000"/>
                <w:szCs w:val="20"/>
              </w:rPr>
              <w:t xml:space="preserve">Mentoring </w:t>
            </w:r>
          </w:p>
        </w:tc>
        <w:tc>
          <w:tcPr>
            <w:tcW w:w="510" w:type="dxa"/>
            <w:tcBorders>
              <w:top w:val="nil"/>
              <w:left w:val="nil"/>
              <w:bottom w:val="nil"/>
              <w:right w:val="nil"/>
            </w:tcBorders>
            <w:shd w:val="clear" w:color="000000" w:fill="F2F2F2"/>
            <w:noWrap/>
            <w:vAlign w:val="center"/>
            <w:hideMark/>
          </w:tcPr>
          <w:p w14:paraId="580D0D13" w14:textId="77777777" w:rsidR="002C1E9A" w:rsidRPr="002C1E9A" w:rsidRDefault="002C1E9A" w:rsidP="002C1E9A">
            <w:pPr>
              <w:spacing w:before="0" w:after="0" w:line="240" w:lineRule="auto"/>
              <w:jc w:val="right"/>
              <w:rPr>
                <w:rFonts w:ascii="Arial" w:hAnsi="Arial" w:cs="Arial"/>
                <w:color w:val="000000"/>
                <w:szCs w:val="20"/>
              </w:rPr>
            </w:pPr>
            <w:r w:rsidRPr="002C1E9A">
              <w:rPr>
                <w:rFonts w:ascii="Arial" w:hAnsi="Arial" w:cs="Arial"/>
                <w:color w:val="000000"/>
                <w:szCs w:val="20"/>
              </w:rPr>
              <w:t>55</w:t>
            </w:r>
          </w:p>
        </w:tc>
        <w:tc>
          <w:tcPr>
            <w:tcW w:w="1644" w:type="dxa"/>
            <w:tcBorders>
              <w:top w:val="nil"/>
              <w:left w:val="nil"/>
              <w:bottom w:val="nil"/>
              <w:right w:val="nil"/>
            </w:tcBorders>
            <w:shd w:val="clear" w:color="000000" w:fill="F2F2F2"/>
            <w:noWrap/>
            <w:vAlign w:val="center"/>
            <w:hideMark/>
          </w:tcPr>
          <w:p w14:paraId="07BB6633" w14:textId="77777777" w:rsidR="002C1E9A" w:rsidRPr="002C1E9A" w:rsidRDefault="002C1E9A" w:rsidP="002C1E9A">
            <w:pPr>
              <w:spacing w:before="0" w:after="0" w:line="240" w:lineRule="auto"/>
              <w:jc w:val="right"/>
              <w:rPr>
                <w:rFonts w:ascii="Arial" w:hAnsi="Arial" w:cs="Arial"/>
                <w:color w:val="000000"/>
                <w:szCs w:val="20"/>
              </w:rPr>
            </w:pPr>
            <w:r w:rsidRPr="002C1E9A">
              <w:rPr>
                <w:rFonts w:ascii="Arial" w:hAnsi="Arial" w:cs="Arial"/>
                <w:color w:val="000000"/>
                <w:szCs w:val="20"/>
              </w:rPr>
              <w:t>45.6%</w:t>
            </w:r>
          </w:p>
        </w:tc>
        <w:tc>
          <w:tcPr>
            <w:tcW w:w="1195" w:type="dxa"/>
            <w:tcBorders>
              <w:top w:val="nil"/>
              <w:left w:val="nil"/>
              <w:bottom w:val="nil"/>
              <w:right w:val="nil"/>
            </w:tcBorders>
            <w:shd w:val="clear" w:color="000000" w:fill="F2F2F2"/>
            <w:noWrap/>
            <w:vAlign w:val="center"/>
            <w:hideMark/>
          </w:tcPr>
          <w:p w14:paraId="3B4C7344" w14:textId="77777777" w:rsidR="002C1E9A" w:rsidRPr="002C1E9A" w:rsidRDefault="002C1E9A" w:rsidP="002C1E9A">
            <w:pPr>
              <w:spacing w:before="0" w:after="0" w:line="240" w:lineRule="auto"/>
              <w:jc w:val="right"/>
              <w:rPr>
                <w:rFonts w:ascii="Arial" w:hAnsi="Arial" w:cs="Arial"/>
                <w:color w:val="000000"/>
                <w:szCs w:val="20"/>
              </w:rPr>
            </w:pPr>
            <w:r w:rsidRPr="002C1E9A">
              <w:rPr>
                <w:rFonts w:ascii="Arial" w:hAnsi="Arial" w:cs="Arial"/>
                <w:color w:val="000000"/>
                <w:szCs w:val="20"/>
              </w:rPr>
              <w:t>12.9%</w:t>
            </w:r>
          </w:p>
        </w:tc>
        <w:tc>
          <w:tcPr>
            <w:tcW w:w="1247" w:type="dxa"/>
            <w:tcBorders>
              <w:top w:val="nil"/>
              <w:left w:val="nil"/>
              <w:bottom w:val="nil"/>
              <w:right w:val="nil"/>
            </w:tcBorders>
            <w:shd w:val="clear" w:color="000000" w:fill="F2F2F2"/>
            <w:vAlign w:val="center"/>
            <w:hideMark/>
          </w:tcPr>
          <w:p w14:paraId="7EEECF24" w14:textId="77777777" w:rsidR="002C1E9A" w:rsidRPr="002C1E9A" w:rsidRDefault="002C1E9A" w:rsidP="002C1E9A">
            <w:pPr>
              <w:spacing w:before="0" w:after="0" w:line="240" w:lineRule="auto"/>
              <w:rPr>
                <w:rFonts w:ascii="Arial" w:hAnsi="Arial" w:cs="Arial"/>
                <w:color w:val="000000"/>
                <w:szCs w:val="20"/>
              </w:rPr>
            </w:pPr>
            <w:r w:rsidRPr="002C1E9A">
              <w:rPr>
                <w:rFonts w:ascii="Arial" w:hAnsi="Arial" w:cs="Arial"/>
                <w:color w:val="000000"/>
                <w:szCs w:val="20"/>
              </w:rPr>
              <w:t>(-4.2%, inf)</w:t>
            </w:r>
          </w:p>
        </w:tc>
        <w:tc>
          <w:tcPr>
            <w:tcW w:w="964" w:type="dxa"/>
            <w:tcBorders>
              <w:top w:val="nil"/>
              <w:left w:val="nil"/>
              <w:bottom w:val="nil"/>
              <w:right w:val="nil"/>
            </w:tcBorders>
            <w:shd w:val="clear" w:color="000000" w:fill="F2F2F2"/>
            <w:noWrap/>
            <w:vAlign w:val="center"/>
            <w:hideMark/>
          </w:tcPr>
          <w:p w14:paraId="2A8D974F" w14:textId="77777777" w:rsidR="002C1E9A" w:rsidRPr="002C1E9A" w:rsidRDefault="002C1E9A" w:rsidP="002C1E9A">
            <w:pPr>
              <w:spacing w:before="0" w:after="0" w:line="240" w:lineRule="auto"/>
              <w:jc w:val="right"/>
              <w:rPr>
                <w:rFonts w:ascii="Arial" w:hAnsi="Arial" w:cs="Arial"/>
                <w:color w:val="000000"/>
                <w:szCs w:val="20"/>
              </w:rPr>
            </w:pPr>
            <w:r w:rsidRPr="002C1E9A">
              <w:rPr>
                <w:rFonts w:ascii="Arial" w:hAnsi="Arial" w:cs="Arial"/>
                <w:color w:val="000000"/>
                <w:szCs w:val="20"/>
              </w:rPr>
              <w:t>0.106</w:t>
            </w:r>
          </w:p>
        </w:tc>
        <w:tc>
          <w:tcPr>
            <w:tcW w:w="1304" w:type="dxa"/>
            <w:tcBorders>
              <w:top w:val="nil"/>
              <w:left w:val="nil"/>
              <w:bottom w:val="nil"/>
              <w:right w:val="nil"/>
            </w:tcBorders>
            <w:shd w:val="clear" w:color="000000" w:fill="F2F2F2"/>
            <w:noWrap/>
            <w:vAlign w:val="center"/>
            <w:hideMark/>
          </w:tcPr>
          <w:p w14:paraId="14F275AA" w14:textId="77777777" w:rsidR="002C1E9A" w:rsidRPr="002C1E9A" w:rsidRDefault="002C1E9A" w:rsidP="002C1E9A">
            <w:pPr>
              <w:spacing w:before="0" w:after="0" w:line="240" w:lineRule="auto"/>
              <w:jc w:val="right"/>
              <w:rPr>
                <w:rFonts w:ascii="Arial" w:hAnsi="Arial" w:cs="Arial"/>
                <w:color w:val="000000"/>
                <w:szCs w:val="20"/>
              </w:rPr>
            </w:pPr>
            <w:r w:rsidRPr="002C1E9A">
              <w:rPr>
                <w:rFonts w:ascii="Arial" w:hAnsi="Arial" w:cs="Arial"/>
                <w:color w:val="000000"/>
                <w:szCs w:val="20"/>
              </w:rPr>
              <w:t>10.3%</w:t>
            </w:r>
          </w:p>
        </w:tc>
      </w:tr>
    </w:tbl>
    <w:p w14:paraId="624833C5" w14:textId="73110E52" w:rsidR="002C1E9A" w:rsidRPr="004A1EBF" w:rsidRDefault="002C1E9A" w:rsidP="004A1EBF">
      <w:pPr>
        <w:pStyle w:val="SourceNotesText"/>
        <w:rPr>
          <w:sz w:val="16"/>
        </w:rPr>
      </w:pPr>
      <w:r w:rsidRPr="004A1EBF">
        <w:rPr>
          <w:sz w:val="16"/>
        </w:rPr>
        <w:t xml:space="preserve">Note: Covariate-adjusted OLS </w:t>
      </w:r>
      <w:r w:rsidR="00717D72" w:rsidRPr="004A1EBF">
        <w:rPr>
          <w:sz w:val="16"/>
        </w:rPr>
        <w:t>regression</w:t>
      </w:r>
      <w:r w:rsidR="00AC704E" w:rsidRPr="004A1EBF">
        <w:rPr>
          <w:sz w:val="16"/>
        </w:rPr>
        <w:t xml:space="preserve">, </w:t>
      </w:r>
      <w:r w:rsidRPr="004A1EBF">
        <w:rPr>
          <w:sz w:val="16"/>
        </w:rPr>
        <w:t>where covariate=baseline likelihood to continue studying economics next year</w:t>
      </w:r>
      <w:r w:rsidR="003F0DE5" w:rsidRPr="004A1EBF">
        <w:rPr>
          <w:sz w:val="16"/>
        </w:rPr>
        <w:t>, one-sided test with HC2 robust standard errors</w:t>
      </w:r>
      <w:r w:rsidRPr="004A1EBF">
        <w:rPr>
          <w:sz w:val="16"/>
        </w:rPr>
        <w:t xml:space="preserve">. Thus, the value for control (32.7%) </w:t>
      </w:r>
      <w:r w:rsidR="00D93B63" w:rsidRPr="004A1EBF">
        <w:rPr>
          <w:sz w:val="16"/>
        </w:rPr>
        <w:t>represents the average re</w:t>
      </w:r>
      <w:r w:rsidR="00D93B63" w:rsidRPr="004A1EBF">
        <w:rPr>
          <w:sz w:val="16"/>
        </w:rPr>
        <w:noBreakHyphen/>
      </w:r>
      <w:r w:rsidRPr="004A1EBF">
        <w:rPr>
          <w:sz w:val="16"/>
        </w:rPr>
        <w:t xml:space="preserve">enrolment rate </w:t>
      </w:r>
      <w:r w:rsidR="00C3033C">
        <w:rPr>
          <w:sz w:val="16"/>
        </w:rPr>
        <w:t xml:space="preserve">over all values of </w:t>
      </w:r>
      <w:r w:rsidR="009433AA" w:rsidRPr="004A1EBF">
        <w:rPr>
          <w:sz w:val="16"/>
        </w:rPr>
        <w:t>the covariate and strata dummies</w:t>
      </w:r>
      <w:r w:rsidR="00C3033C">
        <w:rPr>
          <w:sz w:val="16"/>
        </w:rPr>
        <w:t xml:space="preserve"> (the ‘average marginal mean’)</w:t>
      </w:r>
      <w:r w:rsidRPr="004A1EBF">
        <w:rPr>
          <w:sz w:val="16"/>
        </w:rPr>
        <w:t>.</w:t>
      </w:r>
    </w:p>
    <w:p w14:paraId="562F2F14" w14:textId="77777777" w:rsidR="009C7AEB" w:rsidRPr="002C1E9A" w:rsidRDefault="009C7AEB" w:rsidP="00095258">
      <w:pPr>
        <w:spacing w:before="0" w:after="0" w:line="240" w:lineRule="auto"/>
        <w:rPr>
          <w:rFonts w:ascii="Helvetica" w:hAnsi="Helvetica" w:cs="Helvetica"/>
          <w:color w:val="3F3F3F"/>
          <w:sz w:val="16"/>
          <w:szCs w:val="16"/>
        </w:rPr>
      </w:pPr>
    </w:p>
    <w:p w14:paraId="6E70DFAD" w14:textId="4FB1CB7B" w:rsidR="002C1E9A" w:rsidRDefault="00BF743C" w:rsidP="00BF743C">
      <w:pPr>
        <w:pStyle w:val="FigureHeading"/>
        <w:numPr>
          <w:ilvl w:val="0"/>
          <w:numId w:val="0"/>
        </w:numPr>
        <w:ind w:left="1430" w:hanging="720"/>
      </w:pPr>
      <w:r>
        <w:t xml:space="preserve">Figure 14: </w:t>
      </w:r>
      <w:r w:rsidR="00484B88">
        <w:t>Economics enrolment</w:t>
      </w:r>
      <w:r w:rsidR="00CB54CA">
        <w:t xml:space="preserve"> </w:t>
      </w:r>
      <w:r w:rsidR="00484B88">
        <w:t xml:space="preserve">S2 2019, </w:t>
      </w:r>
      <w:r w:rsidR="00CB54CA">
        <w:t>r</w:t>
      </w:r>
      <w:r w:rsidR="00717D72">
        <w:t>obustness check – u</w:t>
      </w:r>
      <w:r w:rsidR="00484B88">
        <w:t>nadjusted</w:t>
      </w:r>
    </w:p>
    <w:tbl>
      <w:tblPr>
        <w:tblW w:w="8225" w:type="dxa"/>
        <w:tblLook w:val="04A0" w:firstRow="1" w:lastRow="0" w:firstColumn="1" w:lastColumn="0" w:noHBand="0" w:noVBand="1"/>
        <w:tblCaption w:val="Figure 14: Economics enrolment S2 2019, robustness check – unadjusted"/>
      </w:tblPr>
      <w:tblGrid>
        <w:gridCol w:w="1361"/>
        <w:gridCol w:w="510"/>
        <w:gridCol w:w="1644"/>
        <w:gridCol w:w="1195"/>
        <w:gridCol w:w="1247"/>
        <w:gridCol w:w="964"/>
        <w:gridCol w:w="1304"/>
      </w:tblGrid>
      <w:tr w:rsidR="002C1E9A" w:rsidRPr="002C1E9A" w14:paraId="3EDDF962" w14:textId="77777777" w:rsidTr="00731CEB">
        <w:trPr>
          <w:trHeight w:val="528"/>
          <w:tblHeader/>
        </w:trPr>
        <w:tc>
          <w:tcPr>
            <w:tcW w:w="1361" w:type="dxa"/>
            <w:tcBorders>
              <w:top w:val="nil"/>
              <w:left w:val="nil"/>
              <w:bottom w:val="nil"/>
              <w:right w:val="nil"/>
            </w:tcBorders>
            <w:shd w:val="clear" w:color="000000" w:fill="142E3A"/>
            <w:noWrap/>
            <w:vAlign w:val="center"/>
            <w:hideMark/>
          </w:tcPr>
          <w:p w14:paraId="057A6A93" w14:textId="77777777" w:rsidR="002C1E9A" w:rsidRPr="002C1E9A" w:rsidRDefault="002C1E9A" w:rsidP="00095258">
            <w:pPr>
              <w:keepNext/>
              <w:spacing w:before="0" w:after="0" w:line="240" w:lineRule="auto"/>
              <w:rPr>
                <w:rFonts w:ascii="Arial" w:hAnsi="Arial" w:cs="Arial"/>
                <w:b/>
                <w:bCs/>
                <w:color w:val="FFFFFF"/>
                <w:szCs w:val="20"/>
              </w:rPr>
            </w:pPr>
            <w:r w:rsidRPr="002C1E9A">
              <w:rPr>
                <w:rFonts w:ascii="Arial" w:hAnsi="Arial" w:cs="Arial"/>
                <w:b/>
                <w:bCs/>
                <w:color w:val="FFFFFF"/>
                <w:szCs w:val="20"/>
              </w:rPr>
              <w:t> Treatment</w:t>
            </w:r>
          </w:p>
        </w:tc>
        <w:tc>
          <w:tcPr>
            <w:tcW w:w="510" w:type="dxa"/>
            <w:tcBorders>
              <w:top w:val="nil"/>
              <w:left w:val="nil"/>
              <w:bottom w:val="nil"/>
              <w:right w:val="nil"/>
            </w:tcBorders>
            <w:shd w:val="clear" w:color="000000" w:fill="142E3A"/>
            <w:noWrap/>
            <w:vAlign w:val="center"/>
            <w:hideMark/>
          </w:tcPr>
          <w:p w14:paraId="445734B6" w14:textId="77777777" w:rsidR="002C1E9A" w:rsidRPr="002C1E9A" w:rsidRDefault="002C1E9A" w:rsidP="00095258">
            <w:pPr>
              <w:keepNext/>
              <w:spacing w:before="0" w:after="0" w:line="240" w:lineRule="auto"/>
              <w:jc w:val="center"/>
              <w:rPr>
                <w:rFonts w:ascii="Arial" w:hAnsi="Arial" w:cs="Arial"/>
                <w:b/>
                <w:bCs/>
                <w:color w:val="FFFFFF"/>
                <w:szCs w:val="20"/>
              </w:rPr>
            </w:pPr>
            <w:r w:rsidRPr="002C1E9A">
              <w:rPr>
                <w:rFonts w:ascii="Arial" w:hAnsi="Arial" w:cs="Arial"/>
                <w:b/>
                <w:bCs/>
                <w:color w:val="FFFFFF"/>
                <w:szCs w:val="20"/>
              </w:rPr>
              <w:t>N</w:t>
            </w:r>
          </w:p>
        </w:tc>
        <w:tc>
          <w:tcPr>
            <w:tcW w:w="1644" w:type="dxa"/>
            <w:tcBorders>
              <w:top w:val="nil"/>
              <w:left w:val="nil"/>
              <w:bottom w:val="nil"/>
              <w:right w:val="nil"/>
            </w:tcBorders>
            <w:shd w:val="clear" w:color="000000" w:fill="142E3A"/>
            <w:vAlign w:val="center"/>
            <w:hideMark/>
          </w:tcPr>
          <w:p w14:paraId="608E0381" w14:textId="77777777" w:rsidR="002C1E9A" w:rsidRPr="002C1E9A" w:rsidRDefault="002C1E9A" w:rsidP="00095258">
            <w:pPr>
              <w:keepNext/>
              <w:spacing w:before="0" w:after="0" w:line="240" w:lineRule="auto"/>
              <w:rPr>
                <w:rFonts w:ascii="Arial" w:hAnsi="Arial" w:cs="Arial"/>
                <w:b/>
                <w:bCs/>
                <w:color w:val="FFFFFF"/>
                <w:szCs w:val="20"/>
              </w:rPr>
            </w:pPr>
            <w:r w:rsidRPr="002C1E9A">
              <w:rPr>
                <w:rFonts w:ascii="Arial" w:hAnsi="Arial" w:cs="Arial"/>
                <w:b/>
                <w:bCs/>
                <w:color w:val="FFFFFF"/>
                <w:szCs w:val="20"/>
              </w:rPr>
              <w:t xml:space="preserve">Enrolled in economics </w:t>
            </w:r>
            <w:r w:rsidRPr="002C1E9A">
              <w:rPr>
                <w:rFonts w:ascii="Arial" w:hAnsi="Arial" w:cs="Arial"/>
                <w:bCs/>
                <w:color w:val="FFFFFF"/>
                <w:szCs w:val="20"/>
              </w:rPr>
              <w:t>(%)</w:t>
            </w:r>
          </w:p>
        </w:tc>
        <w:tc>
          <w:tcPr>
            <w:tcW w:w="1195" w:type="dxa"/>
            <w:tcBorders>
              <w:top w:val="nil"/>
              <w:left w:val="nil"/>
              <w:bottom w:val="nil"/>
              <w:right w:val="nil"/>
            </w:tcBorders>
            <w:shd w:val="clear" w:color="000000" w:fill="142E3A"/>
            <w:vAlign w:val="center"/>
            <w:hideMark/>
          </w:tcPr>
          <w:p w14:paraId="43296074" w14:textId="77777777" w:rsidR="002C1E9A" w:rsidRPr="002C1E9A" w:rsidRDefault="002C1E9A" w:rsidP="00095258">
            <w:pPr>
              <w:keepNext/>
              <w:spacing w:before="0" w:after="0" w:line="240" w:lineRule="auto"/>
              <w:rPr>
                <w:rFonts w:ascii="Arial" w:hAnsi="Arial" w:cs="Arial"/>
                <w:b/>
                <w:bCs/>
                <w:color w:val="FFFFFF"/>
                <w:szCs w:val="20"/>
              </w:rPr>
            </w:pPr>
            <w:r w:rsidRPr="002C1E9A">
              <w:rPr>
                <w:rFonts w:ascii="Arial" w:hAnsi="Arial" w:cs="Arial"/>
                <w:b/>
                <w:bCs/>
                <w:color w:val="FFFFFF"/>
                <w:szCs w:val="20"/>
              </w:rPr>
              <w:t xml:space="preserve">Difference </w:t>
            </w:r>
            <w:r w:rsidRPr="002C1E9A">
              <w:rPr>
                <w:rFonts w:ascii="Arial" w:hAnsi="Arial" w:cs="Arial"/>
                <w:bCs/>
                <w:color w:val="FFFFFF"/>
                <w:szCs w:val="20"/>
              </w:rPr>
              <w:t>(ppts)</w:t>
            </w:r>
          </w:p>
        </w:tc>
        <w:tc>
          <w:tcPr>
            <w:tcW w:w="1247" w:type="dxa"/>
            <w:tcBorders>
              <w:top w:val="nil"/>
              <w:left w:val="nil"/>
              <w:bottom w:val="nil"/>
              <w:right w:val="nil"/>
            </w:tcBorders>
            <w:shd w:val="clear" w:color="000000" w:fill="142E3A"/>
            <w:vAlign w:val="center"/>
            <w:hideMark/>
          </w:tcPr>
          <w:p w14:paraId="25660DE5" w14:textId="77777777" w:rsidR="002C1E9A" w:rsidRPr="002C1E9A" w:rsidRDefault="002C1E9A" w:rsidP="00095258">
            <w:pPr>
              <w:keepNext/>
              <w:spacing w:before="0" w:after="0" w:line="240" w:lineRule="auto"/>
              <w:rPr>
                <w:rFonts w:ascii="Arial" w:hAnsi="Arial" w:cs="Arial"/>
                <w:b/>
                <w:bCs/>
                <w:color w:val="FFFFFF"/>
                <w:szCs w:val="20"/>
              </w:rPr>
            </w:pPr>
            <w:r w:rsidRPr="002C1E9A">
              <w:rPr>
                <w:rFonts w:ascii="Arial" w:hAnsi="Arial" w:cs="Arial"/>
                <w:b/>
                <w:bCs/>
                <w:color w:val="FFFFFF"/>
                <w:szCs w:val="20"/>
              </w:rPr>
              <w:t xml:space="preserve">95% CI </w:t>
            </w:r>
            <w:r w:rsidRPr="002C1E9A">
              <w:rPr>
                <w:rFonts w:ascii="Arial" w:hAnsi="Arial" w:cs="Arial"/>
                <w:b/>
                <w:bCs/>
                <w:color w:val="FFFFFF"/>
                <w:szCs w:val="20"/>
              </w:rPr>
              <w:br/>
            </w:r>
            <w:r w:rsidRPr="002C1E9A">
              <w:rPr>
                <w:rFonts w:ascii="Arial" w:hAnsi="Arial" w:cs="Arial"/>
                <w:bCs/>
                <w:color w:val="FFFFFF"/>
                <w:szCs w:val="20"/>
              </w:rPr>
              <w:t>(one-sided)</w:t>
            </w:r>
          </w:p>
        </w:tc>
        <w:tc>
          <w:tcPr>
            <w:tcW w:w="964" w:type="dxa"/>
            <w:tcBorders>
              <w:top w:val="nil"/>
              <w:left w:val="nil"/>
              <w:bottom w:val="nil"/>
              <w:right w:val="nil"/>
            </w:tcBorders>
            <w:shd w:val="clear" w:color="000000" w:fill="142E3A"/>
            <w:noWrap/>
            <w:vAlign w:val="center"/>
            <w:hideMark/>
          </w:tcPr>
          <w:p w14:paraId="572FD62B" w14:textId="77777777" w:rsidR="002C1E9A" w:rsidRPr="002C1E9A" w:rsidRDefault="002C1E9A" w:rsidP="00095258">
            <w:pPr>
              <w:keepNext/>
              <w:spacing w:before="0" w:after="0" w:line="240" w:lineRule="auto"/>
              <w:rPr>
                <w:rFonts w:ascii="Arial" w:hAnsi="Arial" w:cs="Arial"/>
                <w:b/>
                <w:bCs/>
                <w:color w:val="FFFFFF"/>
                <w:szCs w:val="20"/>
              </w:rPr>
            </w:pPr>
            <w:r w:rsidRPr="002C1E9A">
              <w:rPr>
                <w:rFonts w:ascii="Arial" w:hAnsi="Arial" w:cs="Arial"/>
                <w:b/>
                <w:bCs/>
                <w:color w:val="FFFFFF"/>
                <w:szCs w:val="20"/>
              </w:rPr>
              <w:t>p-value</w:t>
            </w:r>
          </w:p>
        </w:tc>
        <w:tc>
          <w:tcPr>
            <w:tcW w:w="1304" w:type="dxa"/>
            <w:tcBorders>
              <w:top w:val="nil"/>
              <w:left w:val="nil"/>
              <w:bottom w:val="nil"/>
              <w:right w:val="nil"/>
            </w:tcBorders>
            <w:shd w:val="clear" w:color="000000" w:fill="142E3A"/>
            <w:vAlign w:val="center"/>
            <w:hideMark/>
          </w:tcPr>
          <w:p w14:paraId="61381080" w14:textId="77777777" w:rsidR="002C1E9A" w:rsidRPr="002C1E9A" w:rsidRDefault="002C1E9A" w:rsidP="00095258">
            <w:pPr>
              <w:keepNext/>
              <w:spacing w:before="0" w:after="0" w:line="240" w:lineRule="auto"/>
              <w:rPr>
                <w:rFonts w:ascii="Arial" w:hAnsi="Arial" w:cs="Arial"/>
                <w:b/>
                <w:bCs/>
                <w:color w:val="FFFFFF"/>
                <w:szCs w:val="20"/>
              </w:rPr>
            </w:pPr>
            <w:r w:rsidRPr="002C1E9A">
              <w:rPr>
                <w:rFonts w:ascii="Arial" w:hAnsi="Arial" w:cs="Arial"/>
                <w:b/>
                <w:bCs/>
                <w:color w:val="FFFFFF"/>
                <w:szCs w:val="20"/>
              </w:rPr>
              <w:t xml:space="preserve">Standard error </w:t>
            </w:r>
            <w:r w:rsidRPr="002C1E9A">
              <w:rPr>
                <w:rFonts w:ascii="Arial" w:hAnsi="Arial" w:cs="Arial"/>
                <w:bCs/>
                <w:color w:val="FFFFFF"/>
                <w:szCs w:val="20"/>
              </w:rPr>
              <w:t>(ppts)</w:t>
            </w:r>
          </w:p>
        </w:tc>
      </w:tr>
      <w:tr w:rsidR="002C1E9A" w:rsidRPr="002C1E9A" w14:paraId="4BA681DF" w14:textId="77777777" w:rsidTr="002C1E9A">
        <w:trPr>
          <w:trHeight w:val="276"/>
        </w:trPr>
        <w:tc>
          <w:tcPr>
            <w:tcW w:w="1361" w:type="dxa"/>
            <w:tcBorders>
              <w:top w:val="nil"/>
              <w:left w:val="nil"/>
              <w:bottom w:val="nil"/>
              <w:right w:val="nil"/>
            </w:tcBorders>
            <w:shd w:val="clear" w:color="000000" w:fill="F2F2F2"/>
            <w:noWrap/>
            <w:vAlign w:val="center"/>
            <w:hideMark/>
          </w:tcPr>
          <w:p w14:paraId="64B4FA3E" w14:textId="77777777" w:rsidR="002C1E9A" w:rsidRPr="002C1E9A" w:rsidRDefault="002C1E9A" w:rsidP="00095258">
            <w:pPr>
              <w:keepNext/>
              <w:spacing w:before="0" w:after="0" w:line="240" w:lineRule="auto"/>
              <w:rPr>
                <w:rFonts w:ascii="Arial" w:hAnsi="Arial" w:cs="Arial"/>
                <w:color w:val="000000"/>
                <w:szCs w:val="20"/>
              </w:rPr>
            </w:pPr>
            <w:r w:rsidRPr="002C1E9A">
              <w:rPr>
                <w:rFonts w:ascii="Arial" w:hAnsi="Arial" w:cs="Arial"/>
                <w:color w:val="000000"/>
                <w:szCs w:val="20"/>
              </w:rPr>
              <w:t xml:space="preserve">Control </w:t>
            </w:r>
          </w:p>
        </w:tc>
        <w:tc>
          <w:tcPr>
            <w:tcW w:w="510" w:type="dxa"/>
            <w:tcBorders>
              <w:top w:val="nil"/>
              <w:left w:val="nil"/>
              <w:bottom w:val="nil"/>
              <w:right w:val="nil"/>
            </w:tcBorders>
            <w:shd w:val="clear" w:color="000000" w:fill="F2F2F2"/>
            <w:noWrap/>
            <w:vAlign w:val="center"/>
            <w:hideMark/>
          </w:tcPr>
          <w:p w14:paraId="0DF10DF8" w14:textId="77777777" w:rsidR="002C1E9A" w:rsidRPr="002C1E9A" w:rsidRDefault="002C1E9A" w:rsidP="00095258">
            <w:pPr>
              <w:keepNext/>
              <w:spacing w:before="0" w:after="0" w:line="240" w:lineRule="auto"/>
              <w:jc w:val="right"/>
              <w:rPr>
                <w:rFonts w:ascii="Arial" w:hAnsi="Arial" w:cs="Arial"/>
                <w:color w:val="000000"/>
                <w:szCs w:val="20"/>
              </w:rPr>
            </w:pPr>
            <w:r w:rsidRPr="002C1E9A">
              <w:rPr>
                <w:rFonts w:ascii="Arial" w:hAnsi="Arial" w:cs="Arial"/>
                <w:color w:val="000000"/>
                <w:szCs w:val="20"/>
              </w:rPr>
              <w:t>33</w:t>
            </w:r>
          </w:p>
        </w:tc>
        <w:tc>
          <w:tcPr>
            <w:tcW w:w="1644" w:type="dxa"/>
            <w:tcBorders>
              <w:top w:val="nil"/>
              <w:left w:val="nil"/>
              <w:bottom w:val="nil"/>
              <w:right w:val="nil"/>
            </w:tcBorders>
            <w:shd w:val="clear" w:color="000000" w:fill="F2F2F2"/>
            <w:noWrap/>
            <w:vAlign w:val="center"/>
            <w:hideMark/>
          </w:tcPr>
          <w:p w14:paraId="73B196B7" w14:textId="5494CFF6" w:rsidR="002C1E9A" w:rsidRPr="002C1E9A" w:rsidRDefault="002C1E9A" w:rsidP="00095258">
            <w:pPr>
              <w:keepNext/>
              <w:spacing w:before="0" w:after="0" w:line="240" w:lineRule="auto"/>
              <w:jc w:val="right"/>
              <w:rPr>
                <w:rFonts w:ascii="Arial" w:hAnsi="Arial" w:cs="Arial"/>
                <w:color w:val="000000"/>
                <w:szCs w:val="20"/>
              </w:rPr>
            </w:pPr>
            <w:r w:rsidRPr="002C1E9A">
              <w:rPr>
                <w:rFonts w:ascii="Arial" w:hAnsi="Arial" w:cs="Arial"/>
                <w:color w:val="000000"/>
                <w:szCs w:val="20"/>
              </w:rPr>
              <w:t>3</w:t>
            </w:r>
            <w:r w:rsidR="00CB54CA">
              <w:rPr>
                <w:rFonts w:ascii="Arial" w:hAnsi="Arial" w:cs="Arial"/>
                <w:color w:val="000000"/>
                <w:szCs w:val="20"/>
              </w:rPr>
              <w:t>2</w:t>
            </w:r>
            <w:r w:rsidRPr="002C1E9A">
              <w:rPr>
                <w:rFonts w:ascii="Arial" w:hAnsi="Arial" w:cs="Arial"/>
                <w:color w:val="000000"/>
                <w:szCs w:val="20"/>
              </w:rPr>
              <w:t>.</w:t>
            </w:r>
            <w:r w:rsidR="00CB54CA">
              <w:rPr>
                <w:rFonts w:ascii="Arial" w:hAnsi="Arial" w:cs="Arial"/>
                <w:color w:val="000000"/>
                <w:szCs w:val="20"/>
              </w:rPr>
              <w:t>1</w:t>
            </w:r>
            <w:r w:rsidRPr="002C1E9A">
              <w:rPr>
                <w:rFonts w:ascii="Arial" w:hAnsi="Arial" w:cs="Arial"/>
                <w:color w:val="000000"/>
                <w:szCs w:val="20"/>
              </w:rPr>
              <w:t>%</w:t>
            </w:r>
          </w:p>
        </w:tc>
        <w:tc>
          <w:tcPr>
            <w:tcW w:w="1195" w:type="dxa"/>
            <w:tcBorders>
              <w:top w:val="nil"/>
              <w:left w:val="nil"/>
              <w:bottom w:val="nil"/>
              <w:right w:val="nil"/>
            </w:tcBorders>
            <w:shd w:val="clear" w:color="000000" w:fill="F2F2F2"/>
            <w:noWrap/>
            <w:hideMark/>
          </w:tcPr>
          <w:p w14:paraId="7EEFF073" w14:textId="4330F21D" w:rsidR="002C1E9A" w:rsidRPr="002C1E9A" w:rsidRDefault="002C1E9A" w:rsidP="00095258">
            <w:pPr>
              <w:keepNext/>
              <w:spacing w:before="0" w:after="0" w:line="240" w:lineRule="auto"/>
              <w:rPr>
                <w:rFonts w:ascii="Arial" w:hAnsi="Arial" w:cs="Arial"/>
                <w:color w:val="3F3F3F"/>
                <w:szCs w:val="20"/>
              </w:rPr>
            </w:pPr>
            <w:r w:rsidRPr="002C1E9A">
              <w:rPr>
                <w:rFonts w:ascii="Arial" w:hAnsi="Arial" w:cs="Arial"/>
                <w:color w:val="3F3F3F"/>
                <w:szCs w:val="20"/>
              </w:rPr>
              <w:t> </w:t>
            </w:r>
          </w:p>
        </w:tc>
        <w:tc>
          <w:tcPr>
            <w:tcW w:w="1247" w:type="dxa"/>
            <w:tcBorders>
              <w:top w:val="nil"/>
              <w:left w:val="nil"/>
              <w:bottom w:val="nil"/>
              <w:right w:val="nil"/>
            </w:tcBorders>
            <w:shd w:val="clear" w:color="000000" w:fill="F2F2F2"/>
            <w:vAlign w:val="center"/>
            <w:hideMark/>
          </w:tcPr>
          <w:p w14:paraId="55E86349" w14:textId="7042FC05" w:rsidR="002C1E9A" w:rsidRPr="002C1E9A" w:rsidRDefault="002C1E9A" w:rsidP="00095258">
            <w:pPr>
              <w:keepNext/>
              <w:spacing w:before="0" w:after="0" w:line="240" w:lineRule="auto"/>
              <w:rPr>
                <w:rFonts w:ascii="Arial" w:hAnsi="Arial" w:cs="Arial"/>
                <w:color w:val="000000"/>
                <w:szCs w:val="20"/>
              </w:rPr>
            </w:pPr>
            <w:r w:rsidRPr="002C1E9A">
              <w:rPr>
                <w:rFonts w:ascii="Arial" w:hAnsi="Arial" w:cs="Arial"/>
                <w:color w:val="000000"/>
                <w:szCs w:val="20"/>
              </w:rPr>
              <w:t> </w:t>
            </w:r>
          </w:p>
        </w:tc>
        <w:tc>
          <w:tcPr>
            <w:tcW w:w="964" w:type="dxa"/>
            <w:tcBorders>
              <w:top w:val="nil"/>
              <w:left w:val="nil"/>
              <w:bottom w:val="nil"/>
              <w:right w:val="nil"/>
            </w:tcBorders>
            <w:shd w:val="clear" w:color="000000" w:fill="F2F2F2"/>
            <w:noWrap/>
            <w:hideMark/>
          </w:tcPr>
          <w:p w14:paraId="4F35DCEE" w14:textId="11C0C093" w:rsidR="002C1E9A" w:rsidRPr="002C1E9A" w:rsidRDefault="002C1E9A" w:rsidP="00095258">
            <w:pPr>
              <w:keepNext/>
              <w:spacing w:before="0" w:after="0" w:line="240" w:lineRule="auto"/>
              <w:rPr>
                <w:rFonts w:ascii="Arial" w:hAnsi="Arial" w:cs="Arial"/>
                <w:color w:val="3F3F3F"/>
                <w:szCs w:val="20"/>
              </w:rPr>
            </w:pPr>
            <w:r w:rsidRPr="002C1E9A">
              <w:rPr>
                <w:rFonts w:ascii="Arial" w:hAnsi="Arial" w:cs="Arial"/>
                <w:color w:val="3F3F3F"/>
                <w:szCs w:val="20"/>
              </w:rPr>
              <w:t> </w:t>
            </w:r>
          </w:p>
        </w:tc>
        <w:tc>
          <w:tcPr>
            <w:tcW w:w="1304" w:type="dxa"/>
            <w:tcBorders>
              <w:top w:val="nil"/>
              <w:left w:val="nil"/>
              <w:bottom w:val="nil"/>
              <w:right w:val="nil"/>
            </w:tcBorders>
            <w:shd w:val="clear" w:color="000000" w:fill="F2F2F2"/>
            <w:noWrap/>
            <w:hideMark/>
          </w:tcPr>
          <w:p w14:paraId="60698880" w14:textId="1EE8DF9B" w:rsidR="002C1E9A" w:rsidRPr="002C1E9A" w:rsidRDefault="002C1E9A" w:rsidP="00095258">
            <w:pPr>
              <w:keepNext/>
              <w:spacing w:before="0" w:after="0" w:line="240" w:lineRule="auto"/>
              <w:rPr>
                <w:rFonts w:ascii="Arial" w:hAnsi="Arial" w:cs="Arial"/>
                <w:color w:val="3F3F3F"/>
                <w:szCs w:val="20"/>
              </w:rPr>
            </w:pPr>
            <w:r w:rsidRPr="002C1E9A">
              <w:rPr>
                <w:rFonts w:ascii="Arial" w:hAnsi="Arial" w:cs="Arial"/>
                <w:color w:val="3F3F3F"/>
                <w:szCs w:val="20"/>
              </w:rPr>
              <w:t> </w:t>
            </w:r>
          </w:p>
        </w:tc>
      </w:tr>
      <w:tr w:rsidR="002C1E9A" w:rsidRPr="002C1E9A" w14:paraId="59EB8E91" w14:textId="77777777" w:rsidTr="002C1E9A">
        <w:trPr>
          <w:trHeight w:val="276"/>
        </w:trPr>
        <w:tc>
          <w:tcPr>
            <w:tcW w:w="1361" w:type="dxa"/>
            <w:tcBorders>
              <w:top w:val="nil"/>
              <w:left w:val="nil"/>
              <w:bottom w:val="nil"/>
              <w:right w:val="nil"/>
            </w:tcBorders>
            <w:shd w:val="clear" w:color="000000" w:fill="F2F2F2"/>
            <w:noWrap/>
            <w:vAlign w:val="center"/>
            <w:hideMark/>
          </w:tcPr>
          <w:p w14:paraId="4DD12D04" w14:textId="77777777" w:rsidR="002C1E9A" w:rsidRPr="002C1E9A" w:rsidRDefault="002C1E9A" w:rsidP="00095258">
            <w:pPr>
              <w:keepNext/>
              <w:spacing w:before="0" w:after="0" w:line="240" w:lineRule="auto"/>
              <w:rPr>
                <w:rFonts w:ascii="Arial" w:hAnsi="Arial" w:cs="Arial"/>
                <w:color w:val="000000"/>
                <w:szCs w:val="20"/>
              </w:rPr>
            </w:pPr>
            <w:r w:rsidRPr="002C1E9A">
              <w:rPr>
                <w:rFonts w:ascii="Arial" w:hAnsi="Arial" w:cs="Arial"/>
                <w:color w:val="000000"/>
                <w:szCs w:val="20"/>
              </w:rPr>
              <w:t xml:space="preserve">Mentoring </w:t>
            </w:r>
          </w:p>
        </w:tc>
        <w:tc>
          <w:tcPr>
            <w:tcW w:w="510" w:type="dxa"/>
            <w:tcBorders>
              <w:top w:val="nil"/>
              <w:left w:val="nil"/>
              <w:bottom w:val="nil"/>
              <w:right w:val="nil"/>
            </w:tcBorders>
            <w:shd w:val="clear" w:color="000000" w:fill="F2F2F2"/>
            <w:noWrap/>
            <w:vAlign w:val="center"/>
            <w:hideMark/>
          </w:tcPr>
          <w:p w14:paraId="6CB8C698" w14:textId="77777777" w:rsidR="002C1E9A" w:rsidRPr="002C1E9A" w:rsidRDefault="002C1E9A" w:rsidP="00095258">
            <w:pPr>
              <w:keepNext/>
              <w:spacing w:before="0" w:after="0" w:line="240" w:lineRule="auto"/>
              <w:jc w:val="right"/>
              <w:rPr>
                <w:rFonts w:ascii="Arial" w:hAnsi="Arial" w:cs="Arial"/>
                <w:color w:val="000000"/>
                <w:szCs w:val="20"/>
              </w:rPr>
            </w:pPr>
            <w:r w:rsidRPr="002C1E9A">
              <w:rPr>
                <w:rFonts w:ascii="Arial" w:hAnsi="Arial" w:cs="Arial"/>
                <w:color w:val="000000"/>
                <w:szCs w:val="20"/>
              </w:rPr>
              <w:t>55</w:t>
            </w:r>
          </w:p>
        </w:tc>
        <w:tc>
          <w:tcPr>
            <w:tcW w:w="1644" w:type="dxa"/>
            <w:tcBorders>
              <w:top w:val="nil"/>
              <w:left w:val="nil"/>
              <w:bottom w:val="nil"/>
              <w:right w:val="nil"/>
            </w:tcBorders>
            <w:shd w:val="clear" w:color="000000" w:fill="F2F2F2"/>
            <w:noWrap/>
            <w:vAlign w:val="center"/>
            <w:hideMark/>
          </w:tcPr>
          <w:p w14:paraId="07A7B4C0" w14:textId="1BE2CA5C" w:rsidR="002C1E9A" w:rsidRPr="002C1E9A" w:rsidRDefault="00CB54CA" w:rsidP="00095258">
            <w:pPr>
              <w:keepNext/>
              <w:spacing w:before="0" w:after="0" w:line="240" w:lineRule="auto"/>
              <w:jc w:val="right"/>
              <w:rPr>
                <w:rFonts w:ascii="Arial" w:hAnsi="Arial" w:cs="Arial"/>
                <w:color w:val="000000"/>
                <w:szCs w:val="20"/>
              </w:rPr>
            </w:pPr>
            <w:r>
              <w:rPr>
                <w:rFonts w:ascii="Arial" w:hAnsi="Arial" w:cs="Arial"/>
                <w:color w:val="000000"/>
                <w:szCs w:val="20"/>
              </w:rPr>
              <w:t>45.3</w:t>
            </w:r>
            <w:r w:rsidR="002C1E9A" w:rsidRPr="002C1E9A">
              <w:rPr>
                <w:rFonts w:ascii="Arial" w:hAnsi="Arial" w:cs="Arial"/>
                <w:color w:val="000000"/>
                <w:szCs w:val="20"/>
              </w:rPr>
              <w:t>%</w:t>
            </w:r>
          </w:p>
        </w:tc>
        <w:tc>
          <w:tcPr>
            <w:tcW w:w="1195" w:type="dxa"/>
            <w:tcBorders>
              <w:top w:val="nil"/>
              <w:left w:val="nil"/>
              <w:bottom w:val="nil"/>
              <w:right w:val="nil"/>
            </w:tcBorders>
            <w:shd w:val="clear" w:color="000000" w:fill="F2F2F2"/>
            <w:noWrap/>
            <w:vAlign w:val="center"/>
            <w:hideMark/>
          </w:tcPr>
          <w:p w14:paraId="47CDE338" w14:textId="3863ECF2" w:rsidR="002C1E9A" w:rsidRPr="002C1E9A" w:rsidRDefault="002C1E9A" w:rsidP="00095258">
            <w:pPr>
              <w:keepNext/>
              <w:spacing w:before="0" w:after="0" w:line="240" w:lineRule="auto"/>
              <w:jc w:val="right"/>
              <w:rPr>
                <w:rFonts w:ascii="Arial" w:hAnsi="Arial" w:cs="Arial"/>
                <w:color w:val="000000"/>
                <w:szCs w:val="20"/>
              </w:rPr>
            </w:pPr>
            <w:r w:rsidRPr="002C1E9A">
              <w:rPr>
                <w:rFonts w:ascii="Arial" w:hAnsi="Arial" w:cs="Arial"/>
                <w:color w:val="000000"/>
                <w:szCs w:val="20"/>
              </w:rPr>
              <w:t>1</w:t>
            </w:r>
            <w:r w:rsidR="00CB54CA">
              <w:rPr>
                <w:rFonts w:ascii="Arial" w:hAnsi="Arial" w:cs="Arial"/>
                <w:color w:val="000000"/>
                <w:szCs w:val="20"/>
              </w:rPr>
              <w:t>3</w:t>
            </w:r>
            <w:r w:rsidRPr="002C1E9A">
              <w:rPr>
                <w:rFonts w:ascii="Arial" w:hAnsi="Arial" w:cs="Arial"/>
                <w:color w:val="000000"/>
                <w:szCs w:val="20"/>
              </w:rPr>
              <w:t>.</w:t>
            </w:r>
            <w:r w:rsidR="00CB54CA">
              <w:rPr>
                <w:rFonts w:ascii="Arial" w:hAnsi="Arial" w:cs="Arial"/>
                <w:color w:val="000000"/>
                <w:szCs w:val="20"/>
              </w:rPr>
              <w:t>3</w:t>
            </w:r>
            <w:r w:rsidRPr="002C1E9A">
              <w:rPr>
                <w:rFonts w:ascii="Arial" w:hAnsi="Arial" w:cs="Arial"/>
                <w:color w:val="000000"/>
                <w:szCs w:val="20"/>
              </w:rPr>
              <w:t>%</w:t>
            </w:r>
          </w:p>
        </w:tc>
        <w:tc>
          <w:tcPr>
            <w:tcW w:w="1247" w:type="dxa"/>
            <w:tcBorders>
              <w:top w:val="nil"/>
              <w:left w:val="nil"/>
              <w:bottom w:val="nil"/>
              <w:right w:val="nil"/>
            </w:tcBorders>
            <w:shd w:val="clear" w:color="000000" w:fill="F2F2F2"/>
            <w:vAlign w:val="center"/>
            <w:hideMark/>
          </w:tcPr>
          <w:p w14:paraId="4092C165" w14:textId="097D3233" w:rsidR="002C1E9A" w:rsidRPr="002C1E9A" w:rsidRDefault="00AC704E" w:rsidP="00095258">
            <w:pPr>
              <w:keepNext/>
              <w:spacing w:before="0" w:after="0" w:line="240" w:lineRule="auto"/>
              <w:rPr>
                <w:rFonts w:ascii="Arial" w:hAnsi="Arial" w:cs="Arial"/>
                <w:color w:val="000000"/>
                <w:szCs w:val="20"/>
              </w:rPr>
            </w:pPr>
            <w:r>
              <w:rPr>
                <w:rFonts w:ascii="Arial" w:hAnsi="Arial" w:cs="Arial"/>
                <w:color w:val="000000"/>
                <w:szCs w:val="20"/>
              </w:rPr>
              <w:t>(</w:t>
            </w:r>
            <w:r w:rsidR="00D805B4">
              <w:rPr>
                <w:rFonts w:ascii="Arial" w:hAnsi="Arial" w:cs="Arial"/>
                <w:color w:val="000000"/>
                <w:szCs w:val="20"/>
              </w:rPr>
              <w:t>-</w:t>
            </w:r>
            <w:r w:rsidR="00CB54CA">
              <w:rPr>
                <w:rFonts w:ascii="Arial" w:hAnsi="Arial" w:cs="Arial"/>
                <w:color w:val="000000"/>
                <w:szCs w:val="20"/>
              </w:rPr>
              <w:t>3</w:t>
            </w:r>
            <w:r w:rsidR="00D805B4">
              <w:rPr>
                <w:rFonts w:ascii="Arial" w:hAnsi="Arial" w:cs="Arial"/>
                <w:color w:val="000000"/>
                <w:szCs w:val="20"/>
              </w:rPr>
              <w:t>.</w:t>
            </w:r>
            <w:r w:rsidR="00CB54CA">
              <w:rPr>
                <w:rFonts w:ascii="Arial" w:hAnsi="Arial" w:cs="Arial"/>
                <w:color w:val="000000"/>
                <w:szCs w:val="20"/>
              </w:rPr>
              <w:t>1</w:t>
            </w:r>
            <w:r w:rsidR="00D805B4">
              <w:rPr>
                <w:rFonts w:ascii="Arial" w:hAnsi="Arial" w:cs="Arial"/>
                <w:color w:val="000000"/>
                <w:szCs w:val="20"/>
              </w:rPr>
              <w:t>%</w:t>
            </w:r>
            <w:r>
              <w:rPr>
                <w:rFonts w:ascii="Arial" w:hAnsi="Arial" w:cs="Arial"/>
                <w:color w:val="000000"/>
                <w:szCs w:val="20"/>
              </w:rPr>
              <w:t>, inf)</w:t>
            </w:r>
          </w:p>
        </w:tc>
        <w:tc>
          <w:tcPr>
            <w:tcW w:w="964" w:type="dxa"/>
            <w:tcBorders>
              <w:top w:val="nil"/>
              <w:left w:val="nil"/>
              <w:bottom w:val="nil"/>
              <w:right w:val="nil"/>
            </w:tcBorders>
            <w:shd w:val="clear" w:color="000000" w:fill="F2F2F2"/>
            <w:noWrap/>
            <w:vAlign w:val="center"/>
            <w:hideMark/>
          </w:tcPr>
          <w:p w14:paraId="591228AA" w14:textId="3FE03297" w:rsidR="002C1E9A" w:rsidRPr="002C1E9A" w:rsidRDefault="002C1E9A" w:rsidP="00095258">
            <w:pPr>
              <w:keepNext/>
              <w:spacing w:before="0" w:after="0" w:line="240" w:lineRule="auto"/>
              <w:jc w:val="right"/>
              <w:rPr>
                <w:rFonts w:ascii="Arial" w:hAnsi="Arial" w:cs="Arial"/>
                <w:color w:val="000000"/>
                <w:szCs w:val="20"/>
              </w:rPr>
            </w:pPr>
            <w:r w:rsidRPr="002C1E9A">
              <w:rPr>
                <w:rFonts w:ascii="Arial" w:hAnsi="Arial" w:cs="Arial"/>
                <w:color w:val="000000"/>
                <w:szCs w:val="20"/>
              </w:rPr>
              <w:t>0.</w:t>
            </w:r>
            <w:r w:rsidR="00CB54CA">
              <w:rPr>
                <w:rFonts w:ascii="Arial" w:hAnsi="Arial" w:cs="Arial"/>
                <w:color w:val="000000"/>
                <w:szCs w:val="20"/>
              </w:rPr>
              <w:t>091</w:t>
            </w:r>
          </w:p>
        </w:tc>
        <w:tc>
          <w:tcPr>
            <w:tcW w:w="1304" w:type="dxa"/>
            <w:tcBorders>
              <w:top w:val="nil"/>
              <w:left w:val="nil"/>
              <w:bottom w:val="nil"/>
              <w:right w:val="nil"/>
            </w:tcBorders>
            <w:shd w:val="clear" w:color="000000" w:fill="F2F2F2"/>
            <w:noWrap/>
            <w:vAlign w:val="center"/>
            <w:hideMark/>
          </w:tcPr>
          <w:p w14:paraId="28AEEDF5" w14:textId="45A855D7" w:rsidR="002C1E9A" w:rsidRPr="002C1E9A" w:rsidRDefault="00CB54CA" w:rsidP="00095258">
            <w:pPr>
              <w:keepNext/>
              <w:spacing w:before="0" w:after="0" w:line="240" w:lineRule="auto"/>
              <w:jc w:val="right"/>
              <w:rPr>
                <w:rFonts w:ascii="Arial" w:hAnsi="Arial" w:cs="Arial"/>
                <w:color w:val="000000"/>
                <w:szCs w:val="20"/>
              </w:rPr>
            </w:pPr>
            <w:r>
              <w:rPr>
                <w:rFonts w:ascii="Arial" w:hAnsi="Arial" w:cs="Arial"/>
                <w:color w:val="000000"/>
                <w:szCs w:val="20"/>
              </w:rPr>
              <w:t>9.8</w:t>
            </w:r>
            <w:r w:rsidR="002C1E9A" w:rsidRPr="002C1E9A">
              <w:rPr>
                <w:rFonts w:ascii="Arial" w:hAnsi="Arial" w:cs="Arial"/>
                <w:color w:val="000000"/>
                <w:szCs w:val="20"/>
              </w:rPr>
              <w:t>%</w:t>
            </w:r>
          </w:p>
        </w:tc>
      </w:tr>
    </w:tbl>
    <w:p w14:paraId="5D2D9E72" w14:textId="711D1D17" w:rsidR="002C1E9A" w:rsidRPr="004A1EBF" w:rsidRDefault="002C1E9A" w:rsidP="004A1EBF">
      <w:pPr>
        <w:pStyle w:val="SourceNotesText"/>
        <w:rPr>
          <w:sz w:val="16"/>
        </w:rPr>
      </w:pPr>
      <w:r w:rsidRPr="004A1EBF">
        <w:rPr>
          <w:sz w:val="16"/>
        </w:rPr>
        <w:t xml:space="preserve">Note: OLS </w:t>
      </w:r>
      <w:r w:rsidR="00717D72" w:rsidRPr="004A1EBF">
        <w:rPr>
          <w:sz w:val="16"/>
        </w:rPr>
        <w:t xml:space="preserve">regression </w:t>
      </w:r>
      <w:r w:rsidRPr="004A1EBF">
        <w:rPr>
          <w:sz w:val="16"/>
        </w:rPr>
        <w:t>without covariate adjustment</w:t>
      </w:r>
      <w:r w:rsidR="00CB54CA" w:rsidRPr="004A1EBF">
        <w:rPr>
          <w:sz w:val="16"/>
        </w:rPr>
        <w:t xml:space="preserve"> (but </w:t>
      </w:r>
      <w:r w:rsidR="00CB54CA" w:rsidRPr="004A1EBF">
        <w:rPr>
          <w:sz w:val="16"/>
          <w:u w:val="single"/>
        </w:rPr>
        <w:t>with</w:t>
      </w:r>
      <w:r w:rsidR="00CB54CA" w:rsidRPr="004A1EBF">
        <w:rPr>
          <w:sz w:val="16"/>
        </w:rPr>
        <w:t xml:space="preserve"> strata dummies)</w:t>
      </w:r>
      <w:r w:rsidR="00AC704E" w:rsidRPr="004A1EBF">
        <w:rPr>
          <w:sz w:val="16"/>
        </w:rPr>
        <w:t xml:space="preserve">, </w:t>
      </w:r>
      <w:r w:rsidR="003F0DE5" w:rsidRPr="004A1EBF">
        <w:rPr>
          <w:sz w:val="16"/>
        </w:rPr>
        <w:t>one-sided test with HC2 robust standard errors</w:t>
      </w:r>
      <w:r w:rsidRPr="004A1EBF">
        <w:rPr>
          <w:sz w:val="16"/>
        </w:rPr>
        <w:t xml:space="preserve">. </w:t>
      </w:r>
      <w:r w:rsidR="00CB54CA" w:rsidRPr="004A1EBF">
        <w:rPr>
          <w:sz w:val="16"/>
        </w:rPr>
        <w:t xml:space="preserve">Exclusion of strata dummies reduces the </w:t>
      </w:r>
      <w:r w:rsidR="009433AA" w:rsidRPr="004A1EBF">
        <w:rPr>
          <w:sz w:val="16"/>
        </w:rPr>
        <w:t>d</w:t>
      </w:r>
      <w:r w:rsidR="00CB54CA" w:rsidRPr="004A1EBF">
        <w:rPr>
          <w:sz w:val="16"/>
        </w:rPr>
        <w:t xml:space="preserve">ifference </w:t>
      </w:r>
      <w:r w:rsidR="009433AA" w:rsidRPr="004A1EBF">
        <w:rPr>
          <w:sz w:val="16"/>
        </w:rPr>
        <w:t xml:space="preserve">(average marginal effect) </w:t>
      </w:r>
      <w:r w:rsidR="00CB54CA" w:rsidRPr="004A1EBF">
        <w:rPr>
          <w:sz w:val="16"/>
        </w:rPr>
        <w:t>to 12.1% and increases the p-value to 0.131.</w:t>
      </w:r>
    </w:p>
    <w:p w14:paraId="30010A3A" w14:textId="767DB5BB" w:rsidR="00717D72" w:rsidRDefault="00BF743C" w:rsidP="00BF743C">
      <w:pPr>
        <w:pStyle w:val="FigureHeading"/>
        <w:numPr>
          <w:ilvl w:val="0"/>
          <w:numId w:val="0"/>
        </w:numPr>
        <w:ind w:left="1430" w:hanging="720"/>
      </w:pPr>
      <w:r>
        <w:t xml:space="preserve">Figure 15: </w:t>
      </w:r>
      <w:r w:rsidR="00CB54CA">
        <w:t>Economics enrolment</w:t>
      </w:r>
      <w:r w:rsidR="00484B88">
        <w:t xml:space="preserve"> S2 2019</w:t>
      </w:r>
      <w:r w:rsidR="00CB54CA">
        <w:t xml:space="preserve"> r</w:t>
      </w:r>
      <w:r w:rsidR="00717D72">
        <w:t>obustness check – logit</w:t>
      </w:r>
    </w:p>
    <w:tbl>
      <w:tblPr>
        <w:tblW w:w="6978" w:type="dxa"/>
        <w:tblLook w:val="04A0" w:firstRow="1" w:lastRow="0" w:firstColumn="1" w:lastColumn="0" w:noHBand="0" w:noVBand="1"/>
        <w:tblCaption w:val="Figure 15: Economics enrolment S2 2019 robustness check – logit"/>
      </w:tblPr>
      <w:tblGrid>
        <w:gridCol w:w="1361"/>
        <w:gridCol w:w="510"/>
        <w:gridCol w:w="1644"/>
        <w:gridCol w:w="1195"/>
        <w:gridCol w:w="964"/>
        <w:gridCol w:w="1304"/>
      </w:tblGrid>
      <w:tr w:rsidR="00D93B63" w:rsidRPr="002C1E9A" w14:paraId="6CD193D4" w14:textId="77777777" w:rsidTr="00731CEB">
        <w:trPr>
          <w:trHeight w:val="528"/>
          <w:tblHeader/>
        </w:trPr>
        <w:tc>
          <w:tcPr>
            <w:tcW w:w="1361" w:type="dxa"/>
            <w:tcBorders>
              <w:top w:val="nil"/>
              <w:left w:val="nil"/>
              <w:bottom w:val="nil"/>
              <w:right w:val="nil"/>
            </w:tcBorders>
            <w:shd w:val="clear" w:color="000000" w:fill="142E3A"/>
            <w:noWrap/>
            <w:vAlign w:val="center"/>
            <w:hideMark/>
          </w:tcPr>
          <w:p w14:paraId="32F21562" w14:textId="77777777" w:rsidR="00D93B63" w:rsidRPr="002C1E9A" w:rsidRDefault="00D93B63" w:rsidP="00B85FF5">
            <w:pPr>
              <w:keepNext/>
              <w:spacing w:before="0" w:after="0" w:line="240" w:lineRule="auto"/>
              <w:rPr>
                <w:rFonts w:ascii="Arial" w:hAnsi="Arial" w:cs="Arial"/>
                <w:b/>
                <w:bCs/>
                <w:color w:val="FFFFFF"/>
                <w:szCs w:val="20"/>
              </w:rPr>
            </w:pPr>
            <w:r w:rsidRPr="002C1E9A">
              <w:rPr>
                <w:rFonts w:ascii="Arial" w:hAnsi="Arial" w:cs="Arial"/>
                <w:b/>
                <w:bCs/>
                <w:color w:val="FFFFFF"/>
                <w:szCs w:val="20"/>
              </w:rPr>
              <w:t> Treatment</w:t>
            </w:r>
          </w:p>
        </w:tc>
        <w:tc>
          <w:tcPr>
            <w:tcW w:w="510" w:type="dxa"/>
            <w:tcBorders>
              <w:top w:val="nil"/>
              <w:left w:val="nil"/>
              <w:bottom w:val="nil"/>
              <w:right w:val="nil"/>
            </w:tcBorders>
            <w:shd w:val="clear" w:color="000000" w:fill="142E3A"/>
            <w:noWrap/>
            <w:vAlign w:val="center"/>
            <w:hideMark/>
          </w:tcPr>
          <w:p w14:paraId="0C2B20EE" w14:textId="77777777" w:rsidR="00D93B63" w:rsidRPr="002C1E9A" w:rsidRDefault="00D93B63" w:rsidP="00B85FF5">
            <w:pPr>
              <w:keepNext/>
              <w:spacing w:before="0" w:after="0" w:line="240" w:lineRule="auto"/>
              <w:jc w:val="center"/>
              <w:rPr>
                <w:rFonts w:ascii="Arial" w:hAnsi="Arial" w:cs="Arial"/>
                <w:b/>
                <w:bCs/>
                <w:color w:val="FFFFFF"/>
                <w:szCs w:val="20"/>
              </w:rPr>
            </w:pPr>
            <w:r w:rsidRPr="002C1E9A">
              <w:rPr>
                <w:rFonts w:ascii="Arial" w:hAnsi="Arial" w:cs="Arial"/>
                <w:b/>
                <w:bCs/>
                <w:color w:val="FFFFFF"/>
                <w:szCs w:val="20"/>
              </w:rPr>
              <w:t>N</w:t>
            </w:r>
          </w:p>
        </w:tc>
        <w:tc>
          <w:tcPr>
            <w:tcW w:w="1644" w:type="dxa"/>
            <w:tcBorders>
              <w:top w:val="nil"/>
              <w:left w:val="nil"/>
              <w:bottom w:val="nil"/>
              <w:right w:val="nil"/>
            </w:tcBorders>
            <w:shd w:val="clear" w:color="000000" w:fill="142E3A"/>
            <w:vAlign w:val="center"/>
            <w:hideMark/>
          </w:tcPr>
          <w:p w14:paraId="6D9AF325" w14:textId="77777777" w:rsidR="00D93B63" w:rsidRPr="002C1E9A" w:rsidRDefault="00D93B63" w:rsidP="00B85FF5">
            <w:pPr>
              <w:keepNext/>
              <w:spacing w:before="0" w:after="0" w:line="240" w:lineRule="auto"/>
              <w:rPr>
                <w:rFonts w:ascii="Arial" w:hAnsi="Arial" w:cs="Arial"/>
                <w:b/>
                <w:bCs/>
                <w:color w:val="FFFFFF"/>
                <w:szCs w:val="20"/>
              </w:rPr>
            </w:pPr>
            <w:r w:rsidRPr="002C1E9A">
              <w:rPr>
                <w:rFonts w:ascii="Arial" w:hAnsi="Arial" w:cs="Arial"/>
                <w:b/>
                <w:bCs/>
                <w:color w:val="FFFFFF"/>
                <w:szCs w:val="20"/>
              </w:rPr>
              <w:t xml:space="preserve">Enrolled in economics </w:t>
            </w:r>
            <w:r w:rsidRPr="002C1E9A">
              <w:rPr>
                <w:rFonts w:ascii="Arial" w:hAnsi="Arial" w:cs="Arial"/>
                <w:bCs/>
                <w:color w:val="FFFFFF"/>
                <w:szCs w:val="20"/>
              </w:rPr>
              <w:t>(%)</w:t>
            </w:r>
          </w:p>
        </w:tc>
        <w:tc>
          <w:tcPr>
            <w:tcW w:w="1195" w:type="dxa"/>
            <w:tcBorders>
              <w:top w:val="nil"/>
              <w:left w:val="nil"/>
              <w:bottom w:val="nil"/>
              <w:right w:val="nil"/>
            </w:tcBorders>
            <w:shd w:val="clear" w:color="000000" w:fill="142E3A"/>
            <w:vAlign w:val="center"/>
            <w:hideMark/>
          </w:tcPr>
          <w:p w14:paraId="6C6EC47B" w14:textId="77777777" w:rsidR="00D93B63" w:rsidRPr="002C1E9A" w:rsidRDefault="00D93B63" w:rsidP="00B85FF5">
            <w:pPr>
              <w:keepNext/>
              <w:spacing w:before="0" w:after="0" w:line="240" w:lineRule="auto"/>
              <w:rPr>
                <w:rFonts w:ascii="Arial" w:hAnsi="Arial" w:cs="Arial"/>
                <w:b/>
                <w:bCs/>
                <w:color w:val="FFFFFF"/>
                <w:szCs w:val="20"/>
              </w:rPr>
            </w:pPr>
            <w:r w:rsidRPr="002C1E9A">
              <w:rPr>
                <w:rFonts w:ascii="Arial" w:hAnsi="Arial" w:cs="Arial"/>
                <w:b/>
                <w:bCs/>
                <w:color w:val="FFFFFF"/>
                <w:szCs w:val="20"/>
              </w:rPr>
              <w:t xml:space="preserve">Difference </w:t>
            </w:r>
            <w:r w:rsidRPr="002C1E9A">
              <w:rPr>
                <w:rFonts w:ascii="Arial" w:hAnsi="Arial" w:cs="Arial"/>
                <w:bCs/>
                <w:color w:val="FFFFFF"/>
                <w:szCs w:val="20"/>
              </w:rPr>
              <w:t>(ppts)</w:t>
            </w:r>
          </w:p>
        </w:tc>
        <w:tc>
          <w:tcPr>
            <w:tcW w:w="964" w:type="dxa"/>
            <w:tcBorders>
              <w:top w:val="nil"/>
              <w:left w:val="nil"/>
              <w:bottom w:val="nil"/>
              <w:right w:val="nil"/>
            </w:tcBorders>
            <w:shd w:val="clear" w:color="000000" w:fill="142E3A"/>
            <w:noWrap/>
            <w:vAlign w:val="center"/>
            <w:hideMark/>
          </w:tcPr>
          <w:p w14:paraId="428053E8" w14:textId="77777777" w:rsidR="00D93B63" w:rsidRPr="002C1E9A" w:rsidRDefault="00D93B63" w:rsidP="00B85FF5">
            <w:pPr>
              <w:keepNext/>
              <w:spacing w:before="0" w:after="0" w:line="240" w:lineRule="auto"/>
              <w:rPr>
                <w:rFonts w:ascii="Arial" w:hAnsi="Arial" w:cs="Arial"/>
                <w:b/>
                <w:bCs/>
                <w:color w:val="FFFFFF"/>
                <w:szCs w:val="20"/>
              </w:rPr>
            </w:pPr>
            <w:r w:rsidRPr="002C1E9A">
              <w:rPr>
                <w:rFonts w:ascii="Arial" w:hAnsi="Arial" w:cs="Arial"/>
                <w:b/>
                <w:bCs/>
                <w:color w:val="FFFFFF"/>
                <w:szCs w:val="20"/>
              </w:rPr>
              <w:t>p-value</w:t>
            </w:r>
          </w:p>
        </w:tc>
        <w:tc>
          <w:tcPr>
            <w:tcW w:w="1304" w:type="dxa"/>
            <w:tcBorders>
              <w:top w:val="nil"/>
              <w:left w:val="nil"/>
              <w:bottom w:val="nil"/>
              <w:right w:val="nil"/>
            </w:tcBorders>
            <w:shd w:val="clear" w:color="000000" w:fill="142E3A"/>
            <w:vAlign w:val="center"/>
            <w:hideMark/>
          </w:tcPr>
          <w:p w14:paraId="501FBE3A" w14:textId="77777777" w:rsidR="00D93B63" w:rsidRPr="002C1E9A" w:rsidRDefault="00D93B63" w:rsidP="00B85FF5">
            <w:pPr>
              <w:keepNext/>
              <w:spacing w:before="0" w:after="0" w:line="240" w:lineRule="auto"/>
              <w:rPr>
                <w:rFonts w:ascii="Arial" w:hAnsi="Arial" w:cs="Arial"/>
                <w:b/>
                <w:bCs/>
                <w:color w:val="FFFFFF"/>
                <w:szCs w:val="20"/>
              </w:rPr>
            </w:pPr>
            <w:r w:rsidRPr="002C1E9A">
              <w:rPr>
                <w:rFonts w:ascii="Arial" w:hAnsi="Arial" w:cs="Arial"/>
                <w:b/>
                <w:bCs/>
                <w:color w:val="FFFFFF"/>
                <w:szCs w:val="20"/>
              </w:rPr>
              <w:t xml:space="preserve">Standard error </w:t>
            </w:r>
            <w:r w:rsidRPr="002C1E9A">
              <w:rPr>
                <w:rFonts w:ascii="Arial" w:hAnsi="Arial" w:cs="Arial"/>
                <w:bCs/>
                <w:color w:val="FFFFFF"/>
                <w:szCs w:val="20"/>
              </w:rPr>
              <w:t>(ppts)</w:t>
            </w:r>
          </w:p>
        </w:tc>
      </w:tr>
      <w:tr w:rsidR="00D93B63" w:rsidRPr="002C1E9A" w14:paraId="7958413A" w14:textId="77777777" w:rsidTr="00731CEB">
        <w:trPr>
          <w:trHeight w:val="276"/>
          <w:tblHeader/>
        </w:trPr>
        <w:tc>
          <w:tcPr>
            <w:tcW w:w="1361" w:type="dxa"/>
            <w:tcBorders>
              <w:top w:val="nil"/>
              <w:left w:val="nil"/>
              <w:bottom w:val="nil"/>
              <w:right w:val="nil"/>
            </w:tcBorders>
            <w:shd w:val="clear" w:color="000000" w:fill="F2F2F2"/>
            <w:noWrap/>
            <w:vAlign w:val="center"/>
            <w:hideMark/>
          </w:tcPr>
          <w:p w14:paraId="3F212746" w14:textId="77777777" w:rsidR="00D93B63" w:rsidRPr="002C1E9A" w:rsidRDefault="00D93B63" w:rsidP="00B85FF5">
            <w:pPr>
              <w:keepNext/>
              <w:spacing w:before="0" w:after="0" w:line="240" w:lineRule="auto"/>
              <w:rPr>
                <w:rFonts w:ascii="Arial" w:hAnsi="Arial" w:cs="Arial"/>
                <w:color w:val="000000"/>
                <w:szCs w:val="20"/>
              </w:rPr>
            </w:pPr>
            <w:r w:rsidRPr="002C1E9A">
              <w:rPr>
                <w:rFonts w:ascii="Arial" w:hAnsi="Arial" w:cs="Arial"/>
                <w:color w:val="000000"/>
                <w:szCs w:val="20"/>
              </w:rPr>
              <w:t xml:space="preserve">Control </w:t>
            </w:r>
          </w:p>
        </w:tc>
        <w:tc>
          <w:tcPr>
            <w:tcW w:w="510" w:type="dxa"/>
            <w:tcBorders>
              <w:top w:val="nil"/>
              <w:left w:val="nil"/>
              <w:bottom w:val="nil"/>
              <w:right w:val="nil"/>
            </w:tcBorders>
            <w:shd w:val="clear" w:color="000000" w:fill="F2F2F2"/>
            <w:noWrap/>
            <w:vAlign w:val="center"/>
            <w:hideMark/>
          </w:tcPr>
          <w:p w14:paraId="75EC7AA0" w14:textId="77777777" w:rsidR="00D93B63" w:rsidRPr="002C1E9A" w:rsidRDefault="00D93B63" w:rsidP="00B85FF5">
            <w:pPr>
              <w:keepNext/>
              <w:spacing w:before="0" w:after="0" w:line="240" w:lineRule="auto"/>
              <w:jc w:val="right"/>
              <w:rPr>
                <w:rFonts w:ascii="Arial" w:hAnsi="Arial" w:cs="Arial"/>
                <w:color w:val="000000"/>
                <w:szCs w:val="20"/>
              </w:rPr>
            </w:pPr>
            <w:r w:rsidRPr="002C1E9A">
              <w:rPr>
                <w:rFonts w:ascii="Arial" w:hAnsi="Arial" w:cs="Arial"/>
                <w:color w:val="000000"/>
                <w:szCs w:val="20"/>
              </w:rPr>
              <w:t>33</w:t>
            </w:r>
          </w:p>
        </w:tc>
        <w:tc>
          <w:tcPr>
            <w:tcW w:w="1644" w:type="dxa"/>
            <w:tcBorders>
              <w:top w:val="nil"/>
              <w:left w:val="nil"/>
              <w:bottom w:val="nil"/>
              <w:right w:val="nil"/>
            </w:tcBorders>
            <w:shd w:val="clear" w:color="000000" w:fill="F2F2F2"/>
            <w:noWrap/>
            <w:vAlign w:val="center"/>
          </w:tcPr>
          <w:p w14:paraId="0C292FEF" w14:textId="6ADA1556" w:rsidR="00D93B63" w:rsidRPr="002C1E9A" w:rsidRDefault="00D93B63" w:rsidP="00D93B63">
            <w:pPr>
              <w:keepNext/>
              <w:spacing w:before="0" w:after="0" w:line="240" w:lineRule="auto"/>
              <w:jc w:val="right"/>
              <w:rPr>
                <w:rFonts w:ascii="Arial" w:hAnsi="Arial" w:cs="Arial"/>
                <w:color w:val="000000"/>
                <w:szCs w:val="20"/>
              </w:rPr>
            </w:pPr>
            <w:r>
              <w:rPr>
                <w:rFonts w:ascii="Arial" w:hAnsi="Arial" w:cs="Arial"/>
                <w:color w:val="000000"/>
                <w:szCs w:val="20"/>
              </w:rPr>
              <w:t>33.3%</w:t>
            </w:r>
          </w:p>
        </w:tc>
        <w:tc>
          <w:tcPr>
            <w:tcW w:w="1195" w:type="dxa"/>
            <w:tcBorders>
              <w:top w:val="nil"/>
              <w:left w:val="nil"/>
              <w:bottom w:val="nil"/>
              <w:right w:val="nil"/>
            </w:tcBorders>
            <w:shd w:val="clear" w:color="000000" w:fill="F2F2F2"/>
            <w:noWrap/>
          </w:tcPr>
          <w:p w14:paraId="23209534" w14:textId="5FAB8611" w:rsidR="00D93B63" w:rsidRPr="002C1E9A" w:rsidRDefault="00D93B63" w:rsidP="00B85FF5">
            <w:pPr>
              <w:keepNext/>
              <w:spacing w:before="0" w:after="0" w:line="240" w:lineRule="auto"/>
              <w:rPr>
                <w:rFonts w:ascii="Arial" w:hAnsi="Arial" w:cs="Arial"/>
                <w:color w:val="3F3F3F"/>
                <w:szCs w:val="20"/>
              </w:rPr>
            </w:pPr>
          </w:p>
        </w:tc>
        <w:tc>
          <w:tcPr>
            <w:tcW w:w="964" w:type="dxa"/>
            <w:tcBorders>
              <w:top w:val="nil"/>
              <w:left w:val="nil"/>
              <w:bottom w:val="nil"/>
              <w:right w:val="nil"/>
            </w:tcBorders>
            <w:shd w:val="clear" w:color="000000" w:fill="F2F2F2"/>
            <w:noWrap/>
          </w:tcPr>
          <w:p w14:paraId="4DDE9C64" w14:textId="38149D8C" w:rsidR="00D93B63" w:rsidRPr="002C1E9A" w:rsidRDefault="00D93B63" w:rsidP="00B85FF5">
            <w:pPr>
              <w:keepNext/>
              <w:spacing w:before="0" w:after="0" w:line="240" w:lineRule="auto"/>
              <w:rPr>
                <w:rFonts w:ascii="Arial" w:hAnsi="Arial" w:cs="Arial"/>
                <w:color w:val="3F3F3F"/>
                <w:szCs w:val="20"/>
              </w:rPr>
            </w:pPr>
          </w:p>
        </w:tc>
        <w:tc>
          <w:tcPr>
            <w:tcW w:w="1304" w:type="dxa"/>
            <w:tcBorders>
              <w:top w:val="nil"/>
              <w:left w:val="nil"/>
              <w:bottom w:val="nil"/>
              <w:right w:val="nil"/>
            </w:tcBorders>
            <w:shd w:val="clear" w:color="000000" w:fill="F2F2F2"/>
            <w:noWrap/>
          </w:tcPr>
          <w:p w14:paraId="7022926D" w14:textId="40FCAA0D" w:rsidR="00D93B63" w:rsidRPr="002C1E9A" w:rsidRDefault="00D93B63" w:rsidP="00B85FF5">
            <w:pPr>
              <w:keepNext/>
              <w:spacing w:before="0" w:after="0" w:line="240" w:lineRule="auto"/>
              <w:rPr>
                <w:rFonts w:ascii="Arial" w:hAnsi="Arial" w:cs="Arial"/>
                <w:color w:val="3F3F3F"/>
                <w:szCs w:val="20"/>
              </w:rPr>
            </w:pPr>
          </w:p>
        </w:tc>
      </w:tr>
      <w:tr w:rsidR="00D93B63" w:rsidRPr="002C1E9A" w14:paraId="661B7C1D" w14:textId="77777777" w:rsidTr="00731CEB">
        <w:trPr>
          <w:trHeight w:val="276"/>
          <w:tblHeader/>
        </w:trPr>
        <w:tc>
          <w:tcPr>
            <w:tcW w:w="1361" w:type="dxa"/>
            <w:tcBorders>
              <w:top w:val="nil"/>
              <w:left w:val="nil"/>
              <w:bottom w:val="nil"/>
              <w:right w:val="nil"/>
            </w:tcBorders>
            <w:shd w:val="clear" w:color="000000" w:fill="F2F2F2"/>
            <w:noWrap/>
            <w:vAlign w:val="center"/>
            <w:hideMark/>
          </w:tcPr>
          <w:p w14:paraId="49CB41FC" w14:textId="77777777" w:rsidR="00D93B63" w:rsidRPr="002C1E9A" w:rsidRDefault="00D93B63" w:rsidP="00B85FF5">
            <w:pPr>
              <w:keepNext/>
              <w:spacing w:before="0" w:after="0" w:line="240" w:lineRule="auto"/>
              <w:rPr>
                <w:rFonts w:ascii="Arial" w:hAnsi="Arial" w:cs="Arial"/>
                <w:color w:val="000000"/>
                <w:szCs w:val="20"/>
              </w:rPr>
            </w:pPr>
            <w:r w:rsidRPr="002C1E9A">
              <w:rPr>
                <w:rFonts w:ascii="Arial" w:hAnsi="Arial" w:cs="Arial"/>
                <w:color w:val="000000"/>
                <w:szCs w:val="20"/>
              </w:rPr>
              <w:t xml:space="preserve">Mentoring </w:t>
            </w:r>
          </w:p>
        </w:tc>
        <w:tc>
          <w:tcPr>
            <w:tcW w:w="510" w:type="dxa"/>
            <w:tcBorders>
              <w:top w:val="nil"/>
              <w:left w:val="nil"/>
              <w:bottom w:val="nil"/>
              <w:right w:val="nil"/>
            </w:tcBorders>
            <w:shd w:val="clear" w:color="000000" w:fill="F2F2F2"/>
            <w:noWrap/>
            <w:vAlign w:val="center"/>
            <w:hideMark/>
          </w:tcPr>
          <w:p w14:paraId="15AF3A64" w14:textId="77777777" w:rsidR="00D93B63" w:rsidRPr="002C1E9A" w:rsidRDefault="00D93B63" w:rsidP="00B85FF5">
            <w:pPr>
              <w:keepNext/>
              <w:spacing w:before="0" w:after="0" w:line="240" w:lineRule="auto"/>
              <w:jc w:val="right"/>
              <w:rPr>
                <w:rFonts w:ascii="Arial" w:hAnsi="Arial" w:cs="Arial"/>
                <w:color w:val="000000"/>
                <w:szCs w:val="20"/>
              </w:rPr>
            </w:pPr>
            <w:r w:rsidRPr="002C1E9A">
              <w:rPr>
                <w:rFonts w:ascii="Arial" w:hAnsi="Arial" w:cs="Arial"/>
                <w:color w:val="000000"/>
                <w:szCs w:val="20"/>
              </w:rPr>
              <w:t>55</w:t>
            </w:r>
          </w:p>
        </w:tc>
        <w:tc>
          <w:tcPr>
            <w:tcW w:w="1644" w:type="dxa"/>
            <w:tcBorders>
              <w:top w:val="nil"/>
              <w:left w:val="nil"/>
              <w:bottom w:val="nil"/>
              <w:right w:val="nil"/>
            </w:tcBorders>
            <w:shd w:val="clear" w:color="000000" w:fill="F2F2F2"/>
            <w:noWrap/>
            <w:vAlign w:val="center"/>
          </w:tcPr>
          <w:p w14:paraId="7E5FB9A2" w14:textId="3FFE4F2C" w:rsidR="00D93B63" w:rsidRPr="002C1E9A" w:rsidRDefault="00D93B63" w:rsidP="00B85FF5">
            <w:pPr>
              <w:keepNext/>
              <w:spacing w:before="0" w:after="0" w:line="240" w:lineRule="auto"/>
              <w:jc w:val="right"/>
              <w:rPr>
                <w:rFonts w:ascii="Arial" w:hAnsi="Arial" w:cs="Arial"/>
                <w:color w:val="000000"/>
                <w:szCs w:val="20"/>
              </w:rPr>
            </w:pPr>
            <w:r>
              <w:rPr>
                <w:rFonts w:ascii="Arial" w:hAnsi="Arial" w:cs="Arial"/>
                <w:color w:val="000000"/>
                <w:szCs w:val="20"/>
              </w:rPr>
              <w:t>45.5%</w:t>
            </w:r>
          </w:p>
        </w:tc>
        <w:tc>
          <w:tcPr>
            <w:tcW w:w="1195" w:type="dxa"/>
            <w:tcBorders>
              <w:top w:val="nil"/>
              <w:left w:val="nil"/>
              <w:bottom w:val="nil"/>
              <w:right w:val="nil"/>
            </w:tcBorders>
            <w:shd w:val="clear" w:color="000000" w:fill="F2F2F2"/>
            <w:noWrap/>
            <w:vAlign w:val="center"/>
          </w:tcPr>
          <w:p w14:paraId="39617B9B" w14:textId="5C7B8E9B" w:rsidR="00D93B63" w:rsidRPr="002C1E9A" w:rsidRDefault="00D93B63" w:rsidP="00D93B63">
            <w:pPr>
              <w:keepNext/>
              <w:spacing w:before="0" w:after="0" w:line="240" w:lineRule="auto"/>
              <w:jc w:val="right"/>
              <w:rPr>
                <w:rFonts w:ascii="Arial" w:hAnsi="Arial" w:cs="Arial"/>
                <w:color w:val="000000"/>
                <w:szCs w:val="20"/>
              </w:rPr>
            </w:pPr>
            <w:r>
              <w:rPr>
                <w:rFonts w:ascii="Arial" w:hAnsi="Arial" w:cs="Arial"/>
                <w:color w:val="000000"/>
                <w:szCs w:val="20"/>
              </w:rPr>
              <w:t>12.1%</w:t>
            </w:r>
          </w:p>
        </w:tc>
        <w:tc>
          <w:tcPr>
            <w:tcW w:w="964" w:type="dxa"/>
            <w:tcBorders>
              <w:top w:val="nil"/>
              <w:left w:val="nil"/>
              <w:bottom w:val="nil"/>
              <w:right w:val="nil"/>
            </w:tcBorders>
            <w:shd w:val="clear" w:color="000000" w:fill="F2F2F2"/>
            <w:noWrap/>
            <w:vAlign w:val="center"/>
          </w:tcPr>
          <w:p w14:paraId="1AC3AE65" w14:textId="73C98CB0" w:rsidR="00D93B63" w:rsidRPr="002C1E9A" w:rsidRDefault="00D93B63" w:rsidP="00D93B63">
            <w:pPr>
              <w:keepNext/>
              <w:spacing w:before="0" w:after="0" w:line="240" w:lineRule="auto"/>
              <w:jc w:val="right"/>
              <w:rPr>
                <w:rFonts w:ascii="Arial" w:hAnsi="Arial" w:cs="Arial"/>
                <w:color w:val="000000"/>
                <w:szCs w:val="20"/>
              </w:rPr>
            </w:pPr>
            <w:r>
              <w:rPr>
                <w:rFonts w:ascii="Arial" w:hAnsi="Arial" w:cs="Arial"/>
                <w:color w:val="000000"/>
                <w:szCs w:val="20"/>
              </w:rPr>
              <w:t>0.126</w:t>
            </w:r>
          </w:p>
        </w:tc>
        <w:tc>
          <w:tcPr>
            <w:tcW w:w="1304" w:type="dxa"/>
            <w:tcBorders>
              <w:top w:val="nil"/>
              <w:left w:val="nil"/>
              <w:bottom w:val="nil"/>
              <w:right w:val="nil"/>
            </w:tcBorders>
            <w:shd w:val="clear" w:color="000000" w:fill="F2F2F2"/>
            <w:noWrap/>
            <w:vAlign w:val="center"/>
          </w:tcPr>
          <w:p w14:paraId="6006208C" w14:textId="085BD5D6" w:rsidR="00D93B63" w:rsidRPr="002C1E9A" w:rsidRDefault="00D93B63" w:rsidP="00D93B63">
            <w:pPr>
              <w:keepNext/>
              <w:spacing w:before="0" w:after="0" w:line="240" w:lineRule="auto"/>
              <w:jc w:val="right"/>
              <w:rPr>
                <w:rFonts w:ascii="Arial" w:hAnsi="Arial" w:cs="Arial"/>
                <w:color w:val="000000"/>
                <w:szCs w:val="20"/>
              </w:rPr>
            </w:pPr>
            <w:r>
              <w:rPr>
                <w:rFonts w:ascii="Arial" w:hAnsi="Arial" w:cs="Arial"/>
                <w:color w:val="000000"/>
                <w:szCs w:val="20"/>
              </w:rPr>
              <w:t>10.6%</w:t>
            </w:r>
          </w:p>
        </w:tc>
      </w:tr>
    </w:tbl>
    <w:p w14:paraId="47755BE5" w14:textId="613A10FE" w:rsidR="00717D72" w:rsidRPr="004A1EBF" w:rsidRDefault="00717D72" w:rsidP="004A1EBF">
      <w:pPr>
        <w:pStyle w:val="SourceNotesText"/>
        <w:rPr>
          <w:sz w:val="16"/>
        </w:rPr>
      </w:pPr>
      <w:r w:rsidRPr="004A1EBF">
        <w:rPr>
          <w:sz w:val="16"/>
        </w:rPr>
        <w:t xml:space="preserve">Note: </w:t>
      </w:r>
      <w:r w:rsidR="00D93B63" w:rsidRPr="004A1EBF">
        <w:rPr>
          <w:sz w:val="16"/>
        </w:rPr>
        <w:t>Un</w:t>
      </w:r>
      <w:r w:rsidRPr="004A1EBF">
        <w:rPr>
          <w:sz w:val="16"/>
        </w:rPr>
        <w:t xml:space="preserve">adjusted logistic regression, </w:t>
      </w:r>
      <w:r w:rsidR="003F0DE5" w:rsidRPr="004A1EBF">
        <w:rPr>
          <w:sz w:val="16"/>
        </w:rPr>
        <w:t>one-sided test</w:t>
      </w:r>
      <w:r w:rsidR="00CB54CA" w:rsidRPr="004A1EBF">
        <w:rPr>
          <w:sz w:val="16"/>
        </w:rPr>
        <w:t>.</w:t>
      </w:r>
      <w:r w:rsidR="00D93B63" w:rsidRPr="004A1EBF">
        <w:rPr>
          <w:sz w:val="16"/>
        </w:rPr>
        <w:t xml:space="preserve"> The value for control (33.3%) represents the average re</w:t>
      </w:r>
      <w:r w:rsidR="00D93B63" w:rsidRPr="004A1EBF">
        <w:rPr>
          <w:sz w:val="16"/>
        </w:rPr>
        <w:noBreakHyphen/>
        <w:t xml:space="preserve">enrolment rate for a student in the control group. </w:t>
      </w:r>
      <w:r w:rsidR="002E7672">
        <w:rPr>
          <w:sz w:val="16"/>
        </w:rPr>
        <w:t xml:space="preserve">The equivalent OLS regression gave the same estimates of the ‘Difference’ and a very similar p-value (0.131). </w:t>
      </w:r>
      <w:r w:rsidR="00D93B63" w:rsidRPr="004A1EBF">
        <w:rPr>
          <w:sz w:val="16"/>
        </w:rPr>
        <w:t>We attempted logistic regression for the primary analysis with covariate adjustment and interaction with treatment however this model does not converge. We also conducted further logistic regressions where we included the strata dummies and/or the covariate but without interacting with treatment. These produced very similar average marginal effects and p</w:t>
      </w:r>
      <w:r w:rsidR="00D93B63" w:rsidRPr="004A1EBF">
        <w:rPr>
          <w:sz w:val="16"/>
        </w:rPr>
        <w:noBreakHyphen/>
        <w:t>values to the equivalent OLS regression</w:t>
      </w:r>
      <w:r w:rsidR="007C70B7" w:rsidRPr="004A1EBF">
        <w:rPr>
          <w:sz w:val="16"/>
        </w:rPr>
        <w:t>.</w:t>
      </w:r>
      <w:r w:rsidR="00D93B63" w:rsidRPr="004A1EBF">
        <w:rPr>
          <w:sz w:val="16"/>
        </w:rPr>
        <w:t xml:space="preserve">  </w:t>
      </w:r>
    </w:p>
    <w:p w14:paraId="082F891D" w14:textId="64784F0E" w:rsidR="009C7AEB" w:rsidRDefault="00BF743C" w:rsidP="00BF743C">
      <w:pPr>
        <w:pStyle w:val="FigureHeading"/>
        <w:numPr>
          <w:ilvl w:val="0"/>
          <w:numId w:val="0"/>
        </w:numPr>
        <w:ind w:left="1430" w:hanging="720"/>
      </w:pPr>
      <w:r>
        <w:t xml:space="preserve">Figure 16: </w:t>
      </w:r>
      <w:r w:rsidR="009C7AEB">
        <w:t>Economics enrolment or degree completion S1 2020</w:t>
      </w:r>
    </w:p>
    <w:tbl>
      <w:tblPr>
        <w:tblW w:w="6777" w:type="dxa"/>
        <w:tblLook w:val="04A0" w:firstRow="1" w:lastRow="0" w:firstColumn="1" w:lastColumn="0" w:noHBand="0" w:noVBand="1"/>
        <w:tblCaption w:val="Figure 16: Economics enrolment or degree completion S1 2020"/>
      </w:tblPr>
      <w:tblGrid>
        <w:gridCol w:w="3458"/>
        <w:gridCol w:w="1183"/>
        <w:gridCol w:w="1183"/>
        <w:gridCol w:w="953"/>
      </w:tblGrid>
      <w:tr w:rsidR="009C7AEB" w:rsidRPr="00B85FF5" w14:paraId="27167401" w14:textId="77777777" w:rsidTr="00731CEB">
        <w:trPr>
          <w:trHeight w:val="288"/>
          <w:tblHeader/>
        </w:trPr>
        <w:tc>
          <w:tcPr>
            <w:tcW w:w="3458" w:type="dxa"/>
            <w:tcBorders>
              <w:top w:val="nil"/>
              <w:left w:val="nil"/>
              <w:bottom w:val="nil"/>
              <w:right w:val="nil"/>
            </w:tcBorders>
            <w:shd w:val="clear" w:color="000000" w:fill="142E3A"/>
          </w:tcPr>
          <w:p w14:paraId="22ABC8D9" w14:textId="77777777" w:rsidR="009C7AEB" w:rsidRPr="00B85FF5" w:rsidRDefault="009C7AEB" w:rsidP="004A1EBF">
            <w:pPr>
              <w:keepNext/>
              <w:spacing w:before="0" w:after="0" w:line="240" w:lineRule="auto"/>
              <w:rPr>
                <w:rFonts w:ascii="Arial" w:hAnsi="Arial" w:cs="Arial"/>
                <w:b/>
                <w:bCs/>
                <w:color w:val="FFFFFF"/>
                <w:szCs w:val="20"/>
              </w:rPr>
            </w:pPr>
          </w:p>
        </w:tc>
        <w:tc>
          <w:tcPr>
            <w:tcW w:w="1183" w:type="dxa"/>
            <w:tcBorders>
              <w:top w:val="nil"/>
              <w:left w:val="nil"/>
              <w:bottom w:val="nil"/>
              <w:right w:val="nil"/>
            </w:tcBorders>
            <w:shd w:val="clear" w:color="000000" w:fill="142E3A"/>
            <w:vAlign w:val="center"/>
            <w:hideMark/>
          </w:tcPr>
          <w:p w14:paraId="3344DFDC" w14:textId="77777777" w:rsidR="009C7AEB" w:rsidRPr="00B85FF5" w:rsidRDefault="009C7AEB" w:rsidP="004A1EBF">
            <w:pPr>
              <w:keepNext/>
              <w:spacing w:before="0" w:after="0" w:line="240" w:lineRule="auto"/>
              <w:jc w:val="right"/>
              <w:rPr>
                <w:rFonts w:ascii="Arial" w:hAnsi="Arial" w:cs="Arial"/>
                <w:b/>
                <w:bCs/>
                <w:color w:val="FFFFFF"/>
                <w:szCs w:val="20"/>
              </w:rPr>
            </w:pPr>
            <w:r>
              <w:rPr>
                <w:rFonts w:ascii="Arial" w:hAnsi="Arial" w:cs="Arial"/>
                <w:b/>
                <w:bCs/>
                <w:color w:val="FFFFFF"/>
                <w:szCs w:val="20"/>
              </w:rPr>
              <w:t xml:space="preserve">Control </w:t>
            </w:r>
          </w:p>
        </w:tc>
        <w:tc>
          <w:tcPr>
            <w:tcW w:w="1183" w:type="dxa"/>
            <w:tcBorders>
              <w:top w:val="nil"/>
              <w:left w:val="nil"/>
              <w:bottom w:val="nil"/>
              <w:right w:val="nil"/>
            </w:tcBorders>
            <w:shd w:val="clear" w:color="000000" w:fill="142E3A"/>
            <w:vAlign w:val="center"/>
            <w:hideMark/>
          </w:tcPr>
          <w:p w14:paraId="744CC925" w14:textId="22714F14" w:rsidR="009C7AEB" w:rsidRPr="00B85FF5" w:rsidRDefault="009C7AEB" w:rsidP="004A1EBF">
            <w:pPr>
              <w:keepNext/>
              <w:spacing w:before="0" w:after="0" w:line="240" w:lineRule="auto"/>
              <w:jc w:val="right"/>
              <w:rPr>
                <w:rFonts w:ascii="Arial" w:hAnsi="Arial" w:cs="Arial"/>
                <w:b/>
                <w:bCs/>
                <w:color w:val="FFFFFF"/>
                <w:szCs w:val="20"/>
              </w:rPr>
            </w:pPr>
            <w:r>
              <w:rPr>
                <w:rFonts w:ascii="Arial" w:hAnsi="Arial" w:cs="Arial"/>
                <w:b/>
                <w:bCs/>
                <w:color w:val="FFFFFF"/>
                <w:szCs w:val="20"/>
              </w:rPr>
              <w:t>Mentoring</w:t>
            </w:r>
          </w:p>
        </w:tc>
        <w:tc>
          <w:tcPr>
            <w:tcW w:w="953" w:type="dxa"/>
            <w:tcBorders>
              <w:top w:val="nil"/>
              <w:left w:val="nil"/>
              <w:bottom w:val="nil"/>
              <w:right w:val="nil"/>
            </w:tcBorders>
            <w:shd w:val="clear" w:color="000000" w:fill="142E3A"/>
            <w:vAlign w:val="center"/>
            <w:hideMark/>
          </w:tcPr>
          <w:p w14:paraId="40CD828F" w14:textId="77777777" w:rsidR="009C7AEB" w:rsidRPr="00B85FF5" w:rsidRDefault="009C7AEB" w:rsidP="004A1EBF">
            <w:pPr>
              <w:keepNext/>
              <w:spacing w:before="0" w:after="0" w:line="240" w:lineRule="auto"/>
              <w:jc w:val="right"/>
              <w:rPr>
                <w:rFonts w:ascii="Arial" w:hAnsi="Arial" w:cs="Arial"/>
                <w:b/>
                <w:bCs/>
                <w:color w:val="FFFFFF"/>
                <w:szCs w:val="20"/>
              </w:rPr>
            </w:pPr>
            <w:r>
              <w:rPr>
                <w:rFonts w:ascii="Arial" w:hAnsi="Arial" w:cs="Arial"/>
                <w:b/>
                <w:bCs/>
                <w:color w:val="FFFFFF"/>
                <w:szCs w:val="20"/>
              </w:rPr>
              <w:t>All</w:t>
            </w:r>
          </w:p>
        </w:tc>
      </w:tr>
      <w:tr w:rsidR="009C7AEB" w:rsidRPr="00B85FF5" w14:paraId="0C4E5E3B" w14:textId="77777777" w:rsidTr="004A1EBF">
        <w:trPr>
          <w:trHeight w:val="288"/>
        </w:trPr>
        <w:tc>
          <w:tcPr>
            <w:tcW w:w="3458" w:type="dxa"/>
            <w:tcBorders>
              <w:top w:val="nil"/>
              <w:left w:val="nil"/>
              <w:bottom w:val="nil"/>
              <w:right w:val="nil"/>
            </w:tcBorders>
            <w:shd w:val="clear" w:color="000000" w:fill="F2F2F2"/>
            <w:vAlign w:val="center"/>
          </w:tcPr>
          <w:p w14:paraId="236D0BDA" w14:textId="361EFF98" w:rsidR="009C7AEB" w:rsidRPr="00B85FF5" w:rsidRDefault="009C7AEB" w:rsidP="004A1EBF">
            <w:pPr>
              <w:keepNext/>
              <w:spacing w:before="0" w:after="0" w:line="240" w:lineRule="auto"/>
              <w:rPr>
                <w:rFonts w:ascii="Arial" w:hAnsi="Arial" w:cs="Arial"/>
                <w:color w:val="000000"/>
                <w:szCs w:val="20"/>
              </w:rPr>
            </w:pPr>
            <w:r>
              <w:rPr>
                <w:rFonts w:ascii="Arial" w:hAnsi="Arial" w:cs="Arial"/>
                <w:color w:val="000000"/>
                <w:szCs w:val="20"/>
              </w:rPr>
              <w:t>Comple</w:t>
            </w:r>
            <w:r w:rsidR="00804477">
              <w:rPr>
                <w:rFonts w:ascii="Arial" w:hAnsi="Arial" w:cs="Arial"/>
                <w:color w:val="000000"/>
                <w:szCs w:val="20"/>
              </w:rPr>
              <w:t>te</w:t>
            </w:r>
            <w:r>
              <w:rPr>
                <w:rFonts w:ascii="Arial" w:hAnsi="Arial" w:cs="Arial"/>
                <w:color w:val="000000"/>
                <w:szCs w:val="20"/>
              </w:rPr>
              <w:t>d an economics degree</w:t>
            </w:r>
          </w:p>
        </w:tc>
        <w:tc>
          <w:tcPr>
            <w:tcW w:w="1183" w:type="dxa"/>
            <w:tcBorders>
              <w:top w:val="nil"/>
              <w:left w:val="nil"/>
              <w:bottom w:val="nil"/>
              <w:right w:val="nil"/>
            </w:tcBorders>
            <w:shd w:val="clear" w:color="000000" w:fill="F2F2F2"/>
            <w:noWrap/>
            <w:vAlign w:val="center"/>
          </w:tcPr>
          <w:p w14:paraId="296C7A98" w14:textId="77777777" w:rsidR="009C7AEB" w:rsidRPr="00B85FF5" w:rsidRDefault="009C7AEB" w:rsidP="004A1EBF">
            <w:pPr>
              <w:keepNext/>
              <w:spacing w:before="0" w:after="0" w:line="240" w:lineRule="auto"/>
              <w:jc w:val="right"/>
              <w:rPr>
                <w:rFonts w:ascii="Arial" w:hAnsi="Arial" w:cs="Arial"/>
                <w:color w:val="000000"/>
                <w:szCs w:val="20"/>
              </w:rPr>
            </w:pPr>
            <w:r>
              <w:rPr>
                <w:rFonts w:ascii="Arial" w:hAnsi="Arial" w:cs="Arial"/>
                <w:color w:val="000000"/>
                <w:szCs w:val="20"/>
              </w:rPr>
              <w:t>1</w:t>
            </w:r>
          </w:p>
        </w:tc>
        <w:tc>
          <w:tcPr>
            <w:tcW w:w="1183" w:type="dxa"/>
            <w:tcBorders>
              <w:top w:val="nil"/>
              <w:left w:val="nil"/>
              <w:bottom w:val="nil"/>
              <w:right w:val="nil"/>
            </w:tcBorders>
            <w:shd w:val="clear" w:color="000000" w:fill="F2F2F2"/>
            <w:noWrap/>
            <w:vAlign w:val="center"/>
          </w:tcPr>
          <w:p w14:paraId="41A7EF3D" w14:textId="77777777" w:rsidR="009C7AEB" w:rsidRPr="00B85FF5" w:rsidRDefault="009C7AEB" w:rsidP="004A1EBF">
            <w:pPr>
              <w:keepNext/>
              <w:spacing w:before="0" w:after="0" w:line="240" w:lineRule="auto"/>
              <w:jc w:val="right"/>
              <w:rPr>
                <w:rFonts w:ascii="Arial" w:hAnsi="Arial" w:cs="Arial"/>
                <w:color w:val="000000"/>
                <w:szCs w:val="20"/>
              </w:rPr>
            </w:pPr>
            <w:r>
              <w:rPr>
                <w:rFonts w:ascii="Arial" w:hAnsi="Arial" w:cs="Arial"/>
                <w:color w:val="000000"/>
                <w:szCs w:val="20"/>
              </w:rPr>
              <w:t>9</w:t>
            </w:r>
          </w:p>
        </w:tc>
        <w:tc>
          <w:tcPr>
            <w:tcW w:w="953" w:type="dxa"/>
            <w:tcBorders>
              <w:top w:val="nil"/>
              <w:left w:val="nil"/>
              <w:bottom w:val="nil"/>
              <w:right w:val="nil"/>
            </w:tcBorders>
            <w:shd w:val="clear" w:color="000000" w:fill="F2F2F2"/>
            <w:noWrap/>
            <w:vAlign w:val="center"/>
          </w:tcPr>
          <w:p w14:paraId="6291BEB7" w14:textId="77777777" w:rsidR="009C7AEB" w:rsidRPr="00B85FF5" w:rsidRDefault="009C7AEB" w:rsidP="004A1EBF">
            <w:pPr>
              <w:keepNext/>
              <w:spacing w:before="0" w:after="0" w:line="240" w:lineRule="auto"/>
              <w:jc w:val="right"/>
              <w:rPr>
                <w:rFonts w:ascii="Arial" w:hAnsi="Arial" w:cs="Arial"/>
                <w:color w:val="000000"/>
                <w:szCs w:val="20"/>
              </w:rPr>
            </w:pPr>
            <w:r>
              <w:rPr>
                <w:rFonts w:ascii="Arial" w:hAnsi="Arial" w:cs="Arial"/>
                <w:color w:val="000000"/>
                <w:szCs w:val="20"/>
              </w:rPr>
              <w:t>10</w:t>
            </w:r>
          </w:p>
        </w:tc>
      </w:tr>
      <w:tr w:rsidR="009C7AEB" w:rsidRPr="00B85FF5" w14:paraId="0B194B90" w14:textId="77777777" w:rsidTr="004A1EBF">
        <w:trPr>
          <w:trHeight w:val="288"/>
        </w:trPr>
        <w:tc>
          <w:tcPr>
            <w:tcW w:w="3458" w:type="dxa"/>
            <w:tcBorders>
              <w:top w:val="nil"/>
              <w:left w:val="nil"/>
              <w:bottom w:val="nil"/>
              <w:right w:val="nil"/>
            </w:tcBorders>
            <w:shd w:val="clear" w:color="000000" w:fill="F2F2F2"/>
            <w:vAlign w:val="center"/>
          </w:tcPr>
          <w:p w14:paraId="3581B88E" w14:textId="77777777" w:rsidR="009C7AEB" w:rsidRPr="00B85FF5" w:rsidRDefault="009C7AEB" w:rsidP="004A1EBF">
            <w:pPr>
              <w:keepNext/>
              <w:spacing w:before="0" w:after="0" w:line="240" w:lineRule="auto"/>
              <w:rPr>
                <w:rFonts w:ascii="Arial" w:hAnsi="Arial" w:cs="Arial"/>
                <w:color w:val="000000"/>
                <w:szCs w:val="20"/>
              </w:rPr>
            </w:pPr>
            <w:r>
              <w:rPr>
                <w:rFonts w:ascii="Arial" w:hAnsi="Arial" w:cs="Arial"/>
                <w:color w:val="000000"/>
                <w:szCs w:val="20"/>
              </w:rPr>
              <w:t>Completed a non-economics degree</w:t>
            </w:r>
          </w:p>
        </w:tc>
        <w:tc>
          <w:tcPr>
            <w:tcW w:w="1183" w:type="dxa"/>
            <w:tcBorders>
              <w:top w:val="nil"/>
              <w:left w:val="nil"/>
              <w:bottom w:val="nil"/>
              <w:right w:val="nil"/>
            </w:tcBorders>
            <w:shd w:val="clear" w:color="000000" w:fill="F2F2F2"/>
            <w:noWrap/>
            <w:vAlign w:val="center"/>
          </w:tcPr>
          <w:p w14:paraId="4C91DF20" w14:textId="77777777" w:rsidR="009C7AEB" w:rsidRPr="00B85FF5" w:rsidRDefault="009C7AEB" w:rsidP="004A1EBF">
            <w:pPr>
              <w:keepNext/>
              <w:spacing w:before="0" w:after="0" w:line="240" w:lineRule="auto"/>
              <w:jc w:val="right"/>
              <w:rPr>
                <w:rFonts w:ascii="Arial" w:hAnsi="Arial" w:cs="Arial"/>
                <w:color w:val="000000"/>
                <w:szCs w:val="20"/>
              </w:rPr>
            </w:pPr>
            <w:r>
              <w:rPr>
                <w:rFonts w:ascii="Arial" w:hAnsi="Arial" w:cs="Arial"/>
                <w:color w:val="000000"/>
                <w:szCs w:val="20"/>
              </w:rPr>
              <w:t>3</w:t>
            </w:r>
          </w:p>
        </w:tc>
        <w:tc>
          <w:tcPr>
            <w:tcW w:w="1183" w:type="dxa"/>
            <w:tcBorders>
              <w:top w:val="nil"/>
              <w:left w:val="nil"/>
              <w:bottom w:val="nil"/>
              <w:right w:val="nil"/>
            </w:tcBorders>
            <w:shd w:val="clear" w:color="000000" w:fill="F2F2F2"/>
            <w:noWrap/>
            <w:vAlign w:val="center"/>
          </w:tcPr>
          <w:p w14:paraId="1329A9AA" w14:textId="77777777" w:rsidR="009C7AEB" w:rsidRPr="00B85FF5" w:rsidRDefault="009C7AEB" w:rsidP="004A1EBF">
            <w:pPr>
              <w:keepNext/>
              <w:spacing w:before="0" w:after="0" w:line="240" w:lineRule="auto"/>
              <w:jc w:val="right"/>
              <w:rPr>
                <w:rFonts w:ascii="Arial" w:hAnsi="Arial" w:cs="Arial"/>
                <w:color w:val="000000"/>
                <w:szCs w:val="20"/>
              </w:rPr>
            </w:pPr>
            <w:r>
              <w:rPr>
                <w:rFonts w:ascii="Arial" w:hAnsi="Arial" w:cs="Arial"/>
                <w:color w:val="000000"/>
                <w:szCs w:val="20"/>
              </w:rPr>
              <w:t>4</w:t>
            </w:r>
          </w:p>
        </w:tc>
        <w:tc>
          <w:tcPr>
            <w:tcW w:w="953" w:type="dxa"/>
            <w:tcBorders>
              <w:top w:val="nil"/>
              <w:left w:val="nil"/>
              <w:bottom w:val="nil"/>
              <w:right w:val="nil"/>
            </w:tcBorders>
            <w:shd w:val="clear" w:color="000000" w:fill="F2F2F2"/>
            <w:noWrap/>
            <w:vAlign w:val="center"/>
          </w:tcPr>
          <w:p w14:paraId="405EACD5" w14:textId="77777777" w:rsidR="009C7AEB" w:rsidRPr="00B85FF5" w:rsidRDefault="009C7AEB" w:rsidP="004A1EBF">
            <w:pPr>
              <w:keepNext/>
              <w:spacing w:before="0" w:after="0" w:line="240" w:lineRule="auto"/>
              <w:jc w:val="right"/>
              <w:rPr>
                <w:rFonts w:ascii="Arial" w:hAnsi="Arial" w:cs="Arial"/>
                <w:color w:val="000000"/>
                <w:szCs w:val="20"/>
              </w:rPr>
            </w:pPr>
            <w:r>
              <w:rPr>
                <w:rFonts w:ascii="Arial" w:hAnsi="Arial" w:cs="Arial"/>
                <w:color w:val="000000"/>
                <w:szCs w:val="20"/>
              </w:rPr>
              <w:t>7</w:t>
            </w:r>
          </w:p>
        </w:tc>
      </w:tr>
      <w:tr w:rsidR="009C7AEB" w:rsidRPr="003C273A" w14:paraId="42D28703" w14:textId="77777777" w:rsidTr="004A1EBF">
        <w:trPr>
          <w:trHeight w:val="288"/>
        </w:trPr>
        <w:tc>
          <w:tcPr>
            <w:tcW w:w="3458" w:type="dxa"/>
            <w:tcBorders>
              <w:top w:val="nil"/>
              <w:left w:val="nil"/>
              <w:bottom w:val="nil"/>
              <w:right w:val="nil"/>
            </w:tcBorders>
            <w:shd w:val="clear" w:color="auto" w:fill="F2F2F2" w:themeFill="background1" w:themeFillShade="F2"/>
            <w:vAlign w:val="center"/>
          </w:tcPr>
          <w:p w14:paraId="6474812B" w14:textId="77777777" w:rsidR="009C7AEB" w:rsidRPr="00B85FF5" w:rsidRDefault="009C7AEB" w:rsidP="004A1EBF">
            <w:pPr>
              <w:keepNext/>
              <w:spacing w:before="0" w:after="0" w:line="240" w:lineRule="auto"/>
              <w:rPr>
                <w:rFonts w:ascii="Arial" w:hAnsi="Arial" w:cs="Arial"/>
                <w:color w:val="000000"/>
                <w:szCs w:val="20"/>
              </w:rPr>
            </w:pPr>
            <w:r w:rsidRPr="00B85FF5">
              <w:rPr>
                <w:rFonts w:ascii="Arial" w:hAnsi="Arial" w:cs="Arial"/>
                <w:color w:val="000000"/>
                <w:szCs w:val="20"/>
              </w:rPr>
              <w:t>Enrolled</w:t>
            </w:r>
            <w:r>
              <w:rPr>
                <w:rFonts w:ascii="Arial" w:hAnsi="Arial" w:cs="Arial"/>
                <w:color w:val="000000"/>
                <w:szCs w:val="20"/>
              </w:rPr>
              <w:t xml:space="preserve"> in a ‘core economics’ unit</w:t>
            </w:r>
          </w:p>
        </w:tc>
        <w:tc>
          <w:tcPr>
            <w:tcW w:w="1183" w:type="dxa"/>
            <w:tcBorders>
              <w:top w:val="nil"/>
              <w:left w:val="nil"/>
              <w:bottom w:val="nil"/>
              <w:right w:val="nil"/>
            </w:tcBorders>
            <w:shd w:val="clear" w:color="auto" w:fill="F2F2F2" w:themeFill="background1" w:themeFillShade="F2"/>
            <w:noWrap/>
            <w:vAlign w:val="center"/>
          </w:tcPr>
          <w:p w14:paraId="648C2EC1" w14:textId="77777777" w:rsidR="009C7AEB" w:rsidRPr="00B85FF5" w:rsidRDefault="009C7AEB" w:rsidP="004A1EBF">
            <w:pPr>
              <w:keepNext/>
              <w:spacing w:before="0" w:after="0" w:line="240" w:lineRule="auto"/>
              <w:jc w:val="right"/>
              <w:rPr>
                <w:rFonts w:ascii="Arial" w:hAnsi="Arial" w:cs="Arial"/>
                <w:color w:val="000000"/>
                <w:szCs w:val="20"/>
              </w:rPr>
            </w:pPr>
            <w:r>
              <w:rPr>
                <w:rFonts w:ascii="Arial" w:hAnsi="Arial" w:cs="Arial"/>
                <w:color w:val="000000"/>
                <w:szCs w:val="20"/>
              </w:rPr>
              <w:t>5</w:t>
            </w:r>
          </w:p>
        </w:tc>
        <w:tc>
          <w:tcPr>
            <w:tcW w:w="1183" w:type="dxa"/>
            <w:tcBorders>
              <w:top w:val="nil"/>
              <w:left w:val="nil"/>
              <w:bottom w:val="nil"/>
              <w:right w:val="nil"/>
            </w:tcBorders>
            <w:shd w:val="clear" w:color="auto" w:fill="F2F2F2" w:themeFill="background1" w:themeFillShade="F2"/>
            <w:noWrap/>
            <w:vAlign w:val="center"/>
          </w:tcPr>
          <w:p w14:paraId="70EA7DAC" w14:textId="77777777" w:rsidR="009C7AEB" w:rsidRPr="00B85FF5" w:rsidRDefault="009C7AEB" w:rsidP="004A1EBF">
            <w:pPr>
              <w:keepNext/>
              <w:spacing w:before="0" w:after="0" w:line="240" w:lineRule="auto"/>
              <w:jc w:val="right"/>
              <w:rPr>
                <w:rFonts w:ascii="Arial" w:hAnsi="Arial" w:cs="Arial"/>
                <w:color w:val="000000"/>
                <w:szCs w:val="20"/>
              </w:rPr>
            </w:pPr>
            <w:r>
              <w:rPr>
                <w:rFonts w:ascii="Arial" w:hAnsi="Arial" w:cs="Arial"/>
                <w:color w:val="000000"/>
                <w:szCs w:val="20"/>
              </w:rPr>
              <w:t>9</w:t>
            </w:r>
          </w:p>
        </w:tc>
        <w:tc>
          <w:tcPr>
            <w:tcW w:w="953" w:type="dxa"/>
            <w:tcBorders>
              <w:top w:val="nil"/>
              <w:left w:val="nil"/>
              <w:bottom w:val="nil"/>
              <w:right w:val="nil"/>
            </w:tcBorders>
            <w:shd w:val="clear" w:color="auto" w:fill="F2F2F2" w:themeFill="background1" w:themeFillShade="F2"/>
            <w:noWrap/>
            <w:vAlign w:val="center"/>
          </w:tcPr>
          <w:p w14:paraId="6EE42E56" w14:textId="77777777" w:rsidR="009C7AEB" w:rsidRPr="00B85FF5" w:rsidRDefault="009C7AEB" w:rsidP="004A1EBF">
            <w:pPr>
              <w:keepNext/>
              <w:spacing w:before="0" w:after="0" w:line="240" w:lineRule="auto"/>
              <w:jc w:val="right"/>
              <w:rPr>
                <w:rFonts w:ascii="Arial" w:hAnsi="Arial" w:cs="Arial"/>
                <w:color w:val="000000"/>
                <w:szCs w:val="20"/>
              </w:rPr>
            </w:pPr>
            <w:r>
              <w:rPr>
                <w:rFonts w:ascii="Arial" w:hAnsi="Arial" w:cs="Arial"/>
                <w:color w:val="000000"/>
                <w:szCs w:val="20"/>
              </w:rPr>
              <w:t>14</w:t>
            </w:r>
          </w:p>
        </w:tc>
      </w:tr>
      <w:tr w:rsidR="009C7AEB" w:rsidRPr="003C273A" w14:paraId="14DC47EE" w14:textId="77777777" w:rsidTr="004A1EBF">
        <w:trPr>
          <w:trHeight w:val="288"/>
        </w:trPr>
        <w:tc>
          <w:tcPr>
            <w:tcW w:w="3458" w:type="dxa"/>
            <w:tcBorders>
              <w:top w:val="nil"/>
              <w:left w:val="nil"/>
              <w:bottom w:val="nil"/>
              <w:right w:val="nil"/>
            </w:tcBorders>
            <w:shd w:val="clear" w:color="auto" w:fill="F2F2F2" w:themeFill="background1" w:themeFillShade="F2"/>
            <w:vAlign w:val="center"/>
          </w:tcPr>
          <w:p w14:paraId="21925BFA" w14:textId="77777777" w:rsidR="009C7AEB" w:rsidRPr="00B85FF5" w:rsidRDefault="009C7AEB" w:rsidP="004A1EBF">
            <w:pPr>
              <w:keepNext/>
              <w:spacing w:before="0" w:after="0" w:line="240" w:lineRule="auto"/>
              <w:rPr>
                <w:rFonts w:ascii="Arial" w:hAnsi="Arial" w:cs="Arial"/>
                <w:color w:val="000000"/>
                <w:szCs w:val="20"/>
              </w:rPr>
            </w:pPr>
            <w:r>
              <w:rPr>
                <w:rFonts w:ascii="Arial" w:hAnsi="Arial" w:cs="Arial"/>
                <w:color w:val="000000"/>
                <w:szCs w:val="20"/>
              </w:rPr>
              <w:t>Other</w:t>
            </w:r>
          </w:p>
        </w:tc>
        <w:tc>
          <w:tcPr>
            <w:tcW w:w="1183" w:type="dxa"/>
            <w:tcBorders>
              <w:top w:val="nil"/>
              <w:left w:val="nil"/>
              <w:bottom w:val="nil"/>
              <w:right w:val="nil"/>
            </w:tcBorders>
            <w:shd w:val="clear" w:color="auto" w:fill="F2F2F2" w:themeFill="background1" w:themeFillShade="F2"/>
            <w:noWrap/>
            <w:vAlign w:val="center"/>
          </w:tcPr>
          <w:p w14:paraId="06DF5027" w14:textId="77777777" w:rsidR="009C7AEB" w:rsidRPr="00B85FF5" w:rsidRDefault="009C7AEB" w:rsidP="004A1EBF">
            <w:pPr>
              <w:keepNext/>
              <w:spacing w:before="0" w:after="0" w:line="240" w:lineRule="auto"/>
              <w:jc w:val="right"/>
              <w:rPr>
                <w:rFonts w:ascii="Arial" w:hAnsi="Arial" w:cs="Arial"/>
                <w:color w:val="000000"/>
                <w:szCs w:val="20"/>
              </w:rPr>
            </w:pPr>
            <w:r>
              <w:rPr>
                <w:rFonts w:ascii="Arial" w:hAnsi="Arial" w:cs="Arial"/>
                <w:color w:val="000000"/>
                <w:szCs w:val="20"/>
              </w:rPr>
              <w:t>24</w:t>
            </w:r>
          </w:p>
        </w:tc>
        <w:tc>
          <w:tcPr>
            <w:tcW w:w="1183" w:type="dxa"/>
            <w:tcBorders>
              <w:top w:val="nil"/>
              <w:left w:val="nil"/>
              <w:bottom w:val="nil"/>
              <w:right w:val="nil"/>
            </w:tcBorders>
            <w:shd w:val="clear" w:color="auto" w:fill="F2F2F2" w:themeFill="background1" w:themeFillShade="F2"/>
            <w:noWrap/>
            <w:vAlign w:val="center"/>
          </w:tcPr>
          <w:p w14:paraId="4012A2D6" w14:textId="77777777" w:rsidR="009C7AEB" w:rsidRPr="00B85FF5" w:rsidRDefault="009C7AEB" w:rsidP="004A1EBF">
            <w:pPr>
              <w:keepNext/>
              <w:spacing w:before="0" w:after="0" w:line="240" w:lineRule="auto"/>
              <w:jc w:val="right"/>
              <w:rPr>
                <w:rFonts w:ascii="Arial" w:hAnsi="Arial" w:cs="Arial"/>
                <w:color w:val="000000"/>
                <w:szCs w:val="20"/>
              </w:rPr>
            </w:pPr>
            <w:r>
              <w:rPr>
                <w:rFonts w:ascii="Arial" w:hAnsi="Arial" w:cs="Arial"/>
                <w:color w:val="000000"/>
                <w:szCs w:val="20"/>
              </w:rPr>
              <w:t>33</w:t>
            </w:r>
          </w:p>
        </w:tc>
        <w:tc>
          <w:tcPr>
            <w:tcW w:w="953" w:type="dxa"/>
            <w:tcBorders>
              <w:top w:val="nil"/>
              <w:left w:val="nil"/>
              <w:bottom w:val="nil"/>
              <w:right w:val="nil"/>
            </w:tcBorders>
            <w:shd w:val="clear" w:color="auto" w:fill="F2F2F2" w:themeFill="background1" w:themeFillShade="F2"/>
            <w:noWrap/>
            <w:vAlign w:val="center"/>
          </w:tcPr>
          <w:p w14:paraId="25FDCE33" w14:textId="77777777" w:rsidR="009C7AEB" w:rsidRPr="00B85FF5" w:rsidRDefault="009C7AEB" w:rsidP="004A1EBF">
            <w:pPr>
              <w:keepNext/>
              <w:spacing w:before="0" w:after="0" w:line="240" w:lineRule="auto"/>
              <w:jc w:val="right"/>
              <w:rPr>
                <w:rFonts w:ascii="Arial" w:hAnsi="Arial" w:cs="Arial"/>
                <w:color w:val="000000"/>
                <w:szCs w:val="20"/>
              </w:rPr>
            </w:pPr>
            <w:r>
              <w:rPr>
                <w:rFonts w:ascii="Arial" w:hAnsi="Arial" w:cs="Arial"/>
                <w:color w:val="000000"/>
                <w:szCs w:val="20"/>
              </w:rPr>
              <w:t>57</w:t>
            </w:r>
          </w:p>
        </w:tc>
      </w:tr>
      <w:tr w:rsidR="009C7AEB" w:rsidRPr="00B85FF5" w14:paraId="3EDFB58F" w14:textId="77777777" w:rsidTr="004A1EBF">
        <w:trPr>
          <w:trHeight w:val="288"/>
        </w:trPr>
        <w:tc>
          <w:tcPr>
            <w:tcW w:w="3458" w:type="dxa"/>
            <w:tcBorders>
              <w:top w:val="nil"/>
              <w:left w:val="nil"/>
              <w:bottom w:val="nil"/>
              <w:right w:val="nil"/>
            </w:tcBorders>
            <w:shd w:val="clear" w:color="000000" w:fill="F2F2F2"/>
            <w:vAlign w:val="center"/>
          </w:tcPr>
          <w:p w14:paraId="61C04149" w14:textId="77777777" w:rsidR="009C7AEB" w:rsidRPr="00B85FF5" w:rsidRDefault="009C7AEB" w:rsidP="004A1EBF">
            <w:pPr>
              <w:spacing w:before="0" w:after="0" w:line="240" w:lineRule="auto"/>
              <w:rPr>
                <w:rFonts w:ascii="Arial" w:hAnsi="Arial" w:cs="Arial"/>
                <w:color w:val="000000"/>
                <w:szCs w:val="20"/>
              </w:rPr>
            </w:pPr>
            <w:r>
              <w:rPr>
                <w:rFonts w:ascii="Arial" w:hAnsi="Arial" w:cs="Arial"/>
                <w:color w:val="000000"/>
                <w:szCs w:val="20"/>
              </w:rPr>
              <w:t>All</w:t>
            </w:r>
          </w:p>
        </w:tc>
        <w:tc>
          <w:tcPr>
            <w:tcW w:w="1183" w:type="dxa"/>
            <w:tcBorders>
              <w:top w:val="nil"/>
              <w:left w:val="nil"/>
              <w:bottom w:val="nil"/>
              <w:right w:val="nil"/>
            </w:tcBorders>
            <w:shd w:val="clear" w:color="000000" w:fill="F2F2F2"/>
            <w:noWrap/>
            <w:vAlign w:val="center"/>
          </w:tcPr>
          <w:p w14:paraId="279586D5" w14:textId="77777777" w:rsidR="009C7AEB" w:rsidRPr="00B85FF5" w:rsidRDefault="009C7AEB" w:rsidP="004A1EBF">
            <w:pPr>
              <w:spacing w:before="0" w:after="0" w:line="240" w:lineRule="auto"/>
              <w:jc w:val="right"/>
              <w:rPr>
                <w:rFonts w:ascii="Arial" w:hAnsi="Arial" w:cs="Arial"/>
                <w:color w:val="000000"/>
                <w:szCs w:val="20"/>
              </w:rPr>
            </w:pPr>
            <w:r>
              <w:rPr>
                <w:rFonts w:ascii="Arial" w:hAnsi="Arial" w:cs="Arial"/>
                <w:color w:val="000000"/>
                <w:szCs w:val="20"/>
              </w:rPr>
              <w:t>33</w:t>
            </w:r>
          </w:p>
        </w:tc>
        <w:tc>
          <w:tcPr>
            <w:tcW w:w="1183" w:type="dxa"/>
            <w:tcBorders>
              <w:top w:val="nil"/>
              <w:left w:val="nil"/>
              <w:bottom w:val="nil"/>
              <w:right w:val="nil"/>
            </w:tcBorders>
            <w:shd w:val="clear" w:color="000000" w:fill="F2F2F2"/>
            <w:noWrap/>
            <w:vAlign w:val="center"/>
          </w:tcPr>
          <w:p w14:paraId="2E624FC7" w14:textId="77777777" w:rsidR="009C7AEB" w:rsidRPr="00B85FF5" w:rsidRDefault="009C7AEB" w:rsidP="004A1EBF">
            <w:pPr>
              <w:spacing w:before="0" w:after="0" w:line="240" w:lineRule="auto"/>
              <w:jc w:val="right"/>
              <w:rPr>
                <w:rFonts w:ascii="Arial" w:hAnsi="Arial" w:cs="Arial"/>
                <w:color w:val="000000"/>
                <w:szCs w:val="20"/>
              </w:rPr>
            </w:pPr>
            <w:r>
              <w:rPr>
                <w:rFonts w:ascii="Arial" w:hAnsi="Arial" w:cs="Arial"/>
                <w:color w:val="000000"/>
                <w:szCs w:val="20"/>
              </w:rPr>
              <w:t>55</w:t>
            </w:r>
          </w:p>
        </w:tc>
        <w:tc>
          <w:tcPr>
            <w:tcW w:w="953" w:type="dxa"/>
            <w:tcBorders>
              <w:top w:val="nil"/>
              <w:left w:val="nil"/>
              <w:bottom w:val="nil"/>
              <w:right w:val="nil"/>
            </w:tcBorders>
            <w:shd w:val="clear" w:color="000000" w:fill="F2F2F2"/>
            <w:noWrap/>
            <w:vAlign w:val="center"/>
          </w:tcPr>
          <w:p w14:paraId="0C9B5A31" w14:textId="77777777" w:rsidR="009C7AEB" w:rsidRPr="00B85FF5" w:rsidRDefault="009C7AEB" w:rsidP="004A1EBF">
            <w:pPr>
              <w:spacing w:before="0" w:after="0" w:line="240" w:lineRule="auto"/>
              <w:jc w:val="right"/>
              <w:rPr>
                <w:rFonts w:ascii="Arial" w:hAnsi="Arial" w:cs="Arial"/>
                <w:color w:val="000000"/>
                <w:szCs w:val="20"/>
              </w:rPr>
            </w:pPr>
            <w:r>
              <w:rPr>
                <w:rFonts w:ascii="Arial" w:hAnsi="Arial" w:cs="Arial"/>
                <w:color w:val="000000"/>
                <w:szCs w:val="20"/>
              </w:rPr>
              <w:t>88</w:t>
            </w:r>
          </w:p>
        </w:tc>
      </w:tr>
    </w:tbl>
    <w:p w14:paraId="4B51BE40" w14:textId="56CBD35C" w:rsidR="00484B88" w:rsidRDefault="00BF743C" w:rsidP="00BF743C">
      <w:pPr>
        <w:pStyle w:val="FigureHeading"/>
        <w:numPr>
          <w:ilvl w:val="0"/>
          <w:numId w:val="0"/>
        </w:numPr>
        <w:ind w:left="1430" w:hanging="720"/>
      </w:pPr>
      <w:r>
        <w:t xml:space="preserve">Figure 17: </w:t>
      </w:r>
      <w:r w:rsidR="00484B88">
        <w:t>Economics enrolment or degree completion S1 2020</w:t>
      </w:r>
    </w:p>
    <w:tbl>
      <w:tblPr>
        <w:tblW w:w="8225" w:type="dxa"/>
        <w:tblLook w:val="04A0" w:firstRow="1" w:lastRow="0" w:firstColumn="1" w:lastColumn="0" w:noHBand="0" w:noVBand="1"/>
        <w:tblCaption w:val="Figure 17: Economics enrolment or degree completion S1 2020"/>
      </w:tblPr>
      <w:tblGrid>
        <w:gridCol w:w="1361"/>
        <w:gridCol w:w="510"/>
        <w:gridCol w:w="1644"/>
        <w:gridCol w:w="1195"/>
        <w:gridCol w:w="1247"/>
        <w:gridCol w:w="964"/>
        <w:gridCol w:w="1304"/>
      </w:tblGrid>
      <w:tr w:rsidR="00484B88" w:rsidRPr="002C1E9A" w14:paraId="6F786A23" w14:textId="77777777" w:rsidTr="00731CEB">
        <w:trPr>
          <w:trHeight w:val="528"/>
          <w:tblHeader/>
        </w:trPr>
        <w:tc>
          <w:tcPr>
            <w:tcW w:w="1361" w:type="dxa"/>
            <w:tcBorders>
              <w:top w:val="nil"/>
              <w:left w:val="nil"/>
              <w:bottom w:val="nil"/>
              <w:right w:val="nil"/>
            </w:tcBorders>
            <w:shd w:val="clear" w:color="000000" w:fill="142E3A"/>
            <w:noWrap/>
            <w:vAlign w:val="center"/>
            <w:hideMark/>
          </w:tcPr>
          <w:p w14:paraId="19FC7A3D" w14:textId="77777777" w:rsidR="00484B88" w:rsidRPr="002C1E9A" w:rsidRDefault="00484B88" w:rsidP="00484B88">
            <w:pPr>
              <w:spacing w:before="0" w:after="0" w:line="240" w:lineRule="auto"/>
              <w:rPr>
                <w:rFonts w:ascii="Arial" w:hAnsi="Arial" w:cs="Arial"/>
                <w:b/>
                <w:bCs/>
                <w:color w:val="FFFFFF"/>
                <w:szCs w:val="20"/>
              </w:rPr>
            </w:pPr>
            <w:r w:rsidRPr="002C1E9A">
              <w:rPr>
                <w:rFonts w:ascii="Arial" w:hAnsi="Arial" w:cs="Arial"/>
                <w:b/>
                <w:bCs/>
                <w:color w:val="FFFFFF"/>
                <w:szCs w:val="20"/>
              </w:rPr>
              <w:t> Treatment</w:t>
            </w:r>
          </w:p>
        </w:tc>
        <w:tc>
          <w:tcPr>
            <w:tcW w:w="510" w:type="dxa"/>
            <w:tcBorders>
              <w:top w:val="nil"/>
              <w:left w:val="nil"/>
              <w:bottom w:val="nil"/>
              <w:right w:val="nil"/>
            </w:tcBorders>
            <w:shd w:val="clear" w:color="000000" w:fill="142E3A"/>
            <w:noWrap/>
            <w:vAlign w:val="center"/>
            <w:hideMark/>
          </w:tcPr>
          <w:p w14:paraId="05EA3999" w14:textId="77777777" w:rsidR="00484B88" w:rsidRPr="002C1E9A" w:rsidRDefault="00484B88" w:rsidP="00484B88">
            <w:pPr>
              <w:spacing w:before="0" w:after="0" w:line="240" w:lineRule="auto"/>
              <w:jc w:val="center"/>
              <w:rPr>
                <w:rFonts w:ascii="Arial" w:hAnsi="Arial" w:cs="Arial"/>
                <w:b/>
                <w:bCs/>
                <w:color w:val="FFFFFF"/>
                <w:szCs w:val="20"/>
              </w:rPr>
            </w:pPr>
            <w:r w:rsidRPr="002C1E9A">
              <w:rPr>
                <w:rFonts w:ascii="Arial" w:hAnsi="Arial" w:cs="Arial"/>
                <w:b/>
                <w:bCs/>
                <w:color w:val="FFFFFF"/>
                <w:szCs w:val="20"/>
              </w:rPr>
              <w:t>N</w:t>
            </w:r>
          </w:p>
        </w:tc>
        <w:tc>
          <w:tcPr>
            <w:tcW w:w="1644" w:type="dxa"/>
            <w:tcBorders>
              <w:top w:val="nil"/>
              <w:left w:val="nil"/>
              <w:bottom w:val="nil"/>
              <w:right w:val="nil"/>
            </w:tcBorders>
            <w:shd w:val="clear" w:color="000000" w:fill="142E3A"/>
            <w:vAlign w:val="center"/>
            <w:hideMark/>
          </w:tcPr>
          <w:p w14:paraId="05B06858" w14:textId="726F0B97" w:rsidR="00484B88" w:rsidRPr="002C1E9A" w:rsidRDefault="00484B88" w:rsidP="00484B88">
            <w:pPr>
              <w:spacing w:before="0" w:after="0" w:line="240" w:lineRule="auto"/>
              <w:rPr>
                <w:rFonts w:ascii="Arial" w:hAnsi="Arial" w:cs="Arial"/>
                <w:b/>
                <w:bCs/>
                <w:color w:val="FFFFFF"/>
                <w:szCs w:val="20"/>
              </w:rPr>
            </w:pPr>
            <w:r>
              <w:rPr>
                <w:rFonts w:ascii="Arial" w:hAnsi="Arial" w:cs="Arial"/>
                <w:b/>
                <w:bCs/>
                <w:color w:val="FFFFFF"/>
                <w:szCs w:val="20"/>
              </w:rPr>
              <w:t xml:space="preserve">Pursued </w:t>
            </w:r>
            <w:r w:rsidRPr="002C1E9A">
              <w:rPr>
                <w:rFonts w:ascii="Arial" w:hAnsi="Arial" w:cs="Arial"/>
                <w:b/>
                <w:bCs/>
                <w:color w:val="FFFFFF"/>
                <w:szCs w:val="20"/>
              </w:rPr>
              <w:t xml:space="preserve">economics </w:t>
            </w:r>
            <w:r w:rsidRPr="002C1E9A">
              <w:rPr>
                <w:rFonts w:ascii="Arial" w:hAnsi="Arial" w:cs="Arial"/>
                <w:bCs/>
                <w:color w:val="FFFFFF"/>
                <w:szCs w:val="20"/>
              </w:rPr>
              <w:t>(%)</w:t>
            </w:r>
          </w:p>
        </w:tc>
        <w:tc>
          <w:tcPr>
            <w:tcW w:w="1195" w:type="dxa"/>
            <w:tcBorders>
              <w:top w:val="nil"/>
              <w:left w:val="nil"/>
              <w:bottom w:val="nil"/>
              <w:right w:val="nil"/>
            </w:tcBorders>
            <w:shd w:val="clear" w:color="000000" w:fill="142E3A"/>
            <w:vAlign w:val="center"/>
            <w:hideMark/>
          </w:tcPr>
          <w:p w14:paraId="5B9FAF90" w14:textId="77777777" w:rsidR="00484B88" w:rsidRPr="002C1E9A" w:rsidRDefault="00484B88" w:rsidP="00484B88">
            <w:pPr>
              <w:spacing w:before="0" w:after="0" w:line="240" w:lineRule="auto"/>
              <w:rPr>
                <w:rFonts w:ascii="Arial" w:hAnsi="Arial" w:cs="Arial"/>
                <w:b/>
                <w:bCs/>
                <w:color w:val="FFFFFF"/>
                <w:szCs w:val="20"/>
              </w:rPr>
            </w:pPr>
            <w:r w:rsidRPr="002C1E9A">
              <w:rPr>
                <w:rFonts w:ascii="Arial" w:hAnsi="Arial" w:cs="Arial"/>
                <w:b/>
                <w:bCs/>
                <w:color w:val="FFFFFF"/>
                <w:szCs w:val="20"/>
              </w:rPr>
              <w:t xml:space="preserve">Difference </w:t>
            </w:r>
            <w:r w:rsidRPr="002C1E9A">
              <w:rPr>
                <w:rFonts w:ascii="Arial" w:hAnsi="Arial" w:cs="Arial"/>
                <w:bCs/>
                <w:color w:val="FFFFFF"/>
                <w:szCs w:val="20"/>
              </w:rPr>
              <w:t>(ppts)</w:t>
            </w:r>
          </w:p>
        </w:tc>
        <w:tc>
          <w:tcPr>
            <w:tcW w:w="1247" w:type="dxa"/>
            <w:tcBorders>
              <w:top w:val="nil"/>
              <w:left w:val="nil"/>
              <w:bottom w:val="nil"/>
              <w:right w:val="nil"/>
            </w:tcBorders>
            <w:shd w:val="clear" w:color="000000" w:fill="142E3A"/>
            <w:vAlign w:val="center"/>
            <w:hideMark/>
          </w:tcPr>
          <w:p w14:paraId="181F1EFA" w14:textId="77777777" w:rsidR="00484B88" w:rsidRPr="002C1E9A" w:rsidRDefault="00484B88" w:rsidP="00484B88">
            <w:pPr>
              <w:spacing w:before="0" w:after="0" w:line="240" w:lineRule="auto"/>
              <w:rPr>
                <w:rFonts w:ascii="Arial" w:hAnsi="Arial" w:cs="Arial"/>
                <w:b/>
                <w:bCs/>
                <w:color w:val="FFFFFF"/>
                <w:szCs w:val="20"/>
              </w:rPr>
            </w:pPr>
            <w:r w:rsidRPr="002C1E9A">
              <w:rPr>
                <w:rFonts w:ascii="Arial" w:hAnsi="Arial" w:cs="Arial"/>
                <w:b/>
                <w:bCs/>
                <w:color w:val="FFFFFF"/>
                <w:szCs w:val="20"/>
              </w:rPr>
              <w:t xml:space="preserve">95% CI </w:t>
            </w:r>
            <w:r w:rsidRPr="002C1E9A">
              <w:rPr>
                <w:rFonts w:ascii="Arial" w:hAnsi="Arial" w:cs="Arial"/>
                <w:b/>
                <w:bCs/>
                <w:color w:val="FFFFFF"/>
                <w:szCs w:val="20"/>
              </w:rPr>
              <w:br/>
            </w:r>
            <w:r w:rsidRPr="002C1E9A">
              <w:rPr>
                <w:rFonts w:ascii="Arial" w:hAnsi="Arial" w:cs="Arial"/>
                <w:bCs/>
                <w:color w:val="FFFFFF"/>
                <w:szCs w:val="20"/>
              </w:rPr>
              <w:t>(one-sided)</w:t>
            </w:r>
          </w:p>
        </w:tc>
        <w:tc>
          <w:tcPr>
            <w:tcW w:w="964" w:type="dxa"/>
            <w:tcBorders>
              <w:top w:val="nil"/>
              <w:left w:val="nil"/>
              <w:bottom w:val="nil"/>
              <w:right w:val="nil"/>
            </w:tcBorders>
            <w:shd w:val="clear" w:color="000000" w:fill="142E3A"/>
            <w:noWrap/>
            <w:vAlign w:val="center"/>
            <w:hideMark/>
          </w:tcPr>
          <w:p w14:paraId="7CF4135D" w14:textId="77777777" w:rsidR="00484B88" w:rsidRPr="002C1E9A" w:rsidRDefault="00484B88" w:rsidP="00484B88">
            <w:pPr>
              <w:spacing w:before="0" w:after="0" w:line="240" w:lineRule="auto"/>
              <w:rPr>
                <w:rFonts w:ascii="Arial" w:hAnsi="Arial" w:cs="Arial"/>
                <w:b/>
                <w:bCs/>
                <w:color w:val="FFFFFF"/>
                <w:szCs w:val="20"/>
              </w:rPr>
            </w:pPr>
            <w:r w:rsidRPr="002C1E9A">
              <w:rPr>
                <w:rFonts w:ascii="Arial" w:hAnsi="Arial" w:cs="Arial"/>
                <w:b/>
                <w:bCs/>
                <w:color w:val="FFFFFF"/>
                <w:szCs w:val="20"/>
              </w:rPr>
              <w:t>p-value</w:t>
            </w:r>
          </w:p>
        </w:tc>
        <w:tc>
          <w:tcPr>
            <w:tcW w:w="1304" w:type="dxa"/>
            <w:tcBorders>
              <w:top w:val="nil"/>
              <w:left w:val="nil"/>
              <w:bottom w:val="nil"/>
              <w:right w:val="nil"/>
            </w:tcBorders>
            <w:shd w:val="clear" w:color="000000" w:fill="142E3A"/>
            <w:vAlign w:val="center"/>
            <w:hideMark/>
          </w:tcPr>
          <w:p w14:paraId="3A97DFFB" w14:textId="77777777" w:rsidR="00484B88" w:rsidRPr="002C1E9A" w:rsidRDefault="00484B88" w:rsidP="00484B88">
            <w:pPr>
              <w:spacing w:before="0" w:after="0" w:line="240" w:lineRule="auto"/>
              <w:rPr>
                <w:rFonts w:ascii="Arial" w:hAnsi="Arial" w:cs="Arial"/>
                <w:b/>
                <w:bCs/>
                <w:color w:val="FFFFFF"/>
                <w:szCs w:val="20"/>
              </w:rPr>
            </w:pPr>
            <w:r w:rsidRPr="002C1E9A">
              <w:rPr>
                <w:rFonts w:ascii="Arial" w:hAnsi="Arial" w:cs="Arial"/>
                <w:b/>
                <w:bCs/>
                <w:color w:val="FFFFFF"/>
                <w:szCs w:val="20"/>
              </w:rPr>
              <w:t xml:space="preserve">Standard error </w:t>
            </w:r>
            <w:r w:rsidRPr="002C1E9A">
              <w:rPr>
                <w:rFonts w:ascii="Arial" w:hAnsi="Arial" w:cs="Arial"/>
                <w:bCs/>
                <w:color w:val="FFFFFF"/>
                <w:szCs w:val="20"/>
              </w:rPr>
              <w:t>(ppts)</w:t>
            </w:r>
          </w:p>
        </w:tc>
      </w:tr>
      <w:tr w:rsidR="00484B88" w:rsidRPr="002C1E9A" w14:paraId="677C0845" w14:textId="77777777" w:rsidTr="00484B88">
        <w:trPr>
          <w:trHeight w:val="276"/>
        </w:trPr>
        <w:tc>
          <w:tcPr>
            <w:tcW w:w="1361" w:type="dxa"/>
            <w:tcBorders>
              <w:top w:val="nil"/>
              <w:left w:val="nil"/>
              <w:bottom w:val="nil"/>
              <w:right w:val="nil"/>
            </w:tcBorders>
            <w:shd w:val="clear" w:color="000000" w:fill="F2F2F2"/>
            <w:noWrap/>
            <w:vAlign w:val="center"/>
            <w:hideMark/>
          </w:tcPr>
          <w:p w14:paraId="798CA544" w14:textId="731F4D97" w:rsidR="00484B88" w:rsidRPr="002C1E9A" w:rsidRDefault="00484B88" w:rsidP="00484B88">
            <w:pPr>
              <w:spacing w:before="0" w:after="0" w:line="240" w:lineRule="auto"/>
              <w:rPr>
                <w:rFonts w:ascii="Arial" w:hAnsi="Arial" w:cs="Arial"/>
                <w:color w:val="000000"/>
                <w:szCs w:val="20"/>
              </w:rPr>
            </w:pPr>
            <w:r>
              <w:rPr>
                <w:rFonts w:ascii="Arial" w:hAnsi="Arial" w:cs="Arial"/>
                <w:color w:val="000000"/>
                <w:szCs w:val="20"/>
              </w:rPr>
              <w:t xml:space="preserve">Control </w:t>
            </w:r>
          </w:p>
        </w:tc>
        <w:tc>
          <w:tcPr>
            <w:tcW w:w="510" w:type="dxa"/>
            <w:tcBorders>
              <w:top w:val="nil"/>
              <w:left w:val="nil"/>
              <w:bottom w:val="nil"/>
              <w:right w:val="nil"/>
            </w:tcBorders>
            <w:shd w:val="clear" w:color="000000" w:fill="F2F2F2"/>
            <w:noWrap/>
            <w:vAlign w:val="center"/>
            <w:hideMark/>
          </w:tcPr>
          <w:p w14:paraId="23AD18EB" w14:textId="324A8F18" w:rsidR="00484B88" w:rsidRPr="002C1E9A" w:rsidRDefault="00484B88" w:rsidP="00484B88">
            <w:pPr>
              <w:spacing w:before="0" w:after="0" w:line="240" w:lineRule="auto"/>
              <w:jc w:val="right"/>
              <w:rPr>
                <w:rFonts w:ascii="Arial" w:hAnsi="Arial" w:cs="Arial"/>
                <w:color w:val="000000"/>
                <w:szCs w:val="20"/>
              </w:rPr>
            </w:pPr>
            <w:r>
              <w:rPr>
                <w:rFonts w:ascii="Arial" w:hAnsi="Arial" w:cs="Arial"/>
                <w:color w:val="000000"/>
                <w:szCs w:val="20"/>
              </w:rPr>
              <w:t>33</w:t>
            </w:r>
          </w:p>
        </w:tc>
        <w:tc>
          <w:tcPr>
            <w:tcW w:w="1644" w:type="dxa"/>
            <w:tcBorders>
              <w:top w:val="nil"/>
              <w:left w:val="nil"/>
              <w:bottom w:val="nil"/>
              <w:right w:val="nil"/>
            </w:tcBorders>
            <w:shd w:val="clear" w:color="000000" w:fill="F2F2F2"/>
            <w:noWrap/>
            <w:vAlign w:val="center"/>
            <w:hideMark/>
          </w:tcPr>
          <w:p w14:paraId="42A1A28C" w14:textId="1A728D22" w:rsidR="00484B88" w:rsidRPr="002C1E9A" w:rsidRDefault="00484B88" w:rsidP="00484B88">
            <w:pPr>
              <w:spacing w:before="0" w:after="0" w:line="240" w:lineRule="auto"/>
              <w:jc w:val="right"/>
              <w:rPr>
                <w:rFonts w:ascii="Arial" w:hAnsi="Arial" w:cs="Arial"/>
                <w:color w:val="000000"/>
                <w:szCs w:val="20"/>
              </w:rPr>
            </w:pPr>
            <w:r>
              <w:rPr>
                <w:rFonts w:ascii="Arial" w:hAnsi="Arial" w:cs="Arial"/>
                <w:color w:val="000000"/>
                <w:szCs w:val="20"/>
              </w:rPr>
              <w:t>17.8%</w:t>
            </w:r>
          </w:p>
        </w:tc>
        <w:tc>
          <w:tcPr>
            <w:tcW w:w="1195" w:type="dxa"/>
            <w:tcBorders>
              <w:top w:val="nil"/>
              <w:left w:val="nil"/>
              <w:bottom w:val="nil"/>
              <w:right w:val="nil"/>
            </w:tcBorders>
            <w:shd w:val="clear" w:color="000000" w:fill="F2F2F2"/>
            <w:noWrap/>
            <w:hideMark/>
          </w:tcPr>
          <w:p w14:paraId="4DE5B105" w14:textId="1E5344BE" w:rsidR="00484B88" w:rsidRPr="002C1E9A" w:rsidRDefault="00484B88" w:rsidP="00484B88">
            <w:pPr>
              <w:spacing w:before="0" w:after="0" w:line="240" w:lineRule="auto"/>
              <w:rPr>
                <w:rFonts w:ascii="Arial" w:hAnsi="Arial" w:cs="Arial"/>
                <w:color w:val="3F3F3F"/>
                <w:szCs w:val="20"/>
              </w:rPr>
            </w:pPr>
            <w:r>
              <w:rPr>
                <w:rFonts w:ascii="Arial" w:hAnsi="Arial" w:cs="Arial"/>
                <w:color w:val="000000"/>
                <w:szCs w:val="20"/>
              </w:rPr>
              <w:t> </w:t>
            </w:r>
          </w:p>
        </w:tc>
        <w:tc>
          <w:tcPr>
            <w:tcW w:w="1247" w:type="dxa"/>
            <w:tcBorders>
              <w:top w:val="nil"/>
              <w:left w:val="nil"/>
              <w:bottom w:val="nil"/>
              <w:right w:val="nil"/>
            </w:tcBorders>
            <w:shd w:val="clear" w:color="000000" w:fill="F2F2F2"/>
            <w:vAlign w:val="center"/>
            <w:hideMark/>
          </w:tcPr>
          <w:p w14:paraId="7FC4F6B0" w14:textId="1A765D12" w:rsidR="00484B88" w:rsidRPr="002C1E9A" w:rsidRDefault="00484B88" w:rsidP="00484B88">
            <w:pPr>
              <w:spacing w:before="0" w:after="0" w:line="240" w:lineRule="auto"/>
              <w:rPr>
                <w:rFonts w:ascii="Arial" w:hAnsi="Arial" w:cs="Arial"/>
                <w:color w:val="000000"/>
                <w:szCs w:val="20"/>
              </w:rPr>
            </w:pPr>
            <w:r>
              <w:rPr>
                <w:rFonts w:ascii="Arial" w:hAnsi="Arial" w:cs="Arial"/>
                <w:color w:val="000000"/>
                <w:szCs w:val="20"/>
              </w:rPr>
              <w:t> </w:t>
            </w:r>
          </w:p>
        </w:tc>
        <w:tc>
          <w:tcPr>
            <w:tcW w:w="964" w:type="dxa"/>
            <w:tcBorders>
              <w:top w:val="nil"/>
              <w:left w:val="nil"/>
              <w:bottom w:val="nil"/>
              <w:right w:val="nil"/>
            </w:tcBorders>
            <w:shd w:val="clear" w:color="000000" w:fill="F2F2F2"/>
            <w:noWrap/>
            <w:hideMark/>
          </w:tcPr>
          <w:p w14:paraId="4238B107" w14:textId="47C2E2B5" w:rsidR="00484B88" w:rsidRPr="002C1E9A" w:rsidRDefault="00484B88" w:rsidP="00484B88">
            <w:pPr>
              <w:spacing w:before="0" w:after="0" w:line="240" w:lineRule="auto"/>
              <w:rPr>
                <w:rFonts w:ascii="Arial" w:hAnsi="Arial" w:cs="Arial"/>
                <w:color w:val="3F3F3F"/>
                <w:szCs w:val="20"/>
              </w:rPr>
            </w:pPr>
            <w:r>
              <w:rPr>
                <w:rFonts w:ascii="Arial" w:hAnsi="Arial" w:cs="Arial"/>
                <w:color w:val="000000"/>
                <w:szCs w:val="20"/>
              </w:rPr>
              <w:t> </w:t>
            </w:r>
          </w:p>
        </w:tc>
        <w:tc>
          <w:tcPr>
            <w:tcW w:w="1304" w:type="dxa"/>
            <w:tcBorders>
              <w:top w:val="nil"/>
              <w:left w:val="nil"/>
              <w:bottom w:val="nil"/>
              <w:right w:val="nil"/>
            </w:tcBorders>
            <w:shd w:val="clear" w:color="000000" w:fill="F2F2F2"/>
            <w:noWrap/>
            <w:hideMark/>
          </w:tcPr>
          <w:p w14:paraId="13EC3363" w14:textId="3FB8B1AA" w:rsidR="00484B88" w:rsidRPr="002C1E9A" w:rsidRDefault="00484B88" w:rsidP="00484B88">
            <w:pPr>
              <w:spacing w:before="0" w:after="0" w:line="240" w:lineRule="auto"/>
              <w:rPr>
                <w:rFonts w:ascii="Arial" w:hAnsi="Arial" w:cs="Arial"/>
                <w:color w:val="3F3F3F"/>
                <w:szCs w:val="20"/>
              </w:rPr>
            </w:pPr>
            <w:r>
              <w:rPr>
                <w:rFonts w:ascii="Arial" w:hAnsi="Arial" w:cs="Arial"/>
                <w:color w:val="000000"/>
                <w:szCs w:val="20"/>
              </w:rPr>
              <w:t> </w:t>
            </w:r>
          </w:p>
        </w:tc>
      </w:tr>
      <w:tr w:rsidR="00484B88" w:rsidRPr="002C1E9A" w14:paraId="37AB9B87" w14:textId="77777777" w:rsidTr="00484B88">
        <w:trPr>
          <w:trHeight w:val="276"/>
        </w:trPr>
        <w:tc>
          <w:tcPr>
            <w:tcW w:w="1361" w:type="dxa"/>
            <w:tcBorders>
              <w:top w:val="nil"/>
              <w:left w:val="nil"/>
              <w:bottom w:val="nil"/>
              <w:right w:val="nil"/>
            </w:tcBorders>
            <w:shd w:val="clear" w:color="000000" w:fill="F2F2F2"/>
            <w:noWrap/>
            <w:vAlign w:val="center"/>
            <w:hideMark/>
          </w:tcPr>
          <w:p w14:paraId="1C563ED2" w14:textId="533548D2" w:rsidR="00484B88" w:rsidRPr="002C1E9A" w:rsidRDefault="00484B88" w:rsidP="00484B88">
            <w:pPr>
              <w:spacing w:before="0" w:after="0" w:line="240" w:lineRule="auto"/>
              <w:rPr>
                <w:rFonts w:ascii="Arial" w:hAnsi="Arial" w:cs="Arial"/>
                <w:color w:val="000000"/>
                <w:szCs w:val="20"/>
              </w:rPr>
            </w:pPr>
            <w:r>
              <w:rPr>
                <w:rFonts w:ascii="Arial" w:hAnsi="Arial" w:cs="Arial"/>
                <w:color w:val="000000"/>
                <w:szCs w:val="20"/>
              </w:rPr>
              <w:t>Mentoring</w:t>
            </w:r>
          </w:p>
        </w:tc>
        <w:tc>
          <w:tcPr>
            <w:tcW w:w="510" w:type="dxa"/>
            <w:tcBorders>
              <w:top w:val="nil"/>
              <w:left w:val="nil"/>
              <w:bottom w:val="nil"/>
              <w:right w:val="nil"/>
            </w:tcBorders>
            <w:shd w:val="clear" w:color="000000" w:fill="F2F2F2"/>
            <w:noWrap/>
            <w:vAlign w:val="center"/>
            <w:hideMark/>
          </w:tcPr>
          <w:p w14:paraId="33B4CC84" w14:textId="7992786E" w:rsidR="00484B88" w:rsidRPr="002C1E9A" w:rsidRDefault="00484B88" w:rsidP="00484B88">
            <w:pPr>
              <w:spacing w:before="0" w:after="0" w:line="240" w:lineRule="auto"/>
              <w:jc w:val="right"/>
              <w:rPr>
                <w:rFonts w:ascii="Arial" w:hAnsi="Arial" w:cs="Arial"/>
                <w:color w:val="000000"/>
                <w:szCs w:val="20"/>
              </w:rPr>
            </w:pPr>
            <w:r>
              <w:rPr>
                <w:rFonts w:ascii="Arial" w:hAnsi="Arial" w:cs="Arial"/>
                <w:color w:val="000000"/>
                <w:szCs w:val="20"/>
              </w:rPr>
              <w:t>55</w:t>
            </w:r>
          </w:p>
        </w:tc>
        <w:tc>
          <w:tcPr>
            <w:tcW w:w="1644" w:type="dxa"/>
            <w:tcBorders>
              <w:top w:val="nil"/>
              <w:left w:val="nil"/>
              <w:bottom w:val="nil"/>
              <w:right w:val="nil"/>
            </w:tcBorders>
            <w:shd w:val="clear" w:color="000000" w:fill="F2F2F2"/>
            <w:noWrap/>
            <w:vAlign w:val="center"/>
            <w:hideMark/>
          </w:tcPr>
          <w:p w14:paraId="3A16AFB5" w14:textId="7139FE7D" w:rsidR="00484B88" w:rsidRPr="002C1E9A" w:rsidRDefault="00484B88" w:rsidP="00484B88">
            <w:pPr>
              <w:spacing w:before="0" w:after="0" w:line="240" w:lineRule="auto"/>
              <w:jc w:val="right"/>
              <w:rPr>
                <w:rFonts w:ascii="Arial" w:hAnsi="Arial" w:cs="Arial"/>
                <w:color w:val="000000"/>
                <w:szCs w:val="20"/>
              </w:rPr>
            </w:pPr>
            <w:r>
              <w:rPr>
                <w:rFonts w:ascii="Arial" w:hAnsi="Arial" w:cs="Arial"/>
                <w:color w:val="000000"/>
                <w:szCs w:val="20"/>
              </w:rPr>
              <w:t>32.5%</w:t>
            </w:r>
          </w:p>
        </w:tc>
        <w:tc>
          <w:tcPr>
            <w:tcW w:w="1195" w:type="dxa"/>
            <w:tcBorders>
              <w:top w:val="nil"/>
              <w:left w:val="nil"/>
              <w:bottom w:val="nil"/>
              <w:right w:val="nil"/>
            </w:tcBorders>
            <w:shd w:val="clear" w:color="000000" w:fill="F2F2F2"/>
            <w:noWrap/>
            <w:vAlign w:val="center"/>
            <w:hideMark/>
          </w:tcPr>
          <w:p w14:paraId="135F7EBC" w14:textId="628A8328" w:rsidR="00484B88" w:rsidRPr="002C1E9A" w:rsidRDefault="00484B88" w:rsidP="00484B88">
            <w:pPr>
              <w:spacing w:before="0" w:after="0" w:line="240" w:lineRule="auto"/>
              <w:jc w:val="right"/>
              <w:rPr>
                <w:rFonts w:ascii="Arial" w:hAnsi="Arial" w:cs="Arial"/>
                <w:color w:val="000000"/>
                <w:szCs w:val="20"/>
              </w:rPr>
            </w:pPr>
            <w:r>
              <w:rPr>
                <w:rFonts w:ascii="Arial" w:hAnsi="Arial" w:cs="Arial"/>
                <w:color w:val="000000"/>
                <w:szCs w:val="20"/>
              </w:rPr>
              <w:t>14.8%</w:t>
            </w:r>
          </w:p>
        </w:tc>
        <w:tc>
          <w:tcPr>
            <w:tcW w:w="1247" w:type="dxa"/>
            <w:tcBorders>
              <w:top w:val="nil"/>
              <w:left w:val="nil"/>
              <w:bottom w:val="nil"/>
              <w:right w:val="nil"/>
            </w:tcBorders>
            <w:shd w:val="clear" w:color="000000" w:fill="F2F2F2"/>
            <w:vAlign w:val="center"/>
            <w:hideMark/>
          </w:tcPr>
          <w:p w14:paraId="518DACD1" w14:textId="6D6472F6" w:rsidR="00484B88" w:rsidRPr="002C1E9A" w:rsidRDefault="00484B88" w:rsidP="00484B88">
            <w:pPr>
              <w:spacing w:before="0" w:after="0" w:line="240" w:lineRule="auto"/>
              <w:rPr>
                <w:rFonts w:ascii="Arial" w:hAnsi="Arial" w:cs="Arial"/>
                <w:color w:val="000000"/>
                <w:szCs w:val="20"/>
              </w:rPr>
            </w:pPr>
            <w:r w:rsidRPr="00484B88">
              <w:rPr>
                <w:rFonts w:ascii="Arial" w:hAnsi="Arial" w:cs="Arial"/>
                <w:color w:val="000000"/>
                <w:sz w:val="18"/>
                <w:szCs w:val="20"/>
              </w:rPr>
              <w:t>(-0.83%, inf)</w:t>
            </w:r>
          </w:p>
        </w:tc>
        <w:tc>
          <w:tcPr>
            <w:tcW w:w="964" w:type="dxa"/>
            <w:tcBorders>
              <w:top w:val="nil"/>
              <w:left w:val="nil"/>
              <w:bottom w:val="nil"/>
              <w:right w:val="nil"/>
            </w:tcBorders>
            <w:shd w:val="clear" w:color="000000" w:fill="F2F2F2"/>
            <w:noWrap/>
            <w:vAlign w:val="center"/>
            <w:hideMark/>
          </w:tcPr>
          <w:p w14:paraId="432BA272" w14:textId="58AE860F" w:rsidR="00484B88" w:rsidRPr="002C1E9A" w:rsidRDefault="00484B88" w:rsidP="00484B88">
            <w:pPr>
              <w:spacing w:before="0" w:after="0" w:line="240" w:lineRule="auto"/>
              <w:jc w:val="right"/>
              <w:rPr>
                <w:rFonts w:ascii="Arial" w:hAnsi="Arial" w:cs="Arial"/>
                <w:color w:val="000000"/>
                <w:szCs w:val="20"/>
              </w:rPr>
            </w:pPr>
            <w:r>
              <w:rPr>
                <w:rFonts w:ascii="Arial" w:hAnsi="Arial" w:cs="Arial"/>
                <w:color w:val="000000"/>
                <w:szCs w:val="20"/>
              </w:rPr>
              <w:t>0.060</w:t>
            </w:r>
          </w:p>
        </w:tc>
        <w:tc>
          <w:tcPr>
            <w:tcW w:w="1304" w:type="dxa"/>
            <w:tcBorders>
              <w:top w:val="nil"/>
              <w:left w:val="nil"/>
              <w:bottom w:val="nil"/>
              <w:right w:val="nil"/>
            </w:tcBorders>
            <w:shd w:val="clear" w:color="000000" w:fill="F2F2F2"/>
            <w:noWrap/>
            <w:vAlign w:val="center"/>
            <w:hideMark/>
          </w:tcPr>
          <w:p w14:paraId="7C03C50E" w14:textId="2264665E" w:rsidR="00484B88" w:rsidRPr="002C1E9A" w:rsidRDefault="00484B88" w:rsidP="00484B88">
            <w:pPr>
              <w:spacing w:before="0" w:after="0" w:line="240" w:lineRule="auto"/>
              <w:jc w:val="right"/>
              <w:rPr>
                <w:rFonts w:ascii="Arial" w:hAnsi="Arial" w:cs="Arial"/>
                <w:color w:val="000000"/>
                <w:szCs w:val="20"/>
              </w:rPr>
            </w:pPr>
            <w:r>
              <w:rPr>
                <w:rFonts w:ascii="Arial" w:hAnsi="Arial" w:cs="Arial"/>
                <w:color w:val="000000"/>
                <w:szCs w:val="20"/>
              </w:rPr>
              <w:t>9.4%</w:t>
            </w:r>
          </w:p>
        </w:tc>
      </w:tr>
    </w:tbl>
    <w:p w14:paraId="4D7A642E" w14:textId="1A692308" w:rsidR="00484B88" w:rsidRPr="004A1EBF" w:rsidRDefault="00484B88" w:rsidP="004A1EBF">
      <w:pPr>
        <w:pStyle w:val="SourceNotesText"/>
        <w:rPr>
          <w:sz w:val="16"/>
        </w:rPr>
      </w:pPr>
      <w:r w:rsidRPr="004A1EBF">
        <w:rPr>
          <w:sz w:val="16"/>
        </w:rPr>
        <w:t>Note: The outcome ‘pursued economics’ includes students who had completed an economics degree by the end of Semester One 2020 or who were enrolled in a core economics unit. Covariate-adjusted OLS regression, where covariate=baseline likelihood to continue studying economics next year, one-sided test with HC2 robust standard errors.</w:t>
      </w:r>
    </w:p>
    <w:p w14:paraId="6B622641" w14:textId="3B696EC8" w:rsidR="00484B88" w:rsidRDefault="00BF743C" w:rsidP="00BF743C">
      <w:pPr>
        <w:pStyle w:val="FigureHeading"/>
        <w:numPr>
          <w:ilvl w:val="0"/>
          <w:numId w:val="0"/>
        </w:numPr>
        <w:ind w:left="1430" w:hanging="720"/>
      </w:pPr>
      <w:r>
        <w:t xml:space="preserve">Figure 18: </w:t>
      </w:r>
      <w:r w:rsidR="00484B88">
        <w:t xml:space="preserve">Economics enrolment </w:t>
      </w:r>
      <w:r w:rsidR="00484B88" w:rsidRPr="00A25D56">
        <w:rPr>
          <w:u w:val="single"/>
        </w:rPr>
        <w:t>only</w:t>
      </w:r>
      <w:r w:rsidR="00484B88">
        <w:t xml:space="preserve"> S1 2020</w:t>
      </w:r>
    </w:p>
    <w:tbl>
      <w:tblPr>
        <w:tblW w:w="8225" w:type="dxa"/>
        <w:tblLook w:val="04A0" w:firstRow="1" w:lastRow="0" w:firstColumn="1" w:lastColumn="0" w:noHBand="0" w:noVBand="1"/>
        <w:tblCaption w:val="Figure 18: Economics enrolment only S1 2020"/>
      </w:tblPr>
      <w:tblGrid>
        <w:gridCol w:w="1361"/>
        <w:gridCol w:w="510"/>
        <w:gridCol w:w="1644"/>
        <w:gridCol w:w="1195"/>
        <w:gridCol w:w="1247"/>
        <w:gridCol w:w="964"/>
        <w:gridCol w:w="1304"/>
      </w:tblGrid>
      <w:tr w:rsidR="00484B88" w:rsidRPr="002C1E9A" w14:paraId="3EE93C15" w14:textId="77777777" w:rsidTr="00731CEB">
        <w:trPr>
          <w:trHeight w:val="528"/>
          <w:tblHeader/>
        </w:trPr>
        <w:tc>
          <w:tcPr>
            <w:tcW w:w="1361" w:type="dxa"/>
            <w:tcBorders>
              <w:top w:val="nil"/>
              <w:left w:val="nil"/>
              <w:bottom w:val="nil"/>
              <w:right w:val="nil"/>
            </w:tcBorders>
            <w:shd w:val="clear" w:color="000000" w:fill="142E3A"/>
            <w:noWrap/>
            <w:vAlign w:val="center"/>
            <w:hideMark/>
          </w:tcPr>
          <w:p w14:paraId="2F627AE2" w14:textId="77777777" w:rsidR="00484B88" w:rsidRPr="002C1E9A" w:rsidRDefault="00484B88" w:rsidP="00484B88">
            <w:pPr>
              <w:spacing w:before="0" w:after="0" w:line="240" w:lineRule="auto"/>
              <w:rPr>
                <w:rFonts w:ascii="Arial" w:hAnsi="Arial" w:cs="Arial"/>
                <w:b/>
                <w:bCs/>
                <w:color w:val="FFFFFF"/>
                <w:szCs w:val="20"/>
              </w:rPr>
            </w:pPr>
            <w:r w:rsidRPr="002C1E9A">
              <w:rPr>
                <w:rFonts w:ascii="Arial" w:hAnsi="Arial" w:cs="Arial"/>
                <w:b/>
                <w:bCs/>
                <w:color w:val="FFFFFF"/>
                <w:szCs w:val="20"/>
              </w:rPr>
              <w:t> Treatment</w:t>
            </w:r>
          </w:p>
        </w:tc>
        <w:tc>
          <w:tcPr>
            <w:tcW w:w="510" w:type="dxa"/>
            <w:tcBorders>
              <w:top w:val="nil"/>
              <w:left w:val="nil"/>
              <w:bottom w:val="nil"/>
              <w:right w:val="nil"/>
            </w:tcBorders>
            <w:shd w:val="clear" w:color="000000" w:fill="142E3A"/>
            <w:noWrap/>
            <w:vAlign w:val="center"/>
            <w:hideMark/>
          </w:tcPr>
          <w:p w14:paraId="7010FFE6" w14:textId="77777777" w:rsidR="00484B88" w:rsidRPr="002C1E9A" w:rsidRDefault="00484B88" w:rsidP="00484B88">
            <w:pPr>
              <w:spacing w:before="0" w:after="0" w:line="240" w:lineRule="auto"/>
              <w:jc w:val="center"/>
              <w:rPr>
                <w:rFonts w:ascii="Arial" w:hAnsi="Arial" w:cs="Arial"/>
                <w:b/>
                <w:bCs/>
                <w:color w:val="FFFFFF"/>
                <w:szCs w:val="20"/>
              </w:rPr>
            </w:pPr>
            <w:r w:rsidRPr="002C1E9A">
              <w:rPr>
                <w:rFonts w:ascii="Arial" w:hAnsi="Arial" w:cs="Arial"/>
                <w:b/>
                <w:bCs/>
                <w:color w:val="FFFFFF"/>
                <w:szCs w:val="20"/>
              </w:rPr>
              <w:t>N</w:t>
            </w:r>
          </w:p>
        </w:tc>
        <w:tc>
          <w:tcPr>
            <w:tcW w:w="1644" w:type="dxa"/>
            <w:tcBorders>
              <w:top w:val="nil"/>
              <w:left w:val="nil"/>
              <w:bottom w:val="nil"/>
              <w:right w:val="nil"/>
            </w:tcBorders>
            <w:shd w:val="clear" w:color="000000" w:fill="142E3A"/>
            <w:vAlign w:val="center"/>
            <w:hideMark/>
          </w:tcPr>
          <w:p w14:paraId="5736058D" w14:textId="5E075ACD" w:rsidR="00484B88" w:rsidRPr="002C1E9A" w:rsidRDefault="00484B88" w:rsidP="00484B88">
            <w:pPr>
              <w:spacing w:before="0" w:after="0" w:line="240" w:lineRule="auto"/>
              <w:rPr>
                <w:rFonts w:ascii="Arial" w:hAnsi="Arial" w:cs="Arial"/>
                <w:b/>
                <w:bCs/>
                <w:color w:val="FFFFFF"/>
                <w:szCs w:val="20"/>
              </w:rPr>
            </w:pPr>
            <w:r>
              <w:rPr>
                <w:rFonts w:ascii="Arial" w:hAnsi="Arial" w:cs="Arial"/>
                <w:b/>
                <w:bCs/>
                <w:color w:val="FFFFFF"/>
                <w:szCs w:val="20"/>
              </w:rPr>
              <w:t xml:space="preserve">Enrolled in </w:t>
            </w:r>
            <w:r w:rsidRPr="002C1E9A">
              <w:rPr>
                <w:rFonts w:ascii="Arial" w:hAnsi="Arial" w:cs="Arial"/>
                <w:b/>
                <w:bCs/>
                <w:color w:val="FFFFFF"/>
                <w:szCs w:val="20"/>
              </w:rPr>
              <w:t xml:space="preserve">economics </w:t>
            </w:r>
            <w:r w:rsidRPr="002C1E9A">
              <w:rPr>
                <w:rFonts w:ascii="Arial" w:hAnsi="Arial" w:cs="Arial"/>
                <w:bCs/>
                <w:color w:val="FFFFFF"/>
                <w:szCs w:val="20"/>
              </w:rPr>
              <w:t>(%)</w:t>
            </w:r>
          </w:p>
        </w:tc>
        <w:tc>
          <w:tcPr>
            <w:tcW w:w="1195" w:type="dxa"/>
            <w:tcBorders>
              <w:top w:val="nil"/>
              <w:left w:val="nil"/>
              <w:bottom w:val="nil"/>
              <w:right w:val="nil"/>
            </w:tcBorders>
            <w:shd w:val="clear" w:color="000000" w:fill="142E3A"/>
            <w:vAlign w:val="center"/>
            <w:hideMark/>
          </w:tcPr>
          <w:p w14:paraId="4E7FDABF" w14:textId="77777777" w:rsidR="00484B88" w:rsidRPr="002C1E9A" w:rsidRDefault="00484B88" w:rsidP="00484B88">
            <w:pPr>
              <w:spacing w:before="0" w:after="0" w:line="240" w:lineRule="auto"/>
              <w:rPr>
                <w:rFonts w:ascii="Arial" w:hAnsi="Arial" w:cs="Arial"/>
                <w:b/>
                <w:bCs/>
                <w:color w:val="FFFFFF"/>
                <w:szCs w:val="20"/>
              </w:rPr>
            </w:pPr>
            <w:r w:rsidRPr="002C1E9A">
              <w:rPr>
                <w:rFonts w:ascii="Arial" w:hAnsi="Arial" w:cs="Arial"/>
                <w:b/>
                <w:bCs/>
                <w:color w:val="FFFFFF"/>
                <w:szCs w:val="20"/>
              </w:rPr>
              <w:t xml:space="preserve">Difference </w:t>
            </w:r>
            <w:r w:rsidRPr="002C1E9A">
              <w:rPr>
                <w:rFonts w:ascii="Arial" w:hAnsi="Arial" w:cs="Arial"/>
                <w:bCs/>
                <w:color w:val="FFFFFF"/>
                <w:szCs w:val="20"/>
              </w:rPr>
              <w:t>(ppts)</w:t>
            </w:r>
          </w:p>
        </w:tc>
        <w:tc>
          <w:tcPr>
            <w:tcW w:w="1247" w:type="dxa"/>
            <w:tcBorders>
              <w:top w:val="nil"/>
              <w:left w:val="nil"/>
              <w:bottom w:val="nil"/>
              <w:right w:val="nil"/>
            </w:tcBorders>
            <w:shd w:val="clear" w:color="000000" w:fill="142E3A"/>
            <w:vAlign w:val="center"/>
            <w:hideMark/>
          </w:tcPr>
          <w:p w14:paraId="19F7BA24" w14:textId="77777777" w:rsidR="00484B88" w:rsidRPr="002C1E9A" w:rsidRDefault="00484B88" w:rsidP="00484B88">
            <w:pPr>
              <w:spacing w:before="0" w:after="0" w:line="240" w:lineRule="auto"/>
              <w:rPr>
                <w:rFonts w:ascii="Arial" w:hAnsi="Arial" w:cs="Arial"/>
                <w:b/>
                <w:bCs/>
                <w:color w:val="FFFFFF"/>
                <w:szCs w:val="20"/>
              </w:rPr>
            </w:pPr>
            <w:r w:rsidRPr="002C1E9A">
              <w:rPr>
                <w:rFonts w:ascii="Arial" w:hAnsi="Arial" w:cs="Arial"/>
                <w:b/>
                <w:bCs/>
                <w:color w:val="FFFFFF"/>
                <w:szCs w:val="20"/>
              </w:rPr>
              <w:t xml:space="preserve">95% CI </w:t>
            </w:r>
            <w:r w:rsidRPr="002C1E9A">
              <w:rPr>
                <w:rFonts w:ascii="Arial" w:hAnsi="Arial" w:cs="Arial"/>
                <w:b/>
                <w:bCs/>
                <w:color w:val="FFFFFF"/>
                <w:szCs w:val="20"/>
              </w:rPr>
              <w:br/>
            </w:r>
            <w:r w:rsidRPr="002C1E9A">
              <w:rPr>
                <w:rFonts w:ascii="Arial" w:hAnsi="Arial" w:cs="Arial"/>
                <w:bCs/>
                <w:color w:val="FFFFFF"/>
                <w:szCs w:val="20"/>
              </w:rPr>
              <w:t>(one-sided)</w:t>
            </w:r>
          </w:p>
        </w:tc>
        <w:tc>
          <w:tcPr>
            <w:tcW w:w="964" w:type="dxa"/>
            <w:tcBorders>
              <w:top w:val="nil"/>
              <w:left w:val="nil"/>
              <w:bottom w:val="nil"/>
              <w:right w:val="nil"/>
            </w:tcBorders>
            <w:shd w:val="clear" w:color="000000" w:fill="142E3A"/>
            <w:noWrap/>
            <w:vAlign w:val="center"/>
            <w:hideMark/>
          </w:tcPr>
          <w:p w14:paraId="4FACA801" w14:textId="77777777" w:rsidR="00484B88" w:rsidRPr="002C1E9A" w:rsidRDefault="00484B88" w:rsidP="00484B88">
            <w:pPr>
              <w:spacing w:before="0" w:after="0" w:line="240" w:lineRule="auto"/>
              <w:rPr>
                <w:rFonts w:ascii="Arial" w:hAnsi="Arial" w:cs="Arial"/>
                <w:b/>
                <w:bCs/>
                <w:color w:val="FFFFFF"/>
                <w:szCs w:val="20"/>
              </w:rPr>
            </w:pPr>
            <w:r w:rsidRPr="002C1E9A">
              <w:rPr>
                <w:rFonts w:ascii="Arial" w:hAnsi="Arial" w:cs="Arial"/>
                <w:b/>
                <w:bCs/>
                <w:color w:val="FFFFFF"/>
                <w:szCs w:val="20"/>
              </w:rPr>
              <w:t>p-value</w:t>
            </w:r>
          </w:p>
        </w:tc>
        <w:tc>
          <w:tcPr>
            <w:tcW w:w="1304" w:type="dxa"/>
            <w:tcBorders>
              <w:top w:val="nil"/>
              <w:left w:val="nil"/>
              <w:bottom w:val="nil"/>
              <w:right w:val="nil"/>
            </w:tcBorders>
            <w:shd w:val="clear" w:color="000000" w:fill="142E3A"/>
            <w:vAlign w:val="center"/>
            <w:hideMark/>
          </w:tcPr>
          <w:p w14:paraId="2DB61FA8" w14:textId="77777777" w:rsidR="00484B88" w:rsidRPr="002C1E9A" w:rsidRDefault="00484B88" w:rsidP="00484B88">
            <w:pPr>
              <w:spacing w:before="0" w:after="0" w:line="240" w:lineRule="auto"/>
              <w:rPr>
                <w:rFonts w:ascii="Arial" w:hAnsi="Arial" w:cs="Arial"/>
                <w:b/>
                <w:bCs/>
                <w:color w:val="FFFFFF"/>
                <w:szCs w:val="20"/>
              </w:rPr>
            </w:pPr>
            <w:r w:rsidRPr="002C1E9A">
              <w:rPr>
                <w:rFonts w:ascii="Arial" w:hAnsi="Arial" w:cs="Arial"/>
                <w:b/>
                <w:bCs/>
                <w:color w:val="FFFFFF"/>
                <w:szCs w:val="20"/>
              </w:rPr>
              <w:t xml:space="preserve">Standard error </w:t>
            </w:r>
            <w:r w:rsidRPr="002C1E9A">
              <w:rPr>
                <w:rFonts w:ascii="Arial" w:hAnsi="Arial" w:cs="Arial"/>
                <w:bCs/>
                <w:color w:val="FFFFFF"/>
                <w:szCs w:val="20"/>
              </w:rPr>
              <w:t>(ppts)</w:t>
            </w:r>
          </w:p>
        </w:tc>
      </w:tr>
      <w:tr w:rsidR="00484B88" w:rsidRPr="002C1E9A" w14:paraId="01D836E0" w14:textId="77777777" w:rsidTr="00731CEB">
        <w:trPr>
          <w:trHeight w:val="276"/>
          <w:tblHeader/>
        </w:trPr>
        <w:tc>
          <w:tcPr>
            <w:tcW w:w="1361" w:type="dxa"/>
            <w:tcBorders>
              <w:top w:val="nil"/>
              <w:left w:val="nil"/>
              <w:bottom w:val="nil"/>
              <w:right w:val="nil"/>
            </w:tcBorders>
            <w:shd w:val="clear" w:color="000000" w:fill="F2F2F2"/>
            <w:noWrap/>
            <w:vAlign w:val="center"/>
            <w:hideMark/>
          </w:tcPr>
          <w:p w14:paraId="14B2D97C" w14:textId="77777777" w:rsidR="00484B88" w:rsidRPr="002C1E9A" w:rsidRDefault="00484B88" w:rsidP="00484B88">
            <w:pPr>
              <w:spacing w:before="0" w:after="0" w:line="240" w:lineRule="auto"/>
              <w:rPr>
                <w:rFonts w:ascii="Arial" w:hAnsi="Arial" w:cs="Arial"/>
                <w:color w:val="000000"/>
                <w:szCs w:val="20"/>
              </w:rPr>
            </w:pPr>
            <w:r w:rsidRPr="002C1E9A">
              <w:rPr>
                <w:rFonts w:ascii="Arial" w:hAnsi="Arial" w:cs="Arial"/>
                <w:color w:val="000000"/>
                <w:szCs w:val="20"/>
              </w:rPr>
              <w:t xml:space="preserve">Control </w:t>
            </w:r>
          </w:p>
        </w:tc>
        <w:tc>
          <w:tcPr>
            <w:tcW w:w="510" w:type="dxa"/>
            <w:tcBorders>
              <w:top w:val="nil"/>
              <w:left w:val="nil"/>
              <w:bottom w:val="nil"/>
              <w:right w:val="nil"/>
            </w:tcBorders>
            <w:shd w:val="clear" w:color="000000" w:fill="F2F2F2"/>
            <w:noWrap/>
            <w:vAlign w:val="center"/>
            <w:hideMark/>
          </w:tcPr>
          <w:p w14:paraId="2C4E1415" w14:textId="21DA92B7" w:rsidR="00484B88" w:rsidRPr="002C1E9A" w:rsidRDefault="00484B88" w:rsidP="00484B88">
            <w:pPr>
              <w:spacing w:before="0" w:after="0" w:line="240" w:lineRule="auto"/>
              <w:jc w:val="right"/>
              <w:rPr>
                <w:rFonts w:ascii="Arial" w:hAnsi="Arial" w:cs="Arial"/>
                <w:color w:val="000000"/>
                <w:szCs w:val="20"/>
              </w:rPr>
            </w:pPr>
            <w:r>
              <w:rPr>
                <w:rFonts w:ascii="Arial" w:hAnsi="Arial" w:cs="Arial"/>
                <w:color w:val="000000"/>
                <w:szCs w:val="20"/>
              </w:rPr>
              <w:t>33</w:t>
            </w:r>
          </w:p>
        </w:tc>
        <w:tc>
          <w:tcPr>
            <w:tcW w:w="1644" w:type="dxa"/>
            <w:tcBorders>
              <w:top w:val="nil"/>
              <w:left w:val="nil"/>
              <w:bottom w:val="nil"/>
              <w:right w:val="nil"/>
            </w:tcBorders>
            <w:shd w:val="clear" w:color="000000" w:fill="F2F2F2"/>
            <w:noWrap/>
            <w:vAlign w:val="center"/>
            <w:hideMark/>
          </w:tcPr>
          <w:p w14:paraId="4A653FA5" w14:textId="521DDBA0" w:rsidR="00484B88" w:rsidRPr="002C1E9A" w:rsidRDefault="00484B88" w:rsidP="00484B88">
            <w:pPr>
              <w:spacing w:before="0" w:after="0" w:line="240" w:lineRule="auto"/>
              <w:jc w:val="right"/>
              <w:rPr>
                <w:rFonts w:ascii="Arial" w:hAnsi="Arial" w:cs="Arial"/>
                <w:color w:val="000000"/>
                <w:szCs w:val="20"/>
              </w:rPr>
            </w:pPr>
            <w:r>
              <w:rPr>
                <w:rFonts w:ascii="Arial" w:hAnsi="Arial" w:cs="Arial"/>
                <w:color w:val="000000"/>
                <w:szCs w:val="20"/>
              </w:rPr>
              <w:t>14.9%</w:t>
            </w:r>
          </w:p>
        </w:tc>
        <w:tc>
          <w:tcPr>
            <w:tcW w:w="1195" w:type="dxa"/>
            <w:tcBorders>
              <w:top w:val="nil"/>
              <w:left w:val="nil"/>
              <w:bottom w:val="nil"/>
              <w:right w:val="nil"/>
            </w:tcBorders>
            <w:shd w:val="clear" w:color="000000" w:fill="F2F2F2"/>
            <w:noWrap/>
            <w:hideMark/>
          </w:tcPr>
          <w:p w14:paraId="29478ADD" w14:textId="5A68B3DB" w:rsidR="00484B88" w:rsidRPr="002C1E9A" w:rsidRDefault="00484B88" w:rsidP="00484B88">
            <w:pPr>
              <w:spacing w:before="0" w:after="0" w:line="240" w:lineRule="auto"/>
              <w:rPr>
                <w:rFonts w:ascii="Arial" w:hAnsi="Arial" w:cs="Arial"/>
                <w:color w:val="3F3F3F"/>
                <w:szCs w:val="20"/>
              </w:rPr>
            </w:pPr>
            <w:r>
              <w:rPr>
                <w:rFonts w:ascii="Arial" w:hAnsi="Arial" w:cs="Arial"/>
                <w:color w:val="000000"/>
                <w:szCs w:val="20"/>
              </w:rPr>
              <w:t> </w:t>
            </w:r>
          </w:p>
        </w:tc>
        <w:tc>
          <w:tcPr>
            <w:tcW w:w="1247" w:type="dxa"/>
            <w:tcBorders>
              <w:top w:val="nil"/>
              <w:left w:val="nil"/>
              <w:bottom w:val="nil"/>
              <w:right w:val="nil"/>
            </w:tcBorders>
            <w:shd w:val="clear" w:color="000000" w:fill="F2F2F2"/>
            <w:vAlign w:val="center"/>
            <w:hideMark/>
          </w:tcPr>
          <w:p w14:paraId="38A705AB" w14:textId="180EDD9E" w:rsidR="00484B88" w:rsidRPr="002C1E9A" w:rsidRDefault="00484B88" w:rsidP="00484B88">
            <w:pPr>
              <w:spacing w:before="0" w:after="0" w:line="240" w:lineRule="auto"/>
              <w:rPr>
                <w:rFonts w:ascii="Arial" w:hAnsi="Arial" w:cs="Arial"/>
                <w:color w:val="000000"/>
                <w:szCs w:val="20"/>
              </w:rPr>
            </w:pPr>
            <w:r>
              <w:rPr>
                <w:rFonts w:ascii="Arial" w:hAnsi="Arial" w:cs="Arial"/>
                <w:color w:val="000000"/>
                <w:szCs w:val="20"/>
              </w:rPr>
              <w:t> </w:t>
            </w:r>
          </w:p>
        </w:tc>
        <w:tc>
          <w:tcPr>
            <w:tcW w:w="964" w:type="dxa"/>
            <w:tcBorders>
              <w:top w:val="nil"/>
              <w:left w:val="nil"/>
              <w:bottom w:val="nil"/>
              <w:right w:val="nil"/>
            </w:tcBorders>
            <w:shd w:val="clear" w:color="000000" w:fill="F2F2F2"/>
            <w:noWrap/>
            <w:hideMark/>
          </w:tcPr>
          <w:p w14:paraId="7A915299" w14:textId="1DF2829E" w:rsidR="00484B88" w:rsidRPr="002C1E9A" w:rsidRDefault="00484B88" w:rsidP="00484B88">
            <w:pPr>
              <w:spacing w:before="0" w:after="0" w:line="240" w:lineRule="auto"/>
              <w:rPr>
                <w:rFonts w:ascii="Arial" w:hAnsi="Arial" w:cs="Arial"/>
                <w:color w:val="3F3F3F"/>
                <w:szCs w:val="20"/>
              </w:rPr>
            </w:pPr>
            <w:r>
              <w:rPr>
                <w:rFonts w:ascii="Arial" w:hAnsi="Arial" w:cs="Arial"/>
                <w:color w:val="000000"/>
                <w:szCs w:val="20"/>
              </w:rPr>
              <w:t> </w:t>
            </w:r>
          </w:p>
        </w:tc>
        <w:tc>
          <w:tcPr>
            <w:tcW w:w="1304" w:type="dxa"/>
            <w:tcBorders>
              <w:top w:val="nil"/>
              <w:left w:val="nil"/>
              <w:bottom w:val="nil"/>
              <w:right w:val="nil"/>
            </w:tcBorders>
            <w:shd w:val="clear" w:color="000000" w:fill="F2F2F2"/>
            <w:noWrap/>
            <w:hideMark/>
          </w:tcPr>
          <w:p w14:paraId="341AC3D9" w14:textId="6BC4B57D" w:rsidR="00484B88" w:rsidRPr="002C1E9A" w:rsidRDefault="00484B88" w:rsidP="00484B88">
            <w:pPr>
              <w:spacing w:before="0" w:after="0" w:line="240" w:lineRule="auto"/>
              <w:rPr>
                <w:rFonts w:ascii="Arial" w:hAnsi="Arial" w:cs="Arial"/>
                <w:color w:val="3F3F3F"/>
                <w:szCs w:val="20"/>
              </w:rPr>
            </w:pPr>
            <w:r>
              <w:rPr>
                <w:rFonts w:ascii="Arial" w:hAnsi="Arial" w:cs="Arial"/>
                <w:color w:val="000000"/>
                <w:szCs w:val="20"/>
              </w:rPr>
              <w:t> </w:t>
            </w:r>
          </w:p>
        </w:tc>
      </w:tr>
      <w:tr w:rsidR="00484B88" w:rsidRPr="002C1E9A" w14:paraId="598A3EA3" w14:textId="77777777" w:rsidTr="00731CEB">
        <w:trPr>
          <w:trHeight w:val="276"/>
          <w:tblHeader/>
        </w:trPr>
        <w:tc>
          <w:tcPr>
            <w:tcW w:w="1361" w:type="dxa"/>
            <w:tcBorders>
              <w:top w:val="nil"/>
              <w:left w:val="nil"/>
              <w:bottom w:val="nil"/>
              <w:right w:val="nil"/>
            </w:tcBorders>
            <w:shd w:val="clear" w:color="000000" w:fill="F2F2F2"/>
            <w:noWrap/>
            <w:vAlign w:val="center"/>
            <w:hideMark/>
          </w:tcPr>
          <w:p w14:paraId="5EBDD716" w14:textId="77777777" w:rsidR="00484B88" w:rsidRPr="002C1E9A" w:rsidRDefault="00484B88" w:rsidP="00484B88">
            <w:pPr>
              <w:spacing w:before="0" w:after="0" w:line="240" w:lineRule="auto"/>
              <w:rPr>
                <w:rFonts w:ascii="Arial" w:hAnsi="Arial" w:cs="Arial"/>
                <w:color w:val="000000"/>
                <w:szCs w:val="20"/>
              </w:rPr>
            </w:pPr>
            <w:r w:rsidRPr="002C1E9A">
              <w:rPr>
                <w:rFonts w:ascii="Arial" w:hAnsi="Arial" w:cs="Arial"/>
                <w:color w:val="000000"/>
                <w:szCs w:val="20"/>
              </w:rPr>
              <w:t xml:space="preserve">Mentoring </w:t>
            </w:r>
          </w:p>
        </w:tc>
        <w:tc>
          <w:tcPr>
            <w:tcW w:w="510" w:type="dxa"/>
            <w:tcBorders>
              <w:top w:val="nil"/>
              <w:left w:val="nil"/>
              <w:bottom w:val="nil"/>
              <w:right w:val="nil"/>
            </w:tcBorders>
            <w:shd w:val="clear" w:color="000000" w:fill="F2F2F2"/>
            <w:noWrap/>
            <w:vAlign w:val="center"/>
            <w:hideMark/>
          </w:tcPr>
          <w:p w14:paraId="33F14B2D" w14:textId="0C3E7345" w:rsidR="00484B88" w:rsidRPr="002C1E9A" w:rsidRDefault="00484B88" w:rsidP="00484B88">
            <w:pPr>
              <w:spacing w:before="0" w:after="0" w:line="240" w:lineRule="auto"/>
              <w:jc w:val="right"/>
              <w:rPr>
                <w:rFonts w:ascii="Arial" w:hAnsi="Arial" w:cs="Arial"/>
                <w:color w:val="000000"/>
                <w:szCs w:val="20"/>
              </w:rPr>
            </w:pPr>
            <w:r>
              <w:rPr>
                <w:rFonts w:ascii="Arial" w:hAnsi="Arial" w:cs="Arial"/>
                <w:color w:val="000000"/>
                <w:szCs w:val="20"/>
              </w:rPr>
              <w:t>55</w:t>
            </w:r>
          </w:p>
        </w:tc>
        <w:tc>
          <w:tcPr>
            <w:tcW w:w="1644" w:type="dxa"/>
            <w:tcBorders>
              <w:top w:val="nil"/>
              <w:left w:val="nil"/>
              <w:bottom w:val="nil"/>
              <w:right w:val="nil"/>
            </w:tcBorders>
            <w:shd w:val="clear" w:color="000000" w:fill="F2F2F2"/>
            <w:noWrap/>
            <w:vAlign w:val="center"/>
            <w:hideMark/>
          </w:tcPr>
          <w:p w14:paraId="4ADDC235" w14:textId="641685B7" w:rsidR="00484B88" w:rsidRPr="002C1E9A" w:rsidRDefault="00484B88" w:rsidP="00484B88">
            <w:pPr>
              <w:spacing w:before="0" w:after="0" w:line="240" w:lineRule="auto"/>
              <w:jc w:val="right"/>
              <w:rPr>
                <w:rFonts w:ascii="Arial" w:hAnsi="Arial" w:cs="Arial"/>
                <w:color w:val="000000"/>
                <w:szCs w:val="20"/>
              </w:rPr>
            </w:pPr>
            <w:r>
              <w:rPr>
                <w:rFonts w:ascii="Arial" w:hAnsi="Arial" w:cs="Arial"/>
                <w:color w:val="000000"/>
                <w:szCs w:val="20"/>
              </w:rPr>
              <w:t>16.3%</w:t>
            </w:r>
          </w:p>
        </w:tc>
        <w:tc>
          <w:tcPr>
            <w:tcW w:w="1195" w:type="dxa"/>
            <w:tcBorders>
              <w:top w:val="nil"/>
              <w:left w:val="nil"/>
              <w:bottom w:val="nil"/>
              <w:right w:val="nil"/>
            </w:tcBorders>
            <w:shd w:val="clear" w:color="000000" w:fill="F2F2F2"/>
            <w:noWrap/>
            <w:vAlign w:val="center"/>
            <w:hideMark/>
          </w:tcPr>
          <w:p w14:paraId="38704252" w14:textId="68AF8067" w:rsidR="00484B88" w:rsidRPr="002C1E9A" w:rsidRDefault="00484B88" w:rsidP="00484B88">
            <w:pPr>
              <w:spacing w:before="0" w:after="0" w:line="240" w:lineRule="auto"/>
              <w:jc w:val="right"/>
              <w:rPr>
                <w:rFonts w:ascii="Arial" w:hAnsi="Arial" w:cs="Arial"/>
                <w:color w:val="000000"/>
                <w:szCs w:val="20"/>
              </w:rPr>
            </w:pPr>
            <w:r>
              <w:rPr>
                <w:rFonts w:ascii="Arial" w:hAnsi="Arial" w:cs="Arial"/>
                <w:color w:val="000000"/>
                <w:szCs w:val="20"/>
              </w:rPr>
              <w:t>1.4%</w:t>
            </w:r>
          </w:p>
        </w:tc>
        <w:tc>
          <w:tcPr>
            <w:tcW w:w="1247" w:type="dxa"/>
            <w:tcBorders>
              <w:top w:val="nil"/>
              <w:left w:val="nil"/>
              <w:bottom w:val="nil"/>
              <w:right w:val="nil"/>
            </w:tcBorders>
            <w:shd w:val="clear" w:color="000000" w:fill="F2F2F2"/>
            <w:vAlign w:val="center"/>
            <w:hideMark/>
          </w:tcPr>
          <w:p w14:paraId="45AD202D" w14:textId="6AFD34F5" w:rsidR="00484B88" w:rsidRPr="002C1E9A" w:rsidRDefault="00484B88" w:rsidP="00484B88">
            <w:pPr>
              <w:spacing w:before="0" w:after="0" w:line="240" w:lineRule="auto"/>
              <w:rPr>
                <w:rFonts w:ascii="Arial" w:hAnsi="Arial" w:cs="Arial"/>
                <w:color w:val="000000"/>
                <w:szCs w:val="20"/>
              </w:rPr>
            </w:pPr>
            <w:r w:rsidRPr="00484B88">
              <w:rPr>
                <w:rFonts w:ascii="Arial" w:hAnsi="Arial" w:cs="Arial"/>
                <w:color w:val="000000"/>
                <w:sz w:val="18"/>
                <w:szCs w:val="20"/>
              </w:rPr>
              <w:t>(-12.0%, inf)</w:t>
            </w:r>
          </w:p>
        </w:tc>
        <w:tc>
          <w:tcPr>
            <w:tcW w:w="964" w:type="dxa"/>
            <w:tcBorders>
              <w:top w:val="nil"/>
              <w:left w:val="nil"/>
              <w:bottom w:val="nil"/>
              <w:right w:val="nil"/>
            </w:tcBorders>
            <w:shd w:val="clear" w:color="000000" w:fill="F2F2F2"/>
            <w:noWrap/>
            <w:vAlign w:val="center"/>
            <w:hideMark/>
          </w:tcPr>
          <w:p w14:paraId="1DB836C4" w14:textId="154182E4" w:rsidR="00484B88" w:rsidRPr="002C1E9A" w:rsidRDefault="00484B88" w:rsidP="00484B88">
            <w:pPr>
              <w:spacing w:before="0" w:after="0" w:line="240" w:lineRule="auto"/>
              <w:jc w:val="right"/>
              <w:rPr>
                <w:rFonts w:ascii="Arial" w:hAnsi="Arial" w:cs="Arial"/>
                <w:color w:val="000000"/>
                <w:szCs w:val="20"/>
              </w:rPr>
            </w:pPr>
            <w:r>
              <w:rPr>
                <w:rFonts w:ascii="Arial" w:hAnsi="Arial" w:cs="Arial"/>
                <w:color w:val="000000"/>
                <w:szCs w:val="20"/>
              </w:rPr>
              <w:t>0.432</w:t>
            </w:r>
          </w:p>
        </w:tc>
        <w:tc>
          <w:tcPr>
            <w:tcW w:w="1304" w:type="dxa"/>
            <w:tcBorders>
              <w:top w:val="nil"/>
              <w:left w:val="nil"/>
              <w:bottom w:val="nil"/>
              <w:right w:val="nil"/>
            </w:tcBorders>
            <w:shd w:val="clear" w:color="000000" w:fill="F2F2F2"/>
            <w:noWrap/>
            <w:vAlign w:val="center"/>
            <w:hideMark/>
          </w:tcPr>
          <w:p w14:paraId="3F19BD91" w14:textId="7A31A8E1" w:rsidR="00484B88" w:rsidRPr="002C1E9A" w:rsidRDefault="00484B88" w:rsidP="00484B88">
            <w:pPr>
              <w:spacing w:before="0" w:after="0" w:line="240" w:lineRule="auto"/>
              <w:jc w:val="right"/>
              <w:rPr>
                <w:rFonts w:ascii="Arial" w:hAnsi="Arial" w:cs="Arial"/>
                <w:color w:val="000000"/>
                <w:szCs w:val="20"/>
              </w:rPr>
            </w:pPr>
            <w:r>
              <w:rPr>
                <w:rFonts w:ascii="Arial" w:hAnsi="Arial" w:cs="Arial"/>
                <w:color w:val="000000"/>
                <w:szCs w:val="20"/>
              </w:rPr>
              <w:t>8.0%</w:t>
            </w:r>
          </w:p>
        </w:tc>
      </w:tr>
    </w:tbl>
    <w:p w14:paraId="62E6EC57" w14:textId="75219AAC" w:rsidR="00484B88" w:rsidRPr="004A1EBF" w:rsidRDefault="00484B88" w:rsidP="004A1EBF">
      <w:pPr>
        <w:pStyle w:val="SourceNotesText"/>
        <w:rPr>
          <w:sz w:val="16"/>
        </w:rPr>
      </w:pPr>
      <w:r w:rsidRPr="004A1EBF">
        <w:rPr>
          <w:sz w:val="16"/>
        </w:rPr>
        <w:t>Note: Covariate-adjusted OLS regression, where covariate=baseline likelihood to continue studying economics next year, one-sided test with HC2 robust standard errors.</w:t>
      </w:r>
    </w:p>
    <w:p w14:paraId="19267D16" w14:textId="539CA4C1" w:rsidR="00B85FF5" w:rsidRDefault="00BF743C" w:rsidP="00BF743C">
      <w:pPr>
        <w:pStyle w:val="FigureHeading"/>
        <w:numPr>
          <w:ilvl w:val="0"/>
          <w:numId w:val="0"/>
        </w:numPr>
        <w:ind w:left="1430" w:hanging="720"/>
      </w:pPr>
      <w:r>
        <w:t xml:space="preserve">Figure 19: </w:t>
      </w:r>
      <w:r w:rsidR="00B85FF5">
        <w:t>Economics enrolment by subject</w:t>
      </w:r>
      <w:r w:rsidR="00731AAA">
        <w:t>, 2019 and 2020</w:t>
      </w:r>
    </w:p>
    <w:tbl>
      <w:tblPr>
        <w:tblW w:w="8208" w:type="dxa"/>
        <w:tblLook w:val="04A0" w:firstRow="1" w:lastRow="0" w:firstColumn="1" w:lastColumn="0" w:noHBand="0" w:noVBand="1"/>
        <w:tblCaption w:val="Figure 19: Economics enrolment by subject, 2019 and 2020"/>
      </w:tblPr>
      <w:tblGrid>
        <w:gridCol w:w="964"/>
        <w:gridCol w:w="1304"/>
        <w:gridCol w:w="960"/>
        <w:gridCol w:w="960"/>
        <w:gridCol w:w="960"/>
        <w:gridCol w:w="1020"/>
        <w:gridCol w:w="1020"/>
        <w:gridCol w:w="1020"/>
      </w:tblGrid>
      <w:tr w:rsidR="00731AAA" w:rsidRPr="00B85FF5" w14:paraId="5E06CCBD" w14:textId="77777777" w:rsidTr="00731CEB">
        <w:trPr>
          <w:trHeight w:val="288"/>
          <w:tblHeader/>
        </w:trPr>
        <w:tc>
          <w:tcPr>
            <w:tcW w:w="964" w:type="dxa"/>
            <w:tcBorders>
              <w:top w:val="nil"/>
              <w:left w:val="nil"/>
              <w:bottom w:val="nil"/>
              <w:right w:val="nil"/>
            </w:tcBorders>
            <w:shd w:val="clear" w:color="000000" w:fill="142E3A"/>
            <w:vAlign w:val="center"/>
            <w:hideMark/>
          </w:tcPr>
          <w:p w14:paraId="74BE9530" w14:textId="77777777" w:rsidR="00731AAA" w:rsidRPr="00B85FF5" w:rsidRDefault="00731AAA" w:rsidP="00B64A14">
            <w:pPr>
              <w:keepNext/>
              <w:spacing w:before="0" w:after="0" w:line="240" w:lineRule="auto"/>
              <w:rPr>
                <w:rFonts w:ascii="Arial" w:hAnsi="Arial" w:cs="Arial"/>
                <w:b/>
                <w:bCs/>
                <w:color w:val="FFFFFF"/>
                <w:szCs w:val="20"/>
              </w:rPr>
            </w:pPr>
            <w:r w:rsidRPr="00B85FF5">
              <w:rPr>
                <w:rFonts w:ascii="Arial" w:hAnsi="Arial" w:cs="Arial"/>
                <w:b/>
                <w:bCs/>
                <w:color w:val="FFFFFF"/>
                <w:szCs w:val="20"/>
              </w:rPr>
              <w:t> </w:t>
            </w:r>
          </w:p>
        </w:tc>
        <w:tc>
          <w:tcPr>
            <w:tcW w:w="1304" w:type="dxa"/>
            <w:tcBorders>
              <w:top w:val="nil"/>
              <w:left w:val="nil"/>
              <w:bottom w:val="nil"/>
              <w:right w:val="nil"/>
            </w:tcBorders>
            <w:shd w:val="clear" w:color="000000" w:fill="142E3A"/>
          </w:tcPr>
          <w:p w14:paraId="3B1F9CDA" w14:textId="77777777" w:rsidR="00731AAA" w:rsidRPr="00B85FF5" w:rsidRDefault="00731AAA" w:rsidP="00B64A14">
            <w:pPr>
              <w:keepNext/>
              <w:spacing w:before="0" w:after="0" w:line="240" w:lineRule="auto"/>
              <w:rPr>
                <w:rFonts w:ascii="Arial" w:hAnsi="Arial" w:cs="Arial"/>
                <w:b/>
                <w:bCs/>
                <w:color w:val="FFFFFF"/>
                <w:szCs w:val="20"/>
              </w:rPr>
            </w:pPr>
          </w:p>
        </w:tc>
        <w:tc>
          <w:tcPr>
            <w:tcW w:w="960" w:type="dxa"/>
            <w:tcBorders>
              <w:top w:val="nil"/>
              <w:left w:val="nil"/>
              <w:bottom w:val="nil"/>
              <w:right w:val="nil"/>
            </w:tcBorders>
            <w:shd w:val="clear" w:color="000000" w:fill="142E3A"/>
            <w:vAlign w:val="center"/>
            <w:hideMark/>
          </w:tcPr>
          <w:p w14:paraId="4E6E5B68" w14:textId="7E0FB1A9" w:rsidR="00731AAA" w:rsidRPr="00B85FF5" w:rsidRDefault="00731AAA" w:rsidP="00B64A14">
            <w:pPr>
              <w:keepNext/>
              <w:spacing w:before="0" w:after="0" w:line="240" w:lineRule="auto"/>
              <w:rPr>
                <w:rFonts w:ascii="Arial" w:hAnsi="Arial" w:cs="Arial"/>
                <w:b/>
                <w:bCs/>
                <w:color w:val="FFFFFF"/>
                <w:szCs w:val="20"/>
              </w:rPr>
            </w:pPr>
            <w:r w:rsidRPr="00B85FF5">
              <w:rPr>
                <w:rFonts w:ascii="Arial" w:hAnsi="Arial" w:cs="Arial"/>
                <w:b/>
                <w:bCs/>
                <w:color w:val="FFFFFF"/>
                <w:szCs w:val="20"/>
              </w:rPr>
              <w:t>Micro</w:t>
            </w:r>
            <w:r>
              <w:rPr>
                <w:rFonts w:ascii="Arial" w:hAnsi="Arial" w:cs="Arial"/>
                <w:b/>
                <w:bCs/>
                <w:color w:val="FFFFFF"/>
                <w:szCs w:val="20"/>
              </w:rPr>
              <w:t xml:space="preserve"> </w:t>
            </w:r>
            <w:r w:rsidRPr="00B85FF5">
              <w:rPr>
                <w:rFonts w:ascii="Arial" w:hAnsi="Arial" w:cs="Arial"/>
                <w:b/>
                <w:bCs/>
                <w:color w:val="FFFFFF"/>
                <w:szCs w:val="20"/>
              </w:rPr>
              <w:t>1</w:t>
            </w:r>
          </w:p>
        </w:tc>
        <w:tc>
          <w:tcPr>
            <w:tcW w:w="960" w:type="dxa"/>
            <w:tcBorders>
              <w:top w:val="nil"/>
              <w:left w:val="nil"/>
              <w:bottom w:val="nil"/>
              <w:right w:val="nil"/>
            </w:tcBorders>
            <w:shd w:val="clear" w:color="000000" w:fill="142E3A"/>
            <w:vAlign w:val="center"/>
            <w:hideMark/>
          </w:tcPr>
          <w:p w14:paraId="7AB5801E" w14:textId="2A7AD084" w:rsidR="00731AAA" w:rsidRPr="00B85FF5" w:rsidRDefault="00731AAA" w:rsidP="00B64A14">
            <w:pPr>
              <w:keepNext/>
              <w:spacing w:before="0" w:after="0" w:line="240" w:lineRule="auto"/>
              <w:rPr>
                <w:rFonts w:ascii="Arial" w:hAnsi="Arial" w:cs="Arial"/>
                <w:b/>
                <w:bCs/>
                <w:color w:val="FFFFFF"/>
                <w:szCs w:val="20"/>
              </w:rPr>
            </w:pPr>
            <w:r w:rsidRPr="00B85FF5">
              <w:rPr>
                <w:rFonts w:ascii="Arial" w:hAnsi="Arial" w:cs="Arial"/>
                <w:b/>
                <w:bCs/>
                <w:color w:val="FFFFFF"/>
                <w:szCs w:val="20"/>
              </w:rPr>
              <w:t>Micro</w:t>
            </w:r>
            <w:r>
              <w:rPr>
                <w:rFonts w:ascii="Arial" w:hAnsi="Arial" w:cs="Arial"/>
                <w:b/>
                <w:bCs/>
                <w:color w:val="FFFFFF"/>
                <w:szCs w:val="20"/>
              </w:rPr>
              <w:t xml:space="preserve"> </w:t>
            </w:r>
            <w:r w:rsidRPr="00B85FF5">
              <w:rPr>
                <w:rFonts w:ascii="Arial" w:hAnsi="Arial" w:cs="Arial"/>
                <w:b/>
                <w:bCs/>
                <w:color w:val="FFFFFF"/>
                <w:szCs w:val="20"/>
              </w:rPr>
              <w:t>2</w:t>
            </w:r>
          </w:p>
        </w:tc>
        <w:tc>
          <w:tcPr>
            <w:tcW w:w="960" w:type="dxa"/>
            <w:tcBorders>
              <w:top w:val="nil"/>
              <w:left w:val="nil"/>
              <w:bottom w:val="nil"/>
              <w:right w:val="nil"/>
            </w:tcBorders>
            <w:shd w:val="clear" w:color="000000" w:fill="142E3A"/>
            <w:vAlign w:val="center"/>
            <w:hideMark/>
          </w:tcPr>
          <w:p w14:paraId="2000E8D9" w14:textId="3272DEFE" w:rsidR="00731AAA" w:rsidRPr="00B85FF5" w:rsidRDefault="00731AAA" w:rsidP="00B64A14">
            <w:pPr>
              <w:keepNext/>
              <w:spacing w:before="0" w:after="0" w:line="240" w:lineRule="auto"/>
              <w:rPr>
                <w:rFonts w:ascii="Arial" w:hAnsi="Arial" w:cs="Arial"/>
                <w:b/>
                <w:bCs/>
                <w:color w:val="FFFFFF"/>
                <w:szCs w:val="20"/>
              </w:rPr>
            </w:pPr>
            <w:r w:rsidRPr="00B85FF5">
              <w:rPr>
                <w:rFonts w:ascii="Arial" w:hAnsi="Arial" w:cs="Arial"/>
                <w:b/>
                <w:bCs/>
                <w:color w:val="FFFFFF"/>
                <w:szCs w:val="20"/>
              </w:rPr>
              <w:t>Micro</w:t>
            </w:r>
            <w:r>
              <w:rPr>
                <w:rFonts w:ascii="Arial" w:hAnsi="Arial" w:cs="Arial"/>
                <w:b/>
                <w:bCs/>
                <w:color w:val="FFFFFF"/>
                <w:szCs w:val="20"/>
              </w:rPr>
              <w:t xml:space="preserve"> </w:t>
            </w:r>
            <w:r w:rsidRPr="00B85FF5">
              <w:rPr>
                <w:rFonts w:ascii="Arial" w:hAnsi="Arial" w:cs="Arial"/>
                <w:b/>
                <w:bCs/>
                <w:color w:val="FFFFFF"/>
                <w:szCs w:val="20"/>
              </w:rPr>
              <w:t>3</w:t>
            </w:r>
          </w:p>
        </w:tc>
        <w:tc>
          <w:tcPr>
            <w:tcW w:w="1020" w:type="dxa"/>
            <w:tcBorders>
              <w:top w:val="nil"/>
              <w:left w:val="nil"/>
              <w:bottom w:val="nil"/>
              <w:right w:val="nil"/>
            </w:tcBorders>
            <w:shd w:val="clear" w:color="000000" w:fill="142E3A"/>
            <w:vAlign w:val="center"/>
            <w:hideMark/>
          </w:tcPr>
          <w:p w14:paraId="5DF1A0AD" w14:textId="2CE479BC" w:rsidR="00731AAA" w:rsidRPr="00B85FF5" w:rsidRDefault="00731AAA" w:rsidP="00B64A14">
            <w:pPr>
              <w:keepNext/>
              <w:spacing w:before="0" w:after="0" w:line="240" w:lineRule="auto"/>
              <w:rPr>
                <w:rFonts w:ascii="Arial" w:hAnsi="Arial" w:cs="Arial"/>
                <w:b/>
                <w:bCs/>
                <w:color w:val="FFFFFF"/>
                <w:szCs w:val="20"/>
              </w:rPr>
            </w:pPr>
            <w:r w:rsidRPr="00B85FF5">
              <w:rPr>
                <w:rFonts w:ascii="Arial" w:hAnsi="Arial" w:cs="Arial"/>
                <w:b/>
                <w:bCs/>
                <w:color w:val="FFFFFF"/>
                <w:szCs w:val="20"/>
              </w:rPr>
              <w:t>Macro</w:t>
            </w:r>
            <w:r>
              <w:rPr>
                <w:rFonts w:ascii="Arial" w:hAnsi="Arial" w:cs="Arial"/>
                <w:b/>
                <w:bCs/>
                <w:color w:val="FFFFFF"/>
                <w:szCs w:val="20"/>
              </w:rPr>
              <w:t xml:space="preserve"> </w:t>
            </w:r>
            <w:r w:rsidRPr="00B85FF5">
              <w:rPr>
                <w:rFonts w:ascii="Arial" w:hAnsi="Arial" w:cs="Arial"/>
                <w:b/>
                <w:bCs/>
                <w:color w:val="FFFFFF"/>
                <w:szCs w:val="20"/>
              </w:rPr>
              <w:t>1</w:t>
            </w:r>
          </w:p>
        </w:tc>
        <w:tc>
          <w:tcPr>
            <w:tcW w:w="1020" w:type="dxa"/>
            <w:tcBorders>
              <w:top w:val="nil"/>
              <w:left w:val="nil"/>
              <w:bottom w:val="nil"/>
              <w:right w:val="nil"/>
            </w:tcBorders>
            <w:shd w:val="clear" w:color="000000" w:fill="142E3A"/>
            <w:vAlign w:val="center"/>
            <w:hideMark/>
          </w:tcPr>
          <w:p w14:paraId="19ADF081" w14:textId="41B14B99" w:rsidR="00731AAA" w:rsidRPr="00B85FF5" w:rsidRDefault="00731AAA" w:rsidP="00B64A14">
            <w:pPr>
              <w:keepNext/>
              <w:spacing w:before="0" w:after="0" w:line="240" w:lineRule="auto"/>
              <w:rPr>
                <w:rFonts w:ascii="Arial" w:hAnsi="Arial" w:cs="Arial"/>
                <w:b/>
                <w:bCs/>
                <w:color w:val="FFFFFF"/>
                <w:szCs w:val="20"/>
              </w:rPr>
            </w:pPr>
            <w:r w:rsidRPr="00B85FF5">
              <w:rPr>
                <w:rFonts w:ascii="Arial" w:hAnsi="Arial" w:cs="Arial"/>
                <w:b/>
                <w:bCs/>
                <w:color w:val="FFFFFF"/>
                <w:szCs w:val="20"/>
              </w:rPr>
              <w:t>Macro</w:t>
            </w:r>
            <w:r>
              <w:rPr>
                <w:rFonts w:ascii="Arial" w:hAnsi="Arial" w:cs="Arial"/>
                <w:b/>
                <w:bCs/>
                <w:color w:val="FFFFFF"/>
                <w:szCs w:val="20"/>
              </w:rPr>
              <w:t xml:space="preserve"> </w:t>
            </w:r>
            <w:r w:rsidRPr="00B85FF5">
              <w:rPr>
                <w:rFonts w:ascii="Arial" w:hAnsi="Arial" w:cs="Arial"/>
                <w:b/>
                <w:bCs/>
                <w:color w:val="FFFFFF"/>
                <w:szCs w:val="20"/>
              </w:rPr>
              <w:t>2</w:t>
            </w:r>
          </w:p>
        </w:tc>
        <w:tc>
          <w:tcPr>
            <w:tcW w:w="1020" w:type="dxa"/>
            <w:tcBorders>
              <w:top w:val="nil"/>
              <w:left w:val="nil"/>
              <w:bottom w:val="nil"/>
              <w:right w:val="nil"/>
            </w:tcBorders>
            <w:shd w:val="clear" w:color="000000" w:fill="142E3A"/>
            <w:vAlign w:val="center"/>
            <w:hideMark/>
          </w:tcPr>
          <w:p w14:paraId="40F04EAB" w14:textId="5D8AE865" w:rsidR="00731AAA" w:rsidRPr="00B85FF5" w:rsidRDefault="00731AAA" w:rsidP="00B64A14">
            <w:pPr>
              <w:keepNext/>
              <w:spacing w:before="0" w:after="0" w:line="240" w:lineRule="auto"/>
              <w:rPr>
                <w:rFonts w:ascii="Arial" w:hAnsi="Arial" w:cs="Arial"/>
                <w:b/>
                <w:bCs/>
                <w:color w:val="FFFFFF"/>
                <w:szCs w:val="20"/>
              </w:rPr>
            </w:pPr>
            <w:r w:rsidRPr="00B85FF5">
              <w:rPr>
                <w:rFonts w:ascii="Arial" w:hAnsi="Arial" w:cs="Arial"/>
                <w:b/>
                <w:bCs/>
                <w:color w:val="FFFFFF"/>
                <w:szCs w:val="20"/>
              </w:rPr>
              <w:t>Macro</w:t>
            </w:r>
            <w:r>
              <w:rPr>
                <w:rFonts w:ascii="Arial" w:hAnsi="Arial" w:cs="Arial"/>
                <w:b/>
                <w:bCs/>
                <w:color w:val="FFFFFF"/>
                <w:szCs w:val="20"/>
              </w:rPr>
              <w:t xml:space="preserve"> </w:t>
            </w:r>
            <w:r w:rsidRPr="00B85FF5">
              <w:rPr>
                <w:rFonts w:ascii="Arial" w:hAnsi="Arial" w:cs="Arial"/>
                <w:b/>
                <w:bCs/>
                <w:color w:val="FFFFFF"/>
                <w:szCs w:val="20"/>
              </w:rPr>
              <w:t>3</w:t>
            </w:r>
          </w:p>
        </w:tc>
      </w:tr>
      <w:tr w:rsidR="00731AAA" w:rsidRPr="00B85FF5" w14:paraId="561385AD" w14:textId="77777777" w:rsidTr="00731AAA">
        <w:trPr>
          <w:trHeight w:val="288"/>
        </w:trPr>
        <w:tc>
          <w:tcPr>
            <w:tcW w:w="964" w:type="dxa"/>
            <w:vMerge w:val="restart"/>
            <w:tcBorders>
              <w:top w:val="nil"/>
              <w:left w:val="nil"/>
              <w:right w:val="nil"/>
            </w:tcBorders>
            <w:shd w:val="clear" w:color="000000" w:fill="F2F2F2"/>
            <w:noWrap/>
            <w:vAlign w:val="center"/>
          </w:tcPr>
          <w:p w14:paraId="57D6A3EA" w14:textId="08747F90" w:rsidR="00731AAA" w:rsidRPr="00B85FF5" w:rsidRDefault="00731AAA" w:rsidP="00731AAA">
            <w:pPr>
              <w:spacing w:before="0" w:after="0" w:line="240" w:lineRule="auto"/>
              <w:rPr>
                <w:rFonts w:ascii="Arial" w:hAnsi="Arial" w:cs="Arial"/>
                <w:color w:val="000000"/>
                <w:szCs w:val="20"/>
              </w:rPr>
            </w:pPr>
            <w:r>
              <w:rPr>
                <w:rFonts w:ascii="Arial" w:hAnsi="Arial" w:cs="Arial"/>
                <w:color w:val="000000"/>
                <w:szCs w:val="20"/>
              </w:rPr>
              <w:t>S1 2019</w:t>
            </w:r>
          </w:p>
        </w:tc>
        <w:tc>
          <w:tcPr>
            <w:tcW w:w="1304" w:type="dxa"/>
            <w:tcBorders>
              <w:top w:val="nil"/>
              <w:left w:val="nil"/>
              <w:bottom w:val="nil"/>
              <w:right w:val="nil"/>
            </w:tcBorders>
            <w:shd w:val="clear" w:color="000000" w:fill="F2F2F2"/>
            <w:vAlign w:val="center"/>
          </w:tcPr>
          <w:p w14:paraId="605B3DA5" w14:textId="77777777" w:rsidR="00731AAA" w:rsidRPr="00B85FF5" w:rsidRDefault="00731AAA" w:rsidP="003C273A">
            <w:pPr>
              <w:spacing w:before="0" w:after="0" w:line="240" w:lineRule="auto"/>
              <w:jc w:val="right"/>
              <w:rPr>
                <w:rFonts w:ascii="Arial" w:hAnsi="Arial" w:cs="Arial"/>
                <w:color w:val="000000"/>
                <w:szCs w:val="20"/>
              </w:rPr>
            </w:pPr>
            <w:r w:rsidRPr="00B85FF5">
              <w:rPr>
                <w:rFonts w:ascii="Arial" w:hAnsi="Arial" w:cs="Arial"/>
                <w:color w:val="000000"/>
                <w:szCs w:val="20"/>
              </w:rPr>
              <w:t>Enrolled</w:t>
            </w:r>
          </w:p>
        </w:tc>
        <w:tc>
          <w:tcPr>
            <w:tcW w:w="960" w:type="dxa"/>
            <w:tcBorders>
              <w:top w:val="nil"/>
              <w:left w:val="nil"/>
              <w:bottom w:val="nil"/>
              <w:right w:val="nil"/>
            </w:tcBorders>
            <w:shd w:val="clear" w:color="000000" w:fill="F2F2F2"/>
            <w:noWrap/>
            <w:vAlign w:val="center"/>
          </w:tcPr>
          <w:p w14:paraId="2758C387" w14:textId="77777777" w:rsidR="00731AAA" w:rsidRPr="00B85FF5" w:rsidRDefault="00731AAA" w:rsidP="003C273A">
            <w:pPr>
              <w:spacing w:before="0" w:after="0" w:line="240" w:lineRule="auto"/>
              <w:jc w:val="right"/>
              <w:rPr>
                <w:rFonts w:ascii="Arial" w:hAnsi="Arial" w:cs="Arial"/>
                <w:color w:val="000000"/>
                <w:szCs w:val="20"/>
              </w:rPr>
            </w:pPr>
            <w:r>
              <w:rPr>
                <w:rFonts w:ascii="Arial" w:hAnsi="Arial" w:cs="Arial"/>
                <w:color w:val="000000"/>
                <w:szCs w:val="20"/>
              </w:rPr>
              <w:t>0</w:t>
            </w:r>
          </w:p>
        </w:tc>
        <w:tc>
          <w:tcPr>
            <w:tcW w:w="960" w:type="dxa"/>
            <w:tcBorders>
              <w:top w:val="nil"/>
              <w:left w:val="nil"/>
              <w:bottom w:val="nil"/>
              <w:right w:val="nil"/>
            </w:tcBorders>
            <w:shd w:val="clear" w:color="000000" w:fill="F2F2F2"/>
            <w:noWrap/>
            <w:vAlign w:val="center"/>
          </w:tcPr>
          <w:p w14:paraId="1351CAB1" w14:textId="77777777" w:rsidR="00731AAA" w:rsidRPr="00B85FF5" w:rsidRDefault="00731AAA" w:rsidP="003C273A">
            <w:pPr>
              <w:spacing w:before="0" w:after="0" w:line="240" w:lineRule="auto"/>
              <w:jc w:val="right"/>
              <w:rPr>
                <w:rFonts w:ascii="Arial" w:hAnsi="Arial" w:cs="Arial"/>
                <w:color w:val="000000"/>
                <w:szCs w:val="20"/>
              </w:rPr>
            </w:pPr>
            <w:r>
              <w:rPr>
                <w:rFonts w:ascii="Arial" w:hAnsi="Arial" w:cs="Arial"/>
                <w:color w:val="000000"/>
                <w:szCs w:val="20"/>
              </w:rPr>
              <w:t>23</w:t>
            </w:r>
          </w:p>
        </w:tc>
        <w:tc>
          <w:tcPr>
            <w:tcW w:w="960" w:type="dxa"/>
            <w:tcBorders>
              <w:top w:val="nil"/>
              <w:left w:val="nil"/>
              <w:bottom w:val="nil"/>
              <w:right w:val="nil"/>
            </w:tcBorders>
            <w:shd w:val="clear" w:color="000000" w:fill="F2F2F2"/>
            <w:noWrap/>
            <w:vAlign w:val="center"/>
          </w:tcPr>
          <w:p w14:paraId="43D9A811" w14:textId="77777777" w:rsidR="00731AAA" w:rsidRPr="00B85FF5" w:rsidRDefault="00731AAA" w:rsidP="003C273A">
            <w:pPr>
              <w:spacing w:before="0" w:after="0" w:line="240" w:lineRule="auto"/>
              <w:jc w:val="right"/>
              <w:rPr>
                <w:rFonts w:ascii="Arial" w:hAnsi="Arial" w:cs="Arial"/>
                <w:color w:val="000000"/>
                <w:szCs w:val="20"/>
              </w:rPr>
            </w:pPr>
            <w:r>
              <w:rPr>
                <w:rFonts w:ascii="Arial" w:hAnsi="Arial" w:cs="Arial"/>
                <w:color w:val="000000"/>
                <w:szCs w:val="20"/>
              </w:rPr>
              <w:t>16</w:t>
            </w:r>
          </w:p>
        </w:tc>
        <w:tc>
          <w:tcPr>
            <w:tcW w:w="1020" w:type="dxa"/>
            <w:tcBorders>
              <w:top w:val="nil"/>
              <w:left w:val="nil"/>
              <w:bottom w:val="nil"/>
              <w:right w:val="nil"/>
            </w:tcBorders>
            <w:shd w:val="clear" w:color="000000" w:fill="F2F2F2"/>
            <w:noWrap/>
            <w:vAlign w:val="center"/>
          </w:tcPr>
          <w:p w14:paraId="10115DC2" w14:textId="77777777" w:rsidR="00731AAA" w:rsidRPr="00B85FF5" w:rsidRDefault="00731AAA" w:rsidP="003C273A">
            <w:pPr>
              <w:spacing w:before="0" w:after="0" w:line="240" w:lineRule="auto"/>
              <w:jc w:val="right"/>
              <w:rPr>
                <w:rFonts w:ascii="Arial" w:hAnsi="Arial" w:cs="Arial"/>
                <w:color w:val="000000"/>
                <w:szCs w:val="20"/>
              </w:rPr>
            </w:pPr>
            <w:r>
              <w:rPr>
                <w:rFonts w:ascii="Arial" w:hAnsi="Arial" w:cs="Arial"/>
                <w:color w:val="000000"/>
                <w:szCs w:val="20"/>
              </w:rPr>
              <w:t>3</w:t>
            </w:r>
          </w:p>
        </w:tc>
        <w:tc>
          <w:tcPr>
            <w:tcW w:w="1020" w:type="dxa"/>
            <w:tcBorders>
              <w:top w:val="nil"/>
              <w:left w:val="nil"/>
              <w:bottom w:val="nil"/>
              <w:right w:val="nil"/>
            </w:tcBorders>
            <w:shd w:val="clear" w:color="000000" w:fill="F2F2F2"/>
            <w:noWrap/>
            <w:vAlign w:val="center"/>
          </w:tcPr>
          <w:p w14:paraId="05469D31" w14:textId="77777777" w:rsidR="00731AAA" w:rsidRPr="00B85FF5" w:rsidRDefault="00731AAA" w:rsidP="003C273A">
            <w:pPr>
              <w:spacing w:before="0" w:after="0" w:line="240" w:lineRule="auto"/>
              <w:jc w:val="right"/>
              <w:rPr>
                <w:rFonts w:ascii="Arial" w:hAnsi="Arial" w:cs="Arial"/>
                <w:color w:val="000000"/>
                <w:szCs w:val="20"/>
              </w:rPr>
            </w:pPr>
            <w:r>
              <w:rPr>
                <w:rFonts w:ascii="Arial" w:hAnsi="Arial" w:cs="Arial"/>
                <w:color w:val="000000"/>
                <w:szCs w:val="20"/>
              </w:rPr>
              <w:t>7</w:t>
            </w:r>
          </w:p>
        </w:tc>
        <w:tc>
          <w:tcPr>
            <w:tcW w:w="1020" w:type="dxa"/>
            <w:tcBorders>
              <w:top w:val="nil"/>
              <w:left w:val="nil"/>
              <w:bottom w:val="nil"/>
              <w:right w:val="nil"/>
            </w:tcBorders>
            <w:shd w:val="clear" w:color="000000" w:fill="F2F2F2"/>
            <w:noWrap/>
            <w:vAlign w:val="center"/>
          </w:tcPr>
          <w:p w14:paraId="01091FBF" w14:textId="77777777" w:rsidR="00731AAA" w:rsidRPr="00B85FF5" w:rsidRDefault="00731AAA" w:rsidP="003C273A">
            <w:pPr>
              <w:spacing w:before="0" w:after="0" w:line="240" w:lineRule="auto"/>
              <w:jc w:val="right"/>
              <w:rPr>
                <w:rFonts w:ascii="Arial" w:hAnsi="Arial" w:cs="Arial"/>
                <w:color w:val="000000"/>
                <w:szCs w:val="20"/>
              </w:rPr>
            </w:pPr>
            <w:r>
              <w:rPr>
                <w:rFonts w:ascii="Arial" w:hAnsi="Arial" w:cs="Arial"/>
                <w:color w:val="000000"/>
                <w:szCs w:val="20"/>
              </w:rPr>
              <w:t>0</w:t>
            </w:r>
          </w:p>
        </w:tc>
      </w:tr>
      <w:tr w:rsidR="00731AAA" w:rsidRPr="00B85FF5" w14:paraId="4F2604FF" w14:textId="77777777" w:rsidTr="003C273A">
        <w:trPr>
          <w:trHeight w:val="288"/>
        </w:trPr>
        <w:tc>
          <w:tcPr>
            <w:tcW w:w="964" w:type="dxa"/>
            <w:vMerge/>
            <w:tcBorders>
              <w:left w:val="nil"/>
              <w:bottom w:val="nil"/>
              <w:right w:val="nil"/>
            </w:tcBorders>
            <w:shd w:val="clear" w:color="000000" w:fill="F2F2F2"/>
            <w:noWrap/>
            <w:vAlign w:val="center"/>
          </w:tcPr>
          <w:p w14:paraId="45FC2CE4" w14:textId="02F1EB99" w:rsidR="00731AAA" w:rsidRPr="00B85FF5" w:rsidRDefault="00731AAA" w:rsidP="003C273A">
            <w:pPr>
              <w:spacing w:before="0" w:after="0" w:line="240" w:lineRule="auto"/>
              <w:rPr>
                <w:rFonts w:ascii="Arial" w:hAnsi="Arial" w:cs="Arial"/>
                <w:color w:val="000000"/>
                <w:szCs w:val="20"/>
              </w:rPr>
            </w:pPr>
          </w:p>
        </w:tc>
        <w:tc>
          <w:tcPr>
            <w:tcW w:w="1304" w:type="dxa"/>
            <w:tcBorders>
              <w:top w:val="nil"/>
              <w:left w:val="nil"/>
              <w:bottom w:val="nil"/>
              <w:right w:val="nil"/>
            </w:tcBorders>
            <w:shd w:val="clear" w:color="000000" w:fill="F2F2F2"/>
            <w:vAlign w:val="center"/>
          </w:tcPr>
          <w:p w14:paraId="76531379" w14:textId="77777777" w:rsidR="00731AAA" w:rsidRPr="00B85FF5" w:rsidRDefault="00731AAA" w:rsidP="003C273A">
            <w:pPr>
              <w:spacing w:before="0" w:after="0" w:line="240" w:lineRule="auto"/>
              <w:jc w:val="right"/>
              <w:rPr>
                <w:rFonts w:ascii="Arial" w:hAnsi="Arial" w:cs="Arial"/>
                <w:color w:val="000000"/>
                <w:szCs w:val="20"/>
              </w:rPr>
            </w:pPr>
            <w:r w:rsidRPr="00B85FF5">
              <w:rPr>
                <w:rFonts w:ascii="Arial" w:hAnsi="Arial" w:cs="Arial"/>
                <w:color w:val="000000"/>
                <w:szCs w:val="20"/>
              </w:rPr>
              <w:t>Not</w:t>
            </w:r>
            <w:r>
              <w:rPr>
                <w:rFonts w:ascii="Arial" w:hAnsi="Arial" w:cs="Arial"/>
                <w:color w:val="000000"/>
                <w:szCs w:val="20"/>
              </w:rPr>
              <w:t xml:space="preserve"> enrolled</w:t>
            </w:r>
          </w:p>
        </w:tc>
        <w:tc>
          <w:tcPr>
            <w:tcW w:w="960" w:type="dxa"/>
            <w:tcBorders>
              <w:top w:val="nil"/>
              <w:left w:val="nil"/>
              <w:bottom w:val="nil"/>
              <w:right w:val="nil"/>
            </w:tcBorders>
            <w:shd w:val="clear" w:color="000000" w:fill="F2F2F2"/>
            <w:noWrap/>
            <w:vAlign w:val="center"/>
          </w:tcPr>
          <w:p w14:paraId="6C1EF154" w14:textId="77777777" w:rsidR="00731AAA" w:rsidRPr="00B85FF5" w:rsidRDefault="00731AAA" w:rsidP="003C273A">
            <w:pPr>
              <w:spacing w:before="0" w:after="0" w:line="240" w:lineRule="auto"/>
              <w:jc w:val="right"/>
              <w:rPr>
                <w:rFonts w:ascii="Arial" w:hAnsi="Arial" w:cs="Arial"/>
                <w:color w:val="000000"/>
                <w:szCs w:val="20"/>
              </w:rPr>
            </w:pPr>
            <w:r>
              <w:rPr>
                <w:rFonts w:ascii="Arial" w:hAnsi="Arial" w:cs="Arial"/>
                <w:color w:val="000000"/>
                <w:szCs w:val="20"/>
              </w:rPr>
              <w:t>88</w:t>
            </w:r>
          </w:p>
        </w:tc>
        <w:tc>
          <w:tcPr>
            <w:tcW w:w="960" w:type="dxa"/>
            <w:tcBorders>
              <w:top w:val="nil"/>
              <w:left w:val="nil"/>
              <w:bottom w:val="nil"/>
              <w:right w:val="nil"/>
            </w:tcBorders>
            <w:shd w:val="clear" w:color="000000" w:fill="F2F2F2"/>
            <w:noWrap/>
            <w:vAlign w:val="center"/>
          </w:tcPr>
          <w:p w14:paraId="7A1D24C4" w14:textId="77777777" w:rsidR="00731AAA" w:rsidRPr="00B85FF5" w:rsidRDefault="00731AAA" w:rsidP="003C273A">
            <w:pPr>
              <w:spacing w:before="0" w:after="0" w:line="240" w:lineRule="auto"/>
              <w:jc w:val="right"/>
              <w:rPr>
                <w:rFonts w:ascii="Arial" w:hAnsi="Arial" w:cs="Arial"/>
                <w:color w:val="000000"/>
                <w:szCs w:val="20"/>
              </w:rPr>
            </w:pPr>
            <w:r>
              <w:rPr>
                <w:rFonts w:ascii="Arial" w:hAnsi="Arial" w:cs="Arial"/>
                <w:color w:val="000000"/>
                <w:szCs w:val="20"/>
              </w:rPr>
              <w:t>65</w:t>
            </w:r>
          </w:p>
        </w:tc>
        <w:tc>
          <w:tcPr>
            <w:tcW w:w="960" w:type="dxa"/>
            <w:tcBorders>
              <w:top w:val="nil"/>
              <w:left w:val="nil"/>
              <w:bottom w:val="nil"/>
              <w:right w:val="nil"/>
            </w:tcBorders>
            <w:shd w:val="clear" w:color="000000" w:fill="F2F2F2"/>
            <w:noWrap/>
            <w:vAlign w:val="center"/>
          </w:tcPr>
          <w:p w14:paraId="4B1859C8" w14:textId="77777777" w:rsidR="00731AAA" w:rsidRPr="00B85FF5" w:rsidRDefault="00731AAA" w:rsidP="003C273A">
            <w:pPr>
              <w:spacing w:before="0" w:after="0" w:line="240" w:lineRule="auto"/>
              <w:jc w:val="right"/>
              <w:rPr>
                <w:rFonts w:ascii="Arial" w:hAnsi="Arial" w:cs="Arial"/>
                <w:color w:val="000000"/>
                <w:szCs w:val="20"/>
              </w:rPr>
            </w:pPr>
            <w:r>
              <w:rPr>
                <w:rFonts w:ascii="Arial" w:hAnsi="Arial" w:cs="Arial"/>
                <w:color w:val="000000"/>
                <w:szCs w:val="20"/>
              </w:rPr>
              <w:t>72</w:t>
            </w:r>
          </w:p>
        </w:tc>
        <w:tc>
          <w:tcPr>
            <w:tcW w:w="1020" w:type="dxa"/>
            <w:tcBorders>
              <w:top w:val="nil"/>
              <w:left w:val="nil"/>
              <w:bottom w:val="nil"/>
              <w:right w:val="nil"/>
            </w:tcBorders>
            <w:shd w:val="clear" w:color="000000" w:fill="F2F2F2"/>
            <w:noWrap/>
            <w:vAlign w:val="center"/>
          </w:tcPr>
          <w:p w14:paraId="00391AC3" w14:textId="77777777" w:rsidR="00731AAA" w:rsidRPr="00B85FF5" w:rsidRDefault="00731AAA" w:rsidP="003C273A">
            <w:pPr>
              <w:spacing w:before="0" w:after="0" w:line="240" w:lineRule="auto"/>
              <w:jc w:val="right"/>
              <w:rPr>
                <w:rFonts w:ascii="Arial" w:hAnsi="Arial" w:cs="Arial"/>
                <w:color w:val="000000"/>
                <w:szCs w:val="20"/>
              </w:rPr>
            </w:pPr>
            <w:r>
              <w:rPr>
                <w:rFonts w:ascii="Arial" w:hAnsi="Arial" w:cs="Arial"/>
                <w:color w:val="000000"/>
                <w:szCs w:val="20"/>
              </w:rPr>
              <w:t>85</w:t>
            </w:r>
          </w:p>
        </w:tc>
        <w:tc>
          <w:tcPr>
            <w:tcW w:w="1020" w:type="dxa"/>
            <w:tcBorders>
              <w:top w:val="nil"/>
              <w:left w:val="nil"/>
              <w:bottom w:val="nil"/>
              <w:right w:val="nil"/>
            </w:tcBorders>
            <w:shd w:val="clear" w:color="000000" w:fill="F2F2F2"/>
            <w:noWrap/>
            <w:vAlign w:val="center"/>
          </w:tcPr>
          <w:p w14:paraId="29C45ACC" w14:textId="77777777" w:rsidR="00731AAA" w:rsidRPr="00B85FF5" w:rsidRDefault="00731AAA" w:rsidP="003C273A">
            <w:pPr>
              <w:spacing w:before="0" w:after="0" w:line="240" w:lineRule="auto"/>
              <w:jc w:val="right"/>
              <w:rPr>
                <w:rFonts w:ascii="Arial" w:hAnsi="Arial" w:cs="Arial"/>
                <w:color w:val="000000"/>
                <w:szCs w:val="20"/>
              </w:rPr>
            </w:pPr>
            <w:r>
              <w:rPr>
                <w:rFonts w:ascii="Arial" w:hAnsi="Arial" w:cs="Arial"/>
                <w:color w:val="000000"/>
                <w:szCs w:val="20"/>
              </w:rPr>
              <w:t>81</w:t>
            </w:r>
          </w:p>
        </w:tc>
        <w:tc>
          <w:tcPr>
            <w:tcW w:w="1020" w:type="dxa"/>
            <w:tcBorders>
              <w:top w:val="nil"/>
              <w:left w:val="nil"/>
              <w:bottom w:val="nil"/>
              <w:right w:val="nil"/>
            </w:tcBorders>
            <w:shd w:val="clear" w:color="000000" w:fill="F2F2F2"/>
            <w:noWrap/>
            <w:vAlign w:val="center"/>
          </w:tcPr>
          <w:p w14:paraId="6CDC012D" w14:textId="77777777" w:rsidR="00731AAA" w:rsidRPr="00B85FF5" w:rsidRDefault="00731AAA" w:rsidP="003C273A">
            <w:pPr>
              <w:spacing w:before="0" w:after="0" w:line="240" w:lineRule="auto"/>
              <w:jc w:val="right"/>
              <w:rPr>
                <w:rFonts w:ascii="Arial" w:hAnsi="Arial" w:cs="Arial"/>
                <w:color w:val="000000"/>
                <w:szCs w:val="20"/>
              </w:rPr>
            </w:pPr>
            <w:r>
              <w:rPr>
                <w:rFonts w:ascii="Arial" w:hAnsi="Arial" w:cs="Arial"/>
                <w:color w:val="000000"/>
                <w:szCs w:val="20"/>
              </w:rPr>
              <w:t>88</w:t>
            </w:r>
          </w:p>
        </w:tc>
      </w:tr>
      <w:tr w:rsidR="00731AAA" w:rsidRPr="00B85FF5" w14:paraId="4EB684D4" w14:textId="77777777" w:rsidTr="00731AAA">
        <w:trPr>
          <w:trHeight w:val="288"/>
        </w:trPr>
        <w:tc>
          <w:tcPr>
            <w:tcW w:w="964" w:type="dxa"/>
            <w:vMerge w:val="restart"/>
            <w:tcBorders>
              <w:top w:val="nil"/>
              <w:left w:val="nil"/>
              <w:right w:val="nil"/>
            </w:tcBorders>
            <w:shd w:val="clear" w:color="auto" w:fill="auto"/>
            <w:noWrap/>
            <w:vAlign w:val="center"/>
            <w:hideMark/>
          </w:tcPr>
          <w:p w14:paraId="45E9479A" w14:textId="2669711A" w:rsidR="00731AAA" w:rsidRPr="00B85FF5" w:rsidRDefault="00731AAA" w:rsidP="00731AAA">
            <w:pPr>
              <w:keepNext/>
              <w:spacing w:before="0" w:after="0" w:line="240" w:lineRule="auto"/>
              <w:rPr>
                <w:rFonts w:ascii="Arial" w:hAnsi="Arial" w:cs="Arial"/>
                <w:color w:val="000000"/>
                <w:szCs w:val="20"/>
              </w:rPr>
            </w:pPr>
            <w:r>
              <w:rPr>
                <w:rFonts w:ascii="Arial" w:hAnsi="Arial" w:cs="Arial"/>
                <w:color w:val="000000"/>
                <w:szCs w:val="20"/>
              </w:rPr>
              <w:t>S2 2019</w:t>
            </w:r>
          </w:p>
        </w:tc>
        <w:tc>
          <w:tcPr>
            <w:tcW w:w="1304" w:type="dxa"/>
            <w:tcBorders>
              <w:top w:val="nil"/>
              <w:left w:val="nil"/>
              <w:bottom w:val="nil"/>
              <w:right w:val="nil"/>
            </w:tcBorders>
            <w:shd w:val="clear" w:color="auto" w:fill="auto"/>
            <w:vAlign w:val="center"/>
          </w:tcPr>
          <w:p w14:paraId="0E463A5D" w14:textId="3CE392BA" w:rsidR="00731AAA" w:rsidRPr="00B85FF5" w:rsidRDefault="00731AAA" w:rsidP="00731AAA">
            <w:pPr>
              <w:keepNext/>
              <w:spacing w:before="0" w:after="0" w:line="240" w:lineRule="auto"/>
              <w:jc w:val="right"/>
              <w:rPr>
                <w:rFonts w:ascii="Arial" w:hAnsi="Arial" w:cs="Arial"/>
                <w:color w:val="000000"/>
                <w:szCs w:val="20"/>
              </w:rPr>
            </w:pPr>
            <w:r w:rsidRPr="00B85FF5">
              <w:rPr>
                <w:rFonts w:ascii="Arial" w:hAnsi="Arial" w:cs="Arial"/>
                <w:color w:val="000000"/>
                <w:szCs w:val="20"/>
              </w:rPr>
              <w:t>Enrolled</w:t>
            </w:r>
          </w:p>
        </w:tc>
        <w:tc>
          <w:tcPr>
            <w:tcW w:w="960" w:type="dxa"/>
            <w:tcBorders>
              <w:top w:val="nil"/>
              <w:left w:val="nil"/>
              <w:bottom w:val="nil"/>
              <w:right w:val="nil"/>
            </w:tcBorders>
            <w:shd w:val="clear" w:color="auto" w:fill="auto"/>
            <w:noWrap/>
            <w:vAlign w:val="center"/>
            <w:hideMark/>
          </w:tcPr>
          <w:p w14:paraId="216CA9BA" w14:textId="06BCA658" w:rsidR="00731AAA" w:rsidRPr="00B85FF5" w:rsidRDefault="00731AAA" w:rsidP="00731AAA">
            <w:pPr>
              <w:keepNext/>
              <w:spacing w:before="0" w:after="0" w:line="240" w:lineRule="auto"/>
              <w:jc w:val="right"/>
              <w:rPr>
                <w:rFonts w:ascii="Arial" w:hAnsi="Arial" w:cs="Arial"/>
                <w:color w:val="000000"/>
                <w:szCs w:val="20"/>
              </w:rPr>
            </w:pPr>
            <w:r w:rsidRPr="00B85FF5">
              <w:rPr>
                <w:rFonts w:ascii="Arial" w:hAnsi="Arial" w:cs="Arial"/>
                <w:color w:val="000000"/>
                <w:szCs w:val="20"/>
              </w:rPr>
              <w:t>0</w:t>
            </w:r>
          </w:p>
        </w:tc>
        <w:tc>
          <w:tcPr>
            <w:tcW w:w="960" w:type="dxa"/>
            <w:tcBorders>
              <w:top w:val="nil"/>
              <w:left w:val="nil"/>
              <w:bottom w:val="nil"/>
              <w:right w:val="nil"/>
            </w:tcBorders>
            <w:shd w:val="clear" w:color="auto" w:fill="auto"/>
            <w:noWrap/>
            <w:vAlign w:val="center"/>
            <w:hideMark/>
          </w:tcPr>
          <w:p w14:paraId="60B802AF" w14:textId="77777777" w:rsidR="00731AAA" w:rsidRPr="00B85FF5" w:rsidRDefault="00731AAA" w:rsidP="00731AAA">
            <w:pPr>
              <w:keepNext/>
              <w:spacing w:before="0" w:after="0" w:line="240" w:lineRule="auto"/>
              <w:jc w:val="right"/>
              <w:rPr>
                <w:rFonts w:ascii="Arial" w:hAnsi="Arial" w:cs="Arial"/>
                <w:color w:val="000000"/>
                <w:szCs w:val="20"/>
              </w:rPr>
            </w:pPr>
            <w:r w:rsidRPr="00B85FF5">
              <w:rPr>
                <w:rFonts w:ascii="Arial" w:hAnsi="Arial" w:cs="Arial"/>
                <w:color w:val="000000"/>
                <w:szCs w:val="20"/>
              </w:rPr>
              <w:t>3</w:t>
            </w:r>
          </w:p>
        </w:tc>
        <w:tc>
          <w:tcPr>
            <w:tcW w:w="960" w:type="dxa"/>
            <w:tcBorders>
              <w:top w:val="nil"/>
              <w:left w:val="nil"/>
              <w:bottom w:val="nil"/>
              <w:right w:val="nil"/>
            </w:tcBorders>
            <w:shd w:val="clear" w:color="auto" w:fill="auto"/>
            <w:noWrap/>
            <w:vAlign w:val="center"/>
            <w:hideMark/>
          </w:tcPr>
          <w:p w14:paraId="0E4BE3AC" w14:textId="77777777" w:rsidR="00731AAA" w:rsidRPr="00B85FF5" w:rsidRDefault="00731AAA" w:rsidP="00731AAA">
            <w:pPr>
              <w:keepNext/>
              <w:spacing w:before="0" w:after="0" w:line="240" w:lineRule="auto"/>
              <w:jc w:val="right"/>
              <w:rPr>
                <w:rFonts w:ascii="Arial" w:hAnsi="Arial" w:cs="Arial"/>
                <w:color w:val="000000"/>
                <w:szCs w:val="20"/>
              </w:rPr>
            </w:pPr>
            <w:r w:rsidRPr="00B85FF5">
              <w:rPr>
                <w:rFonts w:ascii="Arial" w:hAnsi="Arial" w:cs="Arial"/>
                <w:color w:val="000000"/>
                <w:szCs w:val="20"/>
              </w:rPr>
              <w:t>0</w:t>
            </w:r>
          </w:p>
        </w:tc>
        <w:tc>
          <w:tcPr>
            <w:tcW w:w="1020" w:type="dxa"/>
            <w:tcBorders>
              <w:top w:val="nil"/>
              <w:left w:val="nil"/>
              <w:bottom w:val="nil"/>
              <w:right w:val="nil"/>
            </w:tcBorders>
            <w:shd w:val="clear" w:color="auto" w:fill="auto"/>
            <w:noWrap/>
            <w:vAlign w:val="center"/>
            <w:hideMark/>
          </w:tcPr>
          <w:p w14:paraId="1069E6C6" w14:textId="77777777" w:rsidR="00731AAA" w:rsidRPr="00B85FF5" w:rsidRDefault="00731AAA" w:rsidP="00731AAA">
            <w:pPr>
              <w:keepNext/>
              <w:spacing w:before="0" w:after="0" w:line="240" w:lineRule="auto"/>
              <w:jc w:val="right"/>
              <w:rPr>
                <w:rFonts w:ascii="Arial" w:hAnsi="Arial" w:cs="Arial"/>
                <w:color w:val="000000"/>
                <w:szCs w:val="20"/>
              </w:rPr>
            </w:pPr>
            <w:r w:rsidRPr="00B85FF5">
              <w:rPr>
                <w:rFonts w:ascii="Arial" w:hAnsi="Arial" w:cs="Arial"/>
                <w:color w:val="000000"/>
                <w:szCs w:val="20"/>
              </w:rPr>
              <w:t>2</w:t>
            </w:r>
          </w:p>
        </w:tc>
        <w:tc>
          <w:tcPr>
            <w:tcW w:w="1020" w:type="dxa"/>
            <w:tcBorders>
              <w:top w:val="nil"/>
              <w:left w:val="nil"/>
              <w:bottom w:val="nil"/>
              <w:right w:val="nil"/>
            </w:tcBorders>
            <w:shd w:val="clear" w:color="auto" w:fill="auto"/>
            <w:noWrap/>
            <w:vAlign w:val="center"/>
            <w:hideMark/>
          </w:tcPr>
          <w:p w14:paraId="49C6F0A1" w14:textId="77777777" w:rsidR="00731AAA" w:rsidRPr="00B85FF5" w:rsidRDefault="00731AAA" w:rsidP="00731AAA">
            <w:pPr>
              <w:keepNext/>
              <w:spacing w:before="0" w:after="0" w:line="240" w:lineRule="auto"/>
              <w:jc w:val="right"/>
              <w:rPr>
                <w:rFonts w:ascii="Arial" w:hAnsi="Arial" w:cs="Arial"/>
                <w:color w:val="000000"/>
                <w:szCs w:val="20"/>
              </w:rPr>
            </w:pPr>
            <w:r w:rsidRPr="00B85FF5">
              <w:rPr>
                <w:rFonts w:ascii="Arial" w:hAnsi="Arial" w:cs="Arial"/>
                <w:color w:val="000000"/>
                <w:szCs w:val="20"/>
              </w:rPr>
              <w:t>15</w:t>
            </w:r>
          </w:p>
        </w:tc>
        <w:tc>
          <w:tcPr>
            <w:tcW w:w="1020" w:type="dxa"/>
            <w:tcBorders>
              <w:top w:val="nil"/>
              <w:left w:val="nil"/>
              <w:bottom w:val="nil"/>
              <w:right w:val="nil"/>
            </w:tcBorders>
            <w:shd w:val="clear" w:color="auto" w:fill="auto"/>
            <w:noWrap/>
            <w:vAlign w:val="center"/>
            <w:hideMark/>
          </w:tcPr>
          <w:p w14:paraId="700A1AE4" w14:textId="77777777" w:rsidR="00731AAA" w:rsidRPr="00B85FF5" w:rsidRDefault="00731AAA" w:rsidP="00731AAA">
            <w:pPr>
              <w:keepNext/>
              <w:spacing w:before="0" w:after="0" w:line="240" w:lineRule="auto"/>
              <w:jc w:val="right"/>
              <w:rPr>
                <w:rFonts w:ascii="Arial" w:hAnsi="Arial" w:cs="Arial"/>
                <w:color w:val="000000"/>
                <w:szCs w:val="20"/>
              </w:rPr>
            </w:pPr>
            <w:r w:rsidRPr="00B85FF5">
              <w:rPr>
                <w:rFonts w:ascii="Arial" w:hAnsi="Arial" w:cs="Arial"/>
                <w:color w:val="000000"/>
                <w:szCs w:val="20"/>
              </w:rPr>
              <w:t>17</w:t>
            </w:r>
          </w:p>
        </w:tc>
      </w:tr>
      <w:tr w:rsidR="00731AAA" w:rsidRPr="00B85FF5" w14:paraId="55F455C2" w14:textId="77777777" w:rsidTr="00731AAA">
        <w:trPr>
          <w:trHeight w:val="288"/>
        </w:trPr>
        <w:tc>
          <w:tcPr>
            <w:tcW w:w="964" w:type="dxa"/>
            <w:vMerge/>
            <w:tcBorders>
              <w:left w:val="nil"/>
              <w:bottom w:val="nil"/>
              <w:right w:val="nil"/>
            </w:tcBorders>
            <w:shd w:val="clear" w:color="auto" w:fill="auto"/>
            <w:noWrap/>
            <w:vAlign w:val="center"/>
            <w:hideMark/>
          </w:tcPr>
          <w:p w14:paraId="4B12975A" w14:textId="7A9821AA" w:rsidR="00731AAA" w:rsidRPr="00B85FF5" w:rsidRDefault="00731AAA" w:rsidP="00731AAA">
            <w:pPr>
              <w:spacing w:before="0" w:after="0" w:line="240" w:lineRule="auto"/>
              <w:rPr>
                <w:rFonts w:ascii="Arial" w:hAnsi="Arial" w:cs="Arial"/>
                <w:color w:val="000000"/>
                <w:szCs w:val="20"/>
              </w:rPr>
            </w:pPr>
          </w:p>
        </w:tc>
        <w:tc>
          <w:tcPr>
            <w:tcW w:w="1304" w:type="dxa"/>
            <w:tcBorders>
              <w:top w:val="nil"/>
              <w:left w:val="nil"/>
              <w:bottom w:val="nil"/>
              <w:right w:val="nil"/>
            </w:tcBorders>
            <w:shd w:val="clear" w:color="auto" w:fill="auto"/>
            <w:vAlign w:val="center"/>
          </w:tcPr>
          <w:p w14:paraId="318BA7AE" w14:textId="4190BEF1" w:rsidR="00731AAA" w:rsidRPr="00B85FF5" w:rsidRDefault="00731AAA" w:rsidP="00731AAA">
            <w:pPr>
              <w:spacing w:before="0" w:after="0" w:line="240" w:lineRule="auto"/>
              <w:jc w:val="right"/>
              <w:rPr>
                <w:rFonts w:ascii="Arial" w:hAnsi="Arial" w:cs="Arial"/>
                <w:color w:val="000000"/>
                <w:szCs w:val="20"/>
              </w:rPr>
            </w:pPr>
            <w:r w:rsidRPr="00B85FF5">
              <w:rPr>
                <w:rFonts w:ascii="Arial" w:hAnsi="Arial" w:cs="Arial"/>
                <w:color w:val="000000"/>
                <w:szCs w:val="20"/>
              </w:rPr>
              <w:t>Not</w:t>
            </w:r>
            <w:r>
              <w:rPr>
                <w:rFonts w:ascii="Arial" w:hAnsi="Arial" w:cs="Arial"/>
                <w:color w:val="000000"/>
                <w:szCs w:val="20"/>
              </w:rPr>
              <w:t xml:space="preserve"> enrolled</w:t>
            </w:r>
          </w:p>
        </w:tc>
        <w:tc>
          <w:tcPr>
            <w:tcW w:w="960" w:type="dxa"/>
            <w:tcBorders>
              <w:top w:val="nil"/>
              <w:left w:val="nil"/>
              <w:bottom w:val="nil"/>
              <w:right w:val="nil"/>
            </w:tcBorders>
            <w:shd w:val="clear" w:color="auto" w:fill="auto"/>
            <w:noWrap/>
            <w:vAlign w:val="center"/>
            <w:hideMark/>
          </w:tcPr>
          <w:p w14:paraId="23452579" w14:textId="159C8AF5" w:rsidR="00731AAA" w:rsidRPr="00B85FF5" w:rsidRDefault="00731AAA" w:rsidP="00731AAA">
            <w:pPr>
              <w:spacing w:before="0" w:after="0" w:line="240" w:lineRule="auto"/>
              <w:jc w:val="right"/>
              <w:rPr>
                <w:rFonts w:ascii="Arial" w:hAnsi="Arial" w:cs="Arial"/>
                <w:color w:val="000000"/>
                <w:szCs w:val="20"/>
              </w:rPr>
            </w:pPr>
            <w:r w:rsidRPr="00B85FF5">
              <w:rPr>
                <w:rFonts w:ascii="Arial" w:hAnsi="Arial" w:cs="Arial"/>
                <w:color w:val="000000"/>
                <w:szCs w:val="20"/>
              </w:rPr>
              <w:t>88</w:t>
            </w:r>
          </w:p>
        </w:tc>
        <w:tc>
          <w:tcPr>
            <w:tcW w:w="960" w:type="dxa"/>
            <w:tcBorders>
              <w:top w:val="nil"/>
              <w:left w:val="nil"/>
              <w:bottom w:val="nil"/>
              <w:right w:val="nil"/>
            </w:tcBorders>
            <w:shd w:val="clear" w:color="auto" w:fill="auto"/>
            <w:noWrap/>
            <w:vAlign w:val="center"/>
            <w:hideMark/>
          </w:tcPr>
          <w:p w14:paraId="2EBB5B44" w14:textId="77777777" w:rsidR="00731AAA" w:rsidRPr="00B85FF5" w:rsidRDefault="00731AAA" w:rsidP="00731AAA">
            <w:pPr>
              <w:spacing w:before="0" w:after="0" w:line="240" w:lineRule="auto"/>
              <w:jc w:val="right"/>
              <w:rPr>
                <w:rFonts w:ascii="Arial" w:hAnsi="Arial" w:cs="Arial"/>
                <w:color w:val="000000"/>
                <w:szCs w:val="20"/>
              </w:rPr>
            </w:pPr>
            <w:r w:rsidRPr="00B85FF5">
              <w:rPr>
                <w:rFonts w:ascii="Arial" w:hAnsi="Arial" w:cs="Arial"/>
                <w:color w:val="000000"/>
                <w:szCs w:val="20"/>
              </w:rPr>
              <w:t>85</w:t>
            </w:r>
          </w:p>
        </w:tc>
        <w:tc>
          <w:tcPr>
            <w:tcW w:w="960" w:type="dxa"/>
            <w:tcBorders>
              <w:top w:val="nil"/>
              <w:left w:val="nil"/>
              <w:bottom w:val="nil"/>
              <w:right w:val="nil"/>
            </w:tcBorders>
            <w:shd w:val="clear" w:color="auto" w:fill="auto"/>
            <w:noWrap/>
            <w:vAlign w:val="center"/>
            <w:hideMark/>
          </w:tcPr>
          <w:p w14:paraId="64A8FE0B" w14:textId="77777777" w:rsidR="00731AAA" w:rsidRPr="00B85FF5" w:rsidRDefault="00731AAA" w:rsidP="00731AAA">
            <w:pPr>
              <w:spacing w:before="0" w:after="0" w:line="240" w:lineRule="auto"/>
              <w:jc w:val="right"/>
              <w:rPr>
                <w:rFonts w:ascii="Arial" w:hAnsi="Arial" w:cs="Arial"/>
                <w:color w:val="000000"/>
                <w:szCs w:val="20"/>
              </w:rPr>
            </w:pPr>
            <w:r w:rsidRPr="00B85FF5">
              <w:rPr>
                <w:rFonts w:ascii="Arial" w:hAnsi="Arial" w:cs="Arial"/>
                <w:color w:val="000000"/>
                <w:szCs w:val="20"/>
              </w:rPr>
              <w:t>88</w:t>
            </w:r>
          </w:p>
        </w:tc>
        <w:tc>
          <w:tcPr>
            <w:tcW w:w="1020" w:type="dxa"/>
            <w:tcBorders>
              <w:top w:val="nil"/>
              <w:left w:val="nil"/>
              <w:bottom w:val="nil"/>
              <w:right w:val="nil"/>
            </w:tcBorders>
            <w:shd w:val="clear" w:color="auto" w:fill="auto"/>
            <w:noWrap/>
            <w:vAlign w:val="center"/>
            <w:hideMark/>
          </w:tcPr>
          <w:p w14:paraId="4226CAA1" w14:textId="77777777" w:rsidR="00731AAA" w:rsidRPr="00B85FF5" w:rsidRDefault="00731AAA" w:rsidP="00731AAA">
            <w:pPr>
              <w:spacing w:before="0" w:after="0" w:line="240" w:lineRule="auto"/>
              <w:jc w:val="right"/>
              <w:rPr>
                <w:rFonts w:ascii="Arial" w:hAnsi="Arial" w:cs="Arial"/>
                <w:color w:val="000000"/>
                <w:szCs w:val="20"/>
              </w:rPr>
            </w:pPr>
            <w:r w:rsidRPr="00B85FF5">
              <w:rPr>
                <w:rFonts w:ascii="Arial" w:hAnsi="Arial" w:cs="Arial"/>
                <w:color w:val="000000"/>
                <w:szCs w:val="20"/>
              </w:rPr>
              <w:t>86</w:t>
            </w:r>
          </w:p>
        </w:tc>
        <w:tc>
          <w:tcPr>
            <w:tcW w:w="1020" w:type="dxa"/>
            <w:tcBorders>
              <w:top w:val="nil"/>
              <w:left w:val="nil"/>
              <w:bottom w:val="nil"/>
              <w:right w:val="nil"/>
            </w:tcBorders>
            <w:shd w:val="clear" w:color="auto" w:fill="auto"/>
            <w:noWrap/>
            <w:vAlign w:val="center"/>
            <w:hideMark/>
          </w:tcPr>
          <w:p w14:paraId="65386C23" w14:textId="77777777" w:rsidR="00731AAA" w:rsidRPr="00B85FF5" w:rsidRDefault="00731AAA" w:rsidP="00731AAA">
            <w:pPr>
              <w:spacing w:before="0" w:after="0" w:line="240" w:lineRule="auto"/>
              <w:jc w:val="right"/>
              <w:rPr>
                <w:rFonts w:ascii="Arial" w:hAnsi="Arial" w:cs="Arial"/>
                <w:color w:val="000000"/>
                <w:szCs w:val="20"/>
              </w:rPr>
            </w:pPr>
            <w:r w:rsidRPr="00B85FF5">
              <w:rPr>
                <w:rFonts w:ascii="Arial" w:hAnsi="Arial" w:cs="Arial"/>
                <w:color w:val="000000"/>
                <w:szCs w:val="20"/>
              </w:rPr>
              <w:t>73</w:t>
            </w:r>
          </w:p>
        </w:tc>
        <w:tc>
          <w:tcPr>
            <w:tcW w:w="1020" w:type="dxa"/>
            <w:tcBorders>
              <w:top w:val="nil"/>
              <w:left w:val="nil"/>
              <w:bottom w:val="nil"/>
              <w:right w:val="nil"/>
            </w:tcBorders>
            <w:shd w:val="clear" w:color="auto" w:fill="auto"/>
            <w:noWrap/>
            <w:vAlign w:val="center"/>
            <w:hideMark/>
          </w:tcPr>
          <w:p w14:paraId="409958E6" w14:textId="77777777" w:rsidR="00731AAA" w:rsidRPr="00B85FF5" w:rsidRDefault="00731AAA" w:rsidP="00731AAA">
            <w:pPr>
              <w:spacing w:before="0" w:after="0" w:line="240" w:lineRule="auto"/>
              <w:jc w:val="right"/>
              <w:rPr>
                <w:rFonts w:ascii="Arial" w:hAnsi="Arial" w:cs="Arial"/>
                <w:color w:val="000000"/>
                <w:szCs w:val="20"/>
              </w:rPr>
            </w:pPr>
            <w:r w:rsidRPr="00B85FF5">
              <w:rPr>
                <w:rFonts w:ascii="Arial" w:hAnsi="Arial" w:cs="Arial"/>
                <w:color w:val="000000"/>
                <w:szCs w:val="20"/>
              </w:rPr>
              <w:t>71</w:t>
            </w:r>
          </w:p>
        </w:tc>
      </w:tr>
      <w:tr w:rsidR="00731AAA" w:rsidRPr="00B85FF5" w14:paraId="233C91DD" w14:textId="77777777" w:rsidTr="003C273A">
        <w:trPr>
          <w:trHeight w:val="288"/>
        </w:trPr>
        <w:tc>
          <w:tcPr>
            <w:tcW w:w="964" w:type="dxa"/>
            <w:vMerge w:val="restart"/>
            <w:tcBorders>
              <w:top w:val="nil"/>
              <w:left w:val="nil"/>
              <w:right w:val="nil"/>
            </w:tcBorders>
            <w:shd w:val="clear" w:color="000000" w:fill="F2F2F2"/>
            <w:noWrap/>
            <w:vAlign w:val="center"/>
          </w:tcPr>
          <w:p w14:paraId="537908D4" w14:textId="2AB6287D" w:rsidR="00731AAA" w:rsidRPr="00B85FF5" w:rsidRDefault="00731AAA" w:rsidP="00731AAA">
            <w:pPr>
              <w:spacing w:before="0" w:after="0" w:line="240" w:lineRule="auto"/>
              <w:rPr>
                <w:rFonts w:ascii="Arial" w:hAnsi="Arial" w:cs="Arial"/>
                <w:color w:val="000000"/>
                <w:szCs w:val="20"/>
              </w:rPr>
            </w:pPr>
            <w:r>
              <w:rPr>
                <w:rFonts w:ascii="Arial" w:hAnsi="Arial" w:cs="Arial"/>
                <w:color w:val="000000"/>
                <w:szCs w:val="20"/>
              </w:rPr>
              <w:t>S1 2020</w:t>
            </w:r>
          </w:p>
        </w:tc>
        <w:tc>
          <w:tcPr>
            <w:tcW w:w="1304" w:type="dxa"/>
            <w:tcBorders>
              <w:top w:val="nil"/>
              <w:left w:val="nil"/>
              <w:bottom w:val="nil"/>
              <w:right w:val="nil"/>
            </w:tcBorders>
            <w:shd w:val="clear" w:color="000000" w:fill="F2F2F2"/>
            <w:vAlign w:val="center"/>
          </w:tcPr>
          <w:p w14:paraId="73B8DF0F" w14:textId="5C65E1F9" w:rsidR="00731AAA" w:rsidRPr="00B85FF5" w:rsidRDefault="00731AAA" w:rsidP="00731AAA">
            <w:pPr>
              <w:spacing w:before="0" w:after="0" w:line="240" w:lineRule="auto"/>
              <w:jc w:val="right"/>
              <w:rPr>
                <w:rFonts w:ascii="Arial" w:hAnsi="Arial" w:cs="Arial"/>
                <w:color w:val="000000"/>
                <w:szCs w:val="20"/>
              </w:rPr>
            </w:pPr>
            <w:r w:rsidRPr="00B85FF5">
              <w:rPr>
                <w:rFonts w:ascii="Arial" w:hAnsi="Arial" w:cs="Arial"/>
                <w:color w:val="000000"/>
                <w:szCs w:val="20"/>
              </w:rPr>
              <w:t>Enrolled</w:t>
            </w:r>
          </w:p>
        </w:tc>
        <w:tc>
          <w:tcPr>
            <w:tcW w:w="960" w:type="dxa"/>
            <w:tcBorders>
              <w:top w:val="nil"/>
              <w:left w:val="nil"/>
              <w:bottom w:val="nil"/>
              <w:right w:val="nil"/>
            </w:tcBorders>
            <w:shd w:val="clear" w:color="000000" w:fill="F2F2F2"/>
            <w:noWrap/>
            <w:vAlign w:val="center"/>
          </w:tcPr>
          <w:p w14:paraId="65548D85" w14:textId="061AE1D6" w:rsidR="00731AAA" w:rsidRPr="00B85FF5" w:rsidRDefault="00731AAA" w:rsidP="00731AAA">
            <w:pPr>
              <w:spacing w:before="0" w:after="0" w:line="240" w:lineRule="auto"/>
              <w:jc w:val="right"/>
              <w:rPr>
                <w:rFonts w:ascii="Arial" w:hAnsi="Arial" w:cs="Arial"/>
                <w:color w:val="000000"/>
                <w:szCs w:val="20"/>
              </w:rPr>
            </w:pPr>
            <w:r>
              <w:rPr>
                <w:rFonts w:ascii="Arial" w:hAnsi="Arial" w:cs="Arial"/>
                <w:color w:val="000000"/>
                <w:szCs w:val="20"/>
              </w:rPr>
              <w:t>0</w:t>
            </w:r>
          </w:p>
        </w:tc>
        <w:tc>
          <w:tcPr>
            <w:tcW w:w="960" w:type="dxa"/>
            <w:tcBorders>
              <w:top w:val="nil"/>
              <w:left w:val="nil"/>
              <w:bottom w:val="nil"/>
              <w:right w:val="nil"/>
            </w:tcBorders>
            <w:shd w:val="clear" w:color="000000" w:fill="F2F2F2"/>
            <w:noWrap/>
            <w:vAlign w:val="center"/>
          </w:tcPr>
          <w:p w14:paraId="77C625B8" w14:textId="2B77A4F7" w:rsidR="00731AAA" w:rsidRPr="00B85FF5" w:rsidRDefault="00731AAA" w:rsidP="00731AAA">
            <w:pPr>
              <w:spacing w:before="0" w:after="0" w:line="240" w:lineRule="auto"/>
              <w:jc w:val="right"/>
              <w:rPr>
                <w:rFonts w:ascii="Arial" w:hAnsi="Arial" w:cs="Arial"/>
                <w:color w:val="000000"/>
                <w:szCs w:val="20"/>
              </w:rPr>
            </w:pPr>
            <w:r>
              <w:rPr>
                <w:rFonts w:ascii="Arial" w:hAnsi="Arial" w:cs="Arial"/>
                <w:color w:val="000000"/>
                <w:szCs w:val="20"/>
              </w:rPr>
              <w:t>0</w:t>
            </w:r>
          </w:p>
        </w:tc>
        <w:tc>
          <w:tcPr>
            <w:tcW w:w="960" w:type="dxa"/>
            <w:tcBorders>
              <w:top w:val="nil"/>
              <w:left w:val="nil"/>
              <w:bottom w:val="nil"/>
              <w:right w:val="nil"/>
            </w:tcBorders>
            <w:shd w:val="clear" w:color="000000" w:fill="F2F2F2"/>
            <w:noWrap/>
            <w:vAlign w:val="center"/>
          </w:tcPr>
          <w:p w14:paraId="07A1EE19" w14:textId="46E13DF0" w:rsidR="00731AAA" w:rsidRPr="00B85FF5" w:rsidRDefault="00731AAA" w:rsidP="00731AAA">
            <w:pPr>
              <w:spacing w:before="0" w:after="0" w:line="240" w:lineRule="auto"/>
              <w:jc w:val="right"/>
              <w:rPr>
                <w:rFonts w:ascii="Arial" w:hAnsi="Arial" w:cs="Arial"/>
                <w:color w:val="000000"/>
                <w:szCs w:val="20"/>
              </w:rPr>
            </w:pPr>
            <w:r>
              <w:rPr>
                <w:rFonts w:ascii="Arial" w:hAnsi="Arial" w:cs="Arial"/>
                <w:color w:val="000000"/>
                <w:szCs w:val="20"/>
              </w:rPr>
              <w:t>12</w:t>
            </w:r>
          </w:p>
        </w:tc>
        <w:tc>
          <w:tcPr>
            <w:tcW w:w="1020" w:type="dxa"/>
            <w:tcBorders>
              <w:top w:val="nil"/>
              <w:left w:val="nil"/>
              <w:bottom w:val="nil"/>
              <w:right w:val="nil"/>
            </w:tcBorders>
            <w:shd w:val="clear" w:color="000000" w:fill="F2F2F2"/>
            <w:noWrap/>
            <w:vAlign w:val="center"/>
          </w:tcPr>
          <w:p w14:paraId="6A37D812" w14:textId="0BED568F" w:rsidR="00731AAA" w:rsidRPr="00B85FF5" w:rsidRDefault="00731AAA" w:rsidP="00731AAA">
            <w:pPr>
              <w:spacing w:before="0" w:after="0" w:line="240" w:lineRule="auto"/>
              <w:jc w:val="right"/>
              <w:rPr>
                <w:rFonts w:ascii="Arial" w:hAnsi="Arial" w:cs="Arial"/>
                <w:color w:val="000000"/>
                <w:szCs w:val="20"/>
              </w:rPr>
            </w:pPr>
            <w:r>
              <w:rPr>
                <w:rFonts w:ascii="Arial" w:hAnsi="Arial" w:cs="Arial"/>
                <w:color w:val="000000"/>
                <w:szCs w:val="20"/>
              </w:rPr>
              <w:t>0</w:t>
            </w:r>
          </w:p>
        </w:tc>
        <w:tc>
          <w:tcPr>
            <w:tcW w:w="1020" w:type="dxa"/>
            <w:tcBorders>
              <w:top w:val="nil"/>
              <w:left w:val="nil"/>
              <w:bottom w:val="nil"/>
              <w:right w:val="nil"/>
            </w:tcBorders>
            <w:shd w:val="clear" w:color="000000" w:fill="F2F2F2"/>
            <w:noWrap/>
            <w:vAlign w:val="center"/>
          </w:tcPr>
          <w:p w14:paraId="7B692412" w14:textId="161C39A0" w:rsidR="00731AAA" w:rsidRPr="00B85FF5" w:rsidRDefault="00731AAA" w:rsidP="00731AAA">
            <w:pPr>
              <w:spacing w:before="0" w:after="0" w:line="240" w:lineRule="auto"/>
              <w:jc w:val="right"/>
              <w:rPr>
                <w:rFonts w:ascii="Arial" w:hAnsi="Arial" w:cs="Arial"/>
                <w:color w:val="000000"/>
                <w:szCs w:val="20"/>
              </w:rPr>
            </w:pPr>
            <w:r>
              <w:rPr>
                <w:rFonts w:ascii="Arial" w:hAnsi="Arial" w:cs="Arial"/>
                <w:color w:val="000000"/>
                <w:szCs w:val="20"/>
              </w:rPr>
              <w:t>2</w:t>
            </w:r>
          </w:p>
        </w:tc>
        <w:tc>
          <w:tcPr>
            <w:tcW w:w="1020" w:type="dxa"/>
            <w:tcBorders>
              <w:top w:val="nil"/>
              <w:left w:val="nil"/>
              <w:bottom w:val="nil"/>
              <w:right w:val="nil"/>
            </w:tcBorders>
            <w:shd w:val="clear" w:color="000000" w:fill="F2F2F2"/>
            <w:noWrap/>
            <w:vAlign w:val="center"/>
          </w:tcPr>
          <w:p w14:paraId="0B99B835" w14:textId="43C056EB" w:rsidR="00731AAA" w:rsidRPr="00B85FF5" w:rsidRDefault="00731AAA" w:rsidP="00731AAA">
            <w:pPr>
              <w:spacing w:before="0" w:after="0" w:line="240" w:lineRule="auto"/>
              <w:jc w:val="right"/>
              <w:rPr>
                <w:rFonts w:ascii="Arial" w:hAnsi="Arial" w:cs="Arial"/>
                <w:color w:val="000000"/>
                <w:szCs w:val="20"/>
              </w:rPr>
            </w:pPr>
            <w:r>
              <w:rPr>
                <w:rFonts w:ascii="Arial" w:hAnsi="Arial" w:cs="Arial"/>
                <w:color w:val="000000"/>
                <w:szCs w:val="20"/>
              </w:rPr>
              <w:t>0</w:t>
            </w:r>
          </w:p>
        </w:tc>
      </w:tr>
      <w:tr w:rsidR="00731AAA" w:rsidRPr="00B85FF5" w14:paraId="0EDBB15B" w14:textId="77777777" w:rsidTr="003C273A">
        <w:trPr>
          <w:trHeight w:val="288"/>
        </w:trPr>
        <w:tc>
          <w:tcPr>
            <w:tcW w:w="964" w:type="dxa"/>
            <w:vMerge/>
            <w:tcBorders>
              <w:left w:val="nil"/>
              <w:bottom w:val="nil"/>
              <w:right w:val="nil"/>
            </w:tcBorders>
            <w:shd w:val="clear" w:color="000000" w:fill="F2F2F2"/>
            <w:noWrap/>
            <w:vAlign w:val="center"/>
          </w:tcPr>
          <w:p w14:paraId="23C84B56" w14:textId="1CA6AB08" w:rsidR="00731AAA" w:rsidRPr="00B85FF5" w:rsidRDefault="00731AAA" w:rsidP="00731AAA">
            <w:pPr>
              <w:spacing w:before="0" w:after="0" w:line="240" w:lineRule="auto"/>
              <w:rPr>
                <w:rFonts w:ascii="Arial" w:hAnsi="Arial" w:cs="Arial"/>
                <w:color w:val="000000"/>
                <w:szCs w:val="20"/>
              </w:rPr>
            </w:pPr>
          </w:p>
        </w:tc>
        <w:tc>
          <w:tcPr>
            <w:tcW w:w="1304" w:type="dxa"/>
            <w:tcBorders>
              <w:top w:val="nil"/>
              <w:left w:val="nil"/>
              <w:bottom w:val="nil"/>
              <w:right w:val="nil"/>
            </w:tcBorders>
            <w:shd w:val="clear" w:color="000000" w:fill="F2F2F2"/>
            <w:vAlign w:val="center"/>
          </w:tcPr>
          <w:p w14:paraId="0B192849" w14:textId="4B9AF010" w:rsidR="00731AAA" w:rsidRPr="00B85FF5" w:rsidRDefault="00731AAA" w:rsidP="00731AAA">
            <w:pPr>
              <w:spacing w:before="0" w:after="0" w:line="240" w:lineRule="auto"/>
              <w:jc w:val="right"/>
              <w:rPr>
                <w:rFonts w:ascii="Arial" w:hAnsi="Arial" w:cs="Arial"/>
                <w:color w:val="000000"/>
                <w:szCs w:val="20"/>
              </w:rPr>
            </w:pPr>
            <w:r w:rsidRPr="00B85FF5">
              <w:rPr>
                <w:rFonts w:ascii="Arial" w:hAnsi="Arial" w:cs="Arial"/>
                <w:color w:val="000000"/>
                <w:szCs w:val="20"/>
              </w:rPr>
              <w:t>Not</w:t>
            </w:r>
            <w:r>
              <w:rPr>
                <w:rFonts w:ascii="Arial" w:hAnsi="Arial" w:cs="Arial"/>
                <w:color w:val="000000"/>
                <w:szCs w:val="20"/>
              </w:rPr>
              <w:t xml:space="preserve"> enrolled</w:t>
            </w:r>
          </w:p>
        </w:tc>
        <w:tc>
          <w:tcPr>
            <w:tcW w:w="960" w:type="dxa"/>
            <w:tcBorders>
              <w:top w:val="nil"/>
              <w:left w:val="nil"/>
              <w:bottom w:val="nil"/>
              <w:right w:val="nil"/>
            </w:tcBorders>
            <w:shd w:val="clear" w:color="000000" w:fill="F2F2F2"/>
            <w:noWrap/>
            <w:vAlign w:val="center"/>
          </w:tcPr>
          <w:p w14:paraId="55FEF9AF" w14:textId="5CC1A985" w:rsidR="00731AAA" w:rsidRPr="00B85FF5" w:rsidRDefault="00731AAA" w:rsidP="00731AAA">
            <w:pPr>
              <w:spacing w:before="0" w:after="0" w:line="240" w:lineRule="auto"/>
              <w:jc w:val="right"/>
              <w:rPr>
                <w:rFonts w:ascii="Arial" w:hAnsi="Arial" w:cs="Arial"/>
                <w:color w:val="000000"/>
                <w:szCs w:val="20"/>
              </w:rPr>
            </w:pPr>
            <w:r>
              <w:rPr>
                <w:rFonts w:ascii="Arial" w:hAnsi="Arial" w:cs="Arial"/>
                <w:color w:val="000000"/>
                <w:szCs w:val="20"/>
              </w:rPr>
              <w:t>88</w:t>
            </w:r>
          </w:p>
        </w:tc>
        <w:tc>
          <w:tcPr>
            <w:tcW w:w="960" w:type="dxa"/>
            <w:tcBorders>
              <w:top w:val="nil"/>
              <w:left w:val="nil"/>
              <w:bottom w:val="nil"/>
              <w:right w:val="nil"/>
            </w:tcBorders>
            <w:shd w:val="clear" w:color="000000" w:fill="F2F2F2"/>
            <w:noWrap/>
            <w:vAlign w:val="center"/>
          </w:tcPr>
          <w:p w14:paraId="31BD8771" w14:textId="7D730688" w:rsidR="00731AAA" w:rsidRPr="00B85FF5" w:rsidRDefault="00731AAA" w:rsidP="00731AAA">
            <w:pPr>
              <w:spacing w:before="0" w:after="0" w:line="240" w:lineRule="auto"/>
              <w:jc w:val="right"/>
              <w:rPr>
                <w:rFonts w:ascii="Arial" w:hAnsi="Arial" w:cs="Arial"/>
                <w:color w:val="000000"/>
                <w:szCs w:val="20"/>
              </w:rPr>
            </w:pPr>
            <w:r>
              <w:rPr>
                <w:rFonts w:ascii="Arial" w:hAnsi="Arial" w:cs="Arial"/>
                <w:color w:val="000000"/>
                <w:szCs w:val="20"/>
              </w:rPr>
              <w:t>88</w:t>
            </w:r>
          </w:p>
        </w:tc>
        <w:tc>
          <w:tcPr>
            <w:tcW w:w="960" w:type="dxa"/>
            <w:tcBorders>
              <w:top w:val="nil"/>
              <w:left w:val="nil"/>
              <w:bottom w:val="nil"/>
              <w:right w:val="nil"/>
            </w:tcBorders>
            <w:shd w:val="clear" w:color="000000" w:fill="F2F2F2"/>
            <w:noWrap/>
            <w:vAlign w:val="center"/>
          </w:tcPr>
          <w:p w14:paraId="4F01BDDC" w14:textId="235D594E" w:rsidR="00731AAA" w:rsidRPr="00B85FF5" w:rsidRDefault="00731AAA" w:rsidP="00731AAA">
            <w:pPr>
              <w:spacing w:before="0" w:after="0" w:line="240" w:lineRule="auto"/>
              <w:jc w:val="right"/>
              <w:rPr>
                <w:rFonts w:ascii="Arial" w:hAnsi="Arial" w:cs="Arial"/>
                <w:color w:val="000000"/>
                <w:szCs w:val="20"/>
              </w:rPr>
            </w:pPr>
            <w:r>
              <w:rPr>
                <w:rFonts w:ascii="Arial" w:hAnsi="Arial" w:cs="Arial"/>
                <w:color w:val="000000"/>
                <w:szCs w:val="20"/>
              </w:rPr>
              <w:t>76</w:t>
            </w:r>
          </w:p>
        </w:tc>
        <w:tc>
          <w:tcPr>
            <w:tcW w:w="1020" w:type="dxa"/>
            <w:tcBorders>
              <w:top w:val="nil"/>
              <w:left w:val="nil"/>
              <w:bottom w:val="nil"/>
              <w:right w:val="nil"/>
            </w:tcBorders>
            <w:shd w:val="clear" w:color="000000" w:fill="F2F2F2"/>
            <w:noWrap/>
            <w:vAlign w:val="center"/>
          </w:tcPr>
          <w:p w14:paraId="10DD8986" w14:textId="461FD7A8" w:rsidR="00731AAA" w:rsidRPr="00B85FF5" w:rsidRDefault="00731AAA" w:rsidP="00731AAA">
            <w:pPr>
              <w:spacing w:before="0" w:after="0" w:line="240" w:lineRule="auto"/>
              <w:jc w:val="right"/>
              <w:rPr>
                <w:rFonts w:ascii="Arial" w:hAnsi="Arial" w:cs="Arial"/>
                <w:color w:val="000000"/>
                <w:szCs w:val="20"/>
              </w:rPr>
            </w:pPr>
            <w:r>
              <w:rPr>
                <w:rFonts w:ascii="Arial" w:hAnsi="Arial" w:cs="Arial"/>
                <w:color w:val="000000"/>
                <w:szCs w:val="20"/>
              </w:rPr>
              <w:t>88</w:t>
            </w:r>
          </w:p>
        </w:tc>
        <w:tc>
          <w:tcPr>
            <w:tcW w:w="1020" w:type="dxa"/>
            <w:tcBorders>
              <w:top w:val="nil"/>
              <w:left w:val="nil"/>
              <w:bottom w:val="nil"/>
              <w:right w:val="nil"/>
            </w:tcBorders>
            <w:shd w:val="clear" w:color="000000" w:fill="F2F2F2"/>
            <w:noWrap/>
            <w:vAlign w:val="center"/>
          </w:tcPr>
          <w:p w14:paraId="1DF1A309" w14:textId="0C852A9C" w:rsidR="00731AAA" w:rsidRPr="00B85FF5" w:rsidRDefault="00731AAA" w:rsidP="00731AAA">
            <w:pPr>
              <w:spacing w:before="0" w:after="0" w:line="240" w:lineRule="auto"/>
              <w:jc w:val="right"/>
              <w:rPr>
                <w:rFonts w:ascii="Arial" w:hAnsi="Arial" w:cs="Arial"/>
                <w:color w:val="000000"/>
                <w:szCs w:val="20"/>
              </w:rPr>
            </w:pPr>
            <w:r>
              <w:rPr>
                <w:rFonts w:ascii="Arial" w:hAnsi="Arial" w:cs="Arial"/>
                <w:color w:val="000000"/>
                <w:szCs w:val="20"/>
              </w:rPr>
              <w:t>86</w:t>
            </w:r>
          </w:p>
        </w:tc>
        <w:tc>
          <w:tcPr>
            <w:tcW w:w="1020" w:type="dxa"/>
            <w:tcBorders>
              <w:top w:val="nil"/>
              <w:left w:val="nil"/>
              <w:bottom w:val="nil"/>
              <w:right w:val="nil"/>
            </w:tcBorders>
            <w:shd w:val="clear" w:color="000000" w:fill="F2F2F2"/>
            <w:noWrap/>
            <w:vAlign w:val="center"/>
          </w:tcPr>
          <w:p w14:paraId="5A086370" w14:textId="620CA13C" w:rsidR="00731AAA" w:rsidRPr="00B85FF5" w:rsidRDefault="00731AAA" w:rsidP="00731AAA">
            <w:pPr>
              <w:spacing w:before="0" w:after="0" w:line="240" w:lineRule="auto"/>
              <w:jc w:val="right"/>
              <w:rPr>
                <w:rFonts w:ascii="Arial" w:hAnsi="Arial" w:cs="Arial"/>
                <w:color w:val="000000"/>
                <w:szCs w:val="20"/>
              </w:rPr>
            </w:pPr>
            <w:r>
              <w:rPr>
                <w:rFonts w:ascii="Arial" w:hAnsi="Arial" w:cs="Arial"/>
                <w:color w:val="000000"/>
                <w:szCs w:val="20"/>
              </w:rPr>
              <w:t>88</w:t>
            </w:r>
          </w:p>
        </w:tc>
      </w:tr>
    </w:tbl>
    <w:p w14:paraId="5AD4951B" w14:textId="73A91D1E" w:rsidR="00A03C29" w:rsidRDefault="00A03C29" w:rsidP="00E84ACD">
      <w:pPr>
        <w:pStyle w:val="Heading4"/>
      </w:pPr>
      <w:r>
        <w:t>Impact of mentoring on Grade Point Average (GPA)</w:t>
      </w:r>
    </w:p>
    <w:p w14:paraId="1676F289" w14:textId="1F00175E" w:rsidR="00820A12" w:rsidRPr="006E501B" w:rsidRDefault="00820A12" w:rsidP="004A1EBF">
      <w:r w:rsidRPr="006E501B">
        <w:t>We did not pre</w:t>
      </w:r>
      <w:r w:rsidRPr="006E501B">
        <w:noBreakHyphen/>
        <w:t>specify Grade Point Average (GPA) as one of our outcome variables so the results below should be treated as exploratory. Nonetheless, we tested an after</w:t>
      </w:r>
      <w:r w:rsidRPr="006E501B">
        <w:noBreakHyphen/>
        <w:t>the</w:t>
      </w:r>
      <w:r w:rsidRPr="006E501B">
        <w:noBreakHyphen/>
        <w:t xml:space="preserve">fact hypothesis that the mentoring program led to a higher GPA. We believe this is broadly consistent with our theory of change for the program, since the mentoring may have increased students’ motivation, or helped them acquire skills or resources that supported their studies. </w:t>
      </w:r>
    </w:p>
    <w:p w14:paraId="618D21DA" w14:textId="7CAAB5DF" w:rsidR="00820A12" w:rsidRPr="006E501B" w:rsidRDefault="00820A12" w:rsidP="004A1EBF">
      <w:r w:rsidRPr="006E501B">
        <w:t>As with our analysis of enrolment outcomes, our results suggest mentored students achieved a substantially higher GPA than those in the control group however the wide confidence intervals imply that it is also possible the program had little or no effect. Our robustness checks vary little from our primary analysis.</w:t>
      </w:r>
    </w:p>
    <w:p w14:paraId="3C101570" w14:textId="1E8DED5E" w:rsidR="00DE22BC" w:rsidRPr="006E501B" w:rsidRDefault="00DE22BC" w:rsidP="004A1EBF">
      <w:r w:rsidRPr="006E501B">
        <w:t>The GPA ranges from zero to seven as follows: High Distinction=7, Distinction=6, Credit=5, Pass or Pass at supplementary exam=4, and zero is assigned for Fail, Not completed/fail, or Withdrawn with failure.</w:t>
      </w:r>
    </w:p>
    <w:p w14:paraId="28690633" w14:textId="7EB07C47" w:rsidR="00A03C29" w:rsidRDefault="00BF743C" w:rsidP="00BF743C">
      <w:pPr>
        <w:pStyle w:val="FigureHeading"/>
        <w:numPr>
          <w:ilvl w:val="0"/>
          <w:numId w:val="0"/>
        </w:numPr>
        <w:ind w:left="1430" w:hanging="720"/>
      </w:pPr>
      <w:r>
        <w:t xml:space="preserve">Figure 20: </w:t>
      </w:r>
      <w:r w:rsidR="00CB54CA">
        <w:t>GPA</w:t>
      </w:r>
      <w:r w:rsidR="00484B88">
        <w:t xml:space="preserve"> S2 2019</w:t>
      </w:r>
      <w:r w:rsidR="00CB54CA">
        <w:t>, p</w:t>
      </w:r>
      <w:r w:rsidR="00A03C29">
        <w:t>rimary analysis</w:t>
      </w:r>
    </w:p>
    <w:tbl>
      <w:tblPr>
        <w:tblW w:w="8225" w:type="dxa"/>
        <w:tblLook w:val="04A0" w:firstRow="1" w:lastRow="0" w:firstColumn="1" w:lastColumn="0" w:noHBand="0" w:noVBand="1"/>
        <w:tblCaption w:val="Figure 20: GPA S2 2019, primary analysis"/>
      </w:tblPr>
      <w:tblGrid>
        <w:gridCol w:w="1361"/>
        <w:gridCol w:w="510"/>
        <w:gridCol w:w="1644"/>
        <w:gridCol w:w="1195"/>
        <w:gridCol w:w="1247"/>
        <w:gridCol w:w="964"/>
        <w:gridCol w:w="1304"/>
      </w:tblGrid>
      <w:tr w:rsidR="00A03C29" w:rsidRPr="002C1E9A" w14:paraId="4D3CA009" w14:textId="77777777" w:rsidTr="00731CEB">
        <w:trPr>
          <w:trHeight w:val="528"/>
          <w:tblHeader/>
        </w:trPr>
        <w:tc>
          <w:tcPr>
            <w:tcW w:w="1361" w:type="dxa"/>
            <w:tcBorders>
              <w:top w:val="nil"/>
              <w:left w:val="nil"/>
              <w:bottom w:val="nil"/>
              <w:right w:val="nil"/>
            </w:tcBorders>
            <w:shd w:val="clear" w:color="000000" w:fill="142E3A"/>
            <w:noWrap/>
            <w:vAlign w:val="center"/>
            <w:hideMark/>
          </w:tcPr>
          <w:p w14:paraId="601FA0C0" w14:textId="77777777" w:rsidR="00A03C29" w:rsidRPr="002C1E9A" w:rsidRDefault="00A03C29" w:rsidP="00820A12">
            <w:pPr>
              <w:keepNext/>
              <w:spacing w:before="0" w:after="0" w:line="240" w:lineRule="auto"/>
              <w:rPr>
                <w:rFonts w:ascii="Arial" w:hAnsi="Arial" w:cs="Arial"/>
                <w:b/>
                <w:bCs/>
                <w:color w:val="FFFFFF"/>
                <w:szCs w:val="20"/>
              </w:rPr>
            </w:pPr>
            <w:r w:rsidRPr="002C1E9A">
              <w:rPr>
                <w:rFonts w:ascii="Arial" w:hAnsi="Arial" w:cs="Arial"/>
                <w:b/>
                <w:bCs/>
                <w:color w:val="FFFFFF"/>
                <w:szCs w:val="20"/>
              </w:rPr>
              <w:t> Treatment</w:t>
            </w:r>
          </w:p>
        </w:tc>
        <w:tc>
          <w:tcPr>
            <w:tcW w:w="510" w:type="dxa"/>
            <w:tcBorders>
              <w:top w:val="nil"/>
              <w:left w:val="nil"/>
              <w:bottom w:val="nil"/>
              <w:right w:val="nil"/>
            </w:tcBorders>
            <w:shd w:val="clear" w:color="000000" w:fill="142E3A"/>
            <w:noWrap/>
            <w:vAlign w:val="center"/>
            <w:hideMark/>
          </w:tcPr>
          <w:p w14:paraId="3866D7DE" w14:textId="77777777" w:rsidR="00A03C29" w:rsidRPr="002C1E9A" w:rsidRDefault="00A03C29" w:rsidP="00820A12">
            <w:pPr>
              <w:keepNext/>
              <w:spacing w:before="0" w:after="0" w:line="240" w:lineRule="auto"/>
              <w:jc w:val="center"/>
              <w:rPr>
                <w:rFonts w:ascii="Arial" w:hAnsi="Arial" w:cs="Arial"/>
                <w:b/>
                <w:bCs/>
                <w:color w:val="FFFFFF"/>
                <w:szCs w:val="20"/>
              </w:rPr>
            </w:pPr>
            <w:r w:rsidRPr="002C1E9A">
              <w:rPr>
                <w:rFonts w:ascii="Arial" w:hAnsi="Arial" w:cs="Arial"/>
                <w:b/>
                <w:bCs/>
                <w:color w:val="FFFFFF"/>
                <w:szCs w:val="20"/>
              </w:rPr>
              <w:t>N</w:t>
            </w:r>
          </w:p>
        </w:tc>
        <w:tc>
          <w:tcPr>
            <w:tcW w:w="1644" w:type="dxa"/>
            <w:tcBorders>
              <w:top w:val="nil"/>
              <w:left w:val="nil"/>
              <w:bottom w:val="nil"/>
              <w:right w:val="nil"/>
            </w:tcBorders>
            <w:shd w:val="clear" w:color="000000" w:fill="142E3A"/>
            <w:vAlign w:val="center"/>
            <w:hideMark/>
          </w:tcPr>
          <w:p w14:paraId="5C742BA0" w14:textId="38AE53A3" w:rsidR="00A03C29" w:rsidRPr="002C1E9A" w:rsidRDefault="00AC704E" w:rsidP="00820A12">
            <w:pPr>
              <w:keepNext/>
              <w:spacing w:before="0" w:after="0" w:line="240" w:lineRule="auto"/>
              <w:rPr>
                <w:rFonts w:ascii="Arial" w:hAnsi="Arial" w:cs="Arial"/>
                <w:b/>
                <w:bCs/>
                <w:color w:val="FFFFFF"/>
                <w:szCs w:val="20"/>
              </w:rPr>
            </w:pPr>
            <w:r>
              <w:rPr>
                <w:rFonts w:ascii="Arial" w:hAnsi="Arial" w:cs="Arial"/>
                <w:b/>
                <w:bCs/>
                <w:color w:val="FFFFFF"/>
                <w:szCs w:val="20"/>
              </w:rPr>
              <w:t xml:space="preserve">GPA </w:t>
            </w:r>
            <w:r>
              <w:rPr>
                <w:rFonts w:ascii="Arial" w:hAnsi="Arial" w:cs="Arial"/>
                <w:b/>
                <w:bCs/>
                <w:color w:val="FFFFFF"/>
                <w:szCs w:val="20"/>
              </w:rPr>
              <w:br/>
            </w:r>
            <w:r>
              <w:rPr>
                <w:rFonts w:ascii="Arial" w:hAnsi="Arial" w:cs="Arial"/>
                <w:bCs/>
                <w:color w:val="FFFFFF"/>
                <w:szCs w:val="20"/>
              </w:rPr>
              <w:t>(0-7 score</w:t>
            </w:r>
            <w:r w:rsidR="00A03C29" w:rsidRPr="002C1E9A">
              <w:rPr>
                <w:rFonts w:ascii="Arial" w:hAnsi="Arial" w:cs="Arial"/>
                <w:bCs/>
                <w:color w:val="FFFFFF"/>
                <w:szCs w:val="20"/>
              </w:rPr>
              <w:t>)</w:t>
            </w:r>
          </w:p>
        </w:tc>
        <w:tc>
          <w:tcPr>
            <w:tcW w:w="1195" w:type="dxa"/>
            <w:tcBorders>
              <w:top w:val="nil"/>
              <w:left w:val="nil"/>
              <w:bottom w:val="nil"/>
              <w:right w:val="nil"/>
            </w:tcBorders>
            <w:shd w:val="clear" w:color="000000" w:fill="142E3A"/>
            <w:vAlign w:val="center"/>
            <w:hideMark/>
          </w:tcPr>
          <w:p w14:paraId="6FBA7A01" w14:textId="18E440A2" w:rsidR="00A03C29" w:rsidRPr="002C1E9A" w:rsidRDefault="00A03C29" w:rsidP="00820A12">
            <w:pPr>
              <w:keepNext/>
              <w:spacing w:before="0" w:after="0" w:line="240" w:lineRule="auto"/>
              <w:rPr>
                <w:rFonts w:ascii="Arial" w:hAnsi="Arial" w:cs="Arial"/>
                <w:b/>
                <w:bCs/>
                <w:color w:val="FFFFFF"/>
                <w:szCs w:val="20"/>
              </w:rPr>
            </w:pPr>
            <w:r w:rsidRPr="002C1E9A">
              <w:rPr>
                <w:rFonts w:ascii="Arial" w:hAnsi="Arial" w:cs="Arial"/>
                <w:b/>
                <w:bCs/>
                <w:color w:val="FFFFFF"/>
                <w:szCs w:val="20"/>
              </w:rPr>
              <w:t xml:space="preserve">Difference </w:t>
            </w:r>
          </w:p>
        </w:tc>
        <w:tc>
          <w:tcPr>
            <w:tcW w:w="1247" w:type="dxa"/>
            <w:tcBorders>
              <w:top w:val="nil"/>
              <w:left w:val="nil"/>
              <w:bottom w:val="nil"/>
              <w:right w:val="nil"/>
            </w:tcBorders>
            <w:shd w:val="clear" w:color="000000" w:fill="142E3A"/>
            <w:vAlign w:val="center"/>
            <w:hideMark/>
          </w:tcPr>
          <w:p w14:paraId="5FE7733E" w14:textId="77777777" w:rsidR="00A03C29" w:rsidRPr="002C1E9A" w:rsidRDefault="00A03C29" w:rsidP="00820A12">
            <w:pPr>
              <w:keepNext/>
              <w:spacing w:before="0" w:after="0" w:line="240" w:lineRule="auto"/>
              <w:rPr>
                <w:rFonts w:ascii="Arial" w:hAnsi="Arial" w:cs="Arial"/>
                <w:b/>
                <w:bCs/>
                <w:color w:val="FFFFFF"/>
                <w:szCs w:val="20"/>
              </w:rPr>
            </w:pPr>
            <w:r w:rsidRPr="002C1E9A">
              <w:rPr>
                <w:rFonts w:ascii="Arial" w:hAnsi="Arial" w:cs="Arial"/>
                <w:b/>
                <w:bCs/>
                <w:color w:val="FFFFFF"/>
                <w:szCs w:val="20"/>
              </w:rPr>
              <w:t xml:space="preserve">95% CI </w:t>
            </w:r>
            <w:r w:rsidRPr="002C1E9A">
              <w:rPr>
                <w:rFonts w:ascii="Arial" w:hAnsi="Arial" w:cs="Arial"/>
                <w:b/>
                <w:bCs/>
                <w:color w:val="FFFFFF"/>
                <w:szCs w:val="20"/>
              </w:rPr>
              <w:br/>
            </w:r>
            <w:r w:rsidRPr="002C1E9A">
              <w:rPr>
                <w:rFonts w:ascii="Arial" w:hAnsi="Arial" w:cs="Arial"/>
                <w:bCs/>
                <w:color w:val="FFFFFF"/>
                <w:szCs w:val="20"/>
              </w:rPr>
              <w:t>(one-sided)</w:t>
            </w:r>
          </w:p>
        </w:tc>
        <w:tc>
          <w:tcPr>
            <w:tcW w:w="964" w:type="dxa"/>
            <w:tcBorders>
              <w:top w:val="nil"/>
              <w:left w:val="nil"/>
              <w:bottom w:val="nil"/>
              <w:right w:val="nil"/>
            </w:tcBorders>
            <w:shd w:val="clear" w:color="000000" w:fill="142E3A"/>
            <w:noWrap/>
            <w:vAlign w:val="center"/>
            <w:hideMark/>
          </w:tcPr>
          <w:p w14:paraId="4D3D0D87" w14:textId="77777777" w:rsidR="00A03C29" w:rsidRPr="002C1E9A" w:rsidRDefault="00A03C29" w:rsidP="00820A12">
            <w:pPr>
              <w:keepNext/>
              <w:spacing w:before="0" w:after="0" w:line="240" w:lineRule="auto"/>
              <w:rPr>
                <w:rFonts w:ascii="Arial" w:hAnsi="Arial" w:cs="Arial"/>
                <w:b/>
                <w:bCs/>
                <w:color w:val="FFFFFF"/>
                <w:szCs w:val="20"/>
              </w:rPr>
            </w:pPr>
            <w:r w:rsidRPr="002C1E9A">
              <w:rPr>
                <w:rFonts w:ascii="Arial" w:hAnsi="Arial" w:cs="Arial"/>
                <w:b/>
                <w:bCs/>
                <w:color w:val="FFFFFF"/>
                <w:szCs w:val="20"/>
              </w:rPr>
              <w:t>p-value</w:t>
            </w:r>
          </w:p>
        </w:tc>
        <w:tc>
          <w:tcPr>
            <w:tcW w:w="1304" w:type="dxa"/>
            <w:tcBorders>
              <w:top w:val="nil"/>
              <w:left w:val="nil"/>
              <w:bottom w:val="nil"/>
              <w:right w:val="nil"/>
            </w:tcBorders>
            <w:shd w:val="clear" w:color="000000" w:fill="142E3A"/>
            <w:vAlign w:val="center"/>
            <w:hideMark/>
          </w:tcPr>
          <w:p w14:paraId="3A3CE57C" w14:textId="4E415452" w:rsidR="00A03C29" w:rsidRPr="002C1E9A" w:rsidRDefault="00A03C29" w:rsidP="00820A12">
            <w:pPr>
              <w:keepNext/>
              <w:spacing w:before="0" w:after="0" w:line="240" w:lineRule="auto"/>
              <w:rPr>
                <w:rFonts w:ascii="Arial" w:hAnsi="Arial" w:cs="Arial"/>
                <w:b/>
                <w:bCs/>
                <w:color w:val="FFFFFF"/>
                <w:szCs w:val="20"/>
              </w:rPr>
            </w:pPr>
            <w:r w:rsidRPr="002C1E9A">
              <w:rPr>
                <w:rFonts w:ascii="Arial" w:hAnsi="Arial" w:cs="Arial"/>
                <w:b/>
                <w:bCs/>
                <w:color w:val="FFFFFF"/>
                <w:szCs w:val="20"/>
              </w:rPr>
              <w:t xml:space="preserve">Standard error </w:t>
            </w:r>
          </w:p>
        </w:tc>
      </w:tr>
      <w:tr w:rsidR="004F3BD5" w:rsidRPr="002C1E9A" w14:paraId="6BB7A5C8" w14:textId="77777777" w:rsidTr="004A1EBF">
        <w:trPr>
          <w:trHeight w:val="276"/>
        </w:trPr>
        <w:tc>
          <w:tcPr>
            <w:tcW w:w="1361" w:type="dxa"/>
            <w:tcBorders>
              <w:top w:val="nil"/>
              <w:left w:val="nil"/>
              <w:bottom w:val="nil"/>
              <w:right w:val="nil"/>
            </w:tcBorders>
            <w:shd w:val="clear" w:color="000000" w:fill="F2F2F2"/>
            <w:noWrap/>
            <w:hideMark/>
          </w:tcPr>
          <w:p w14:paraId="29D458E1" w14:textId="7AD25221" w:rsidR="004F3BD5" w:rsidRPr="004F3BD5" w:rsidRDefault="004F3BD5" w:rsidP="004F3BD5">
            <w:pPr>
              <w:keepNext/>
              <w:spacing w:before="0" w:after="0" w:line="240" w:lineRule="auto"/>
              <w:rPr>
                <w:rFonts w:ascii="Arial" w:hAnsi="Arial" w:cs="Arial"/>
                <w:color w:val="auto"/>
                <w:szCs w:val="20"/>
              </w:rPr>
            </w:pPr>
            <w:r w:rsidRPr="004F3BD5">
              <w:rPr>
                <w:color w:val="auto"/>
              </w:rPr>
              <w:t xml:space="preserve">Control </w:t>
            </w:r>
          </w:p>
        </w:tc>
        <w:tc>
          <w:tcPr>
            <w:tcW w:w="510" w:type="dxa"/>
            <w:tcBorders>
              <w:top w:val="nil"/>
              <w:left w:val="nil"/>
              <w:bottom w:val="nil"/>
              <w:right w:val="nil"/>
            </w:tcBorders>
            <w:shd w:val="clear" w:color="000000" w:fill="F2F2F2"/>
            <w:noWrap/>
            <w:hideMark/>
          </w:tcPr>
          <w:p w14:paraId="526280E3" w14:textId="7D0C42BC"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33</w:t>
            </w:r>
          </w:p>
        </w:tc>
        <w:tc>
          <w:tcPr>
            <w:tcW w:w="1644" w:type="dxa"/>
            <w:tcBorders>
              <w:top w:val="nil"/>
              <w:left w:val="nil"/>
              <w:bottom w:val="nil"/>
              <w:right w:val="nil"/>
            </w:tcBorders>
            <w:shd w:val="clear" w:color="000000" w:fill="F2F2F2"/>
            <w:noWrap/>
          </w:tcPr>
          <w:p w14:paraId="27F75371" w14:textId="0FB485B7"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5.20</w:t>
            </w:r>
          </w:p>
        </w:tc>
        <w:tc>
          <w:tcPr>
            <w:tcW w:w="1195" w:type="dxa"/>
            <w:tcBorders>
              <w:top w:val="nil"/>
              <w:left w:val="nil"/>
              <w:bottom w:val="nil"/>
              <w:right w:val="nil"/>
            </w:tcBorders>
            <w:shd w:val="clear" w:color="000000" w:fill="F2F2F2"/>
            <w:noWrap/>
          </w:tcPr>
          <w:p w14:paraId="5648DAC2" w14:textId="27641E8B" w:rsidR="004F3BD5" w:rsidRPr="004F3BD5" w:rsidRDefault="004F3BD5" w:rsidP="004F3BD5">
            <w:pPr>
              <w:keepNext/>
              <w:spacing w:before="0" w:after="0" w:line="240" w:lineRule="auto"/>
              <w:jc w:val="right"/>
              <w:rPr>
                <w:rFonts w:ascii="Arial" w:hAnsi="Arial" w:cs="Arial"/>
                <w:color w:val="auto"/>
                <w:szCs w:val="20"/>
              </w:rPr>
            </w:pPr>
          </w:p>
        </w:tc>
        <w:tc>
          <w:tcPr>
            <w:tcW w:w="1247" w:type="dxa"/>
            <w:tcBorders>
              <w:top w:val="nil"/>
              <w:left w:val="nil"/>
              <w:bottom w:val="nil"/>
              <w:right w:val="nil"/>
            </w:tcBorders>
            <w:shd w:val="clear" w:color="000000" w:fill="F2F2F2"/>
          </w:tcPr>
          <w:p w14:paraId="43FD33F8" w14:textId="23AC6324" w:rsidR="004F3BD5" w:rsidRPr="004F3BD5" w:rsidRDefault="004F3BD5" w:rsidP="004F3BD5">
            <w:pPr>
              <w:keepNext/>
              <w:spacing w:before="0" w:after="0" w:line="240" w:lineRule="auto"/>
              <w:jc w:val="right"/>
              <w:rPr>
                <w:rFonts w:ascii="Arial" w:hAnsi="Arial" w:cs="Arial"/>
                <w:color w:val="auto"/>
                <w:szCs w:val="20"/>
              </w:rPr>
            </w:pPr>
          </w:p>
        </w:tc>
        <w:tc>
          <w:tcPr>
            <w:tcW w:w="964" w:type="dxa"/>
            <w:tcBorders>
              <w:top w:val="nil"/>
              <w:left w:val="nil"/>
              <w:bottom w:val="nil"/>
              <w:right w:val="nil"/>
            </w:tcBorders>
            <w:shd w:val="clear" w:color="000000" w:fill="F2F2F2"/>
            <w:noWrap/>
          </w:tcPr>
          <w:p w14:paraId="63BF95B8" w14:textId="754CF052" w:rsidR="004F3BD5" w:rsidRPr="004F3BD5" w:rsidRDefault="004F3BD5" w:rsidP="004F3BD5">
            <w:pPr>
              <w:keepNext/>
              <w:spacing w:before="0" w:after="0" w:line="240" w:lineRule="auto"/>
              <w:jc w:val="right"/>
              <w:rPr>
                <w:rFonts w:ascii="Arial" w:hAnsi="Arial" w:cs="Arial"/>
                <w:color w:val="auto"/>
                <w:szCs w:val="20"/>
              </w:rPr>
            </w:pPr>
          </w:p>
        </w:tc>
        <w:tc>
          <w:tcPr>
            <w:tcW w:w="1304" w:type="dxa"/>
            <w:tcBorders>
              <w:top w:val="nil"/>
              <w:left w:val="nil"/>
              <w:bottom w:val="nil"/>
              <w:right w:val="nil"/>
            </w:tcBorders>
            <w:shd w:val="clear" w:color="000000" w:fill="F2F2F2"/>
            <w:noWrap/>
          </w:tcPr>
          <w:p w14:paraId="47DFB1DF" w14:textId="3D9E19B4" w:rsidR="004F3BD5" w:rsidRPr="004F3BD5" w:rsidRDefault="004F3BD5" w:rsidP="004F3BD5">
            <w:pPr>
              <w:keepNext/>
              <w:spacing w:before="0" w:after="0" w:line="240" w:lineRule="auto"/>
              <w:jc w:val="right"/>
              <w:rPr>
                <w:rFonts w:ascii="Arial" w:hAnsi="Arial" w:cs="Arial"/>
                <w:color w:val="auto"/>
                <w:szCs w:val="20"/>
              </w:rPr>
            </w:pPr>
          </w:p>
        </w:tc>
      </w:tr>
      <w:tr w:rsidR="004F3BD5" w:rsidRPr="002C1E9A" w14:paraId="434477A8" w14:textId="77777777" w:rsidTr="004A1EBF">
        <w:trPr>
          <w:trHeight w:val="276"/>
        </w:trPr>
        <w:tc>
          <w:tcPr>
            <w:tcW w:w="1361" w:type="dxa"/>
            <w:tcBorders>
              <w:top w:val="nil"/>
              <w:left w:val="nil"/>
              <w:bottom w:val="nil"/>
              <w:right w:val="nil"/>
            </w:tcBorders>
            <w:shd w:val="clear" w:color="000000" w:fill="F2F2F2"/>
            <w:noWrap/>
            <w:hideMark/>
          </w:tcPr>
          <w:p w14:paraId="7F5FC777" w14:textId="0B623521" w:rsidR="004F3BD5" w:rsidRPr="004F3BD5" w:rsidRDefault="004F3BD5" w:rsidP="004F3BD5">
            <w:pPr>
              <w:keepNext/>
              <w:spacing w:before="0" w:after="0" w:line="240" w:lineRule="auto"/>
              <w:rPr>
                <w:rFonts w:ascii="Arial" w:hAnsi="Arial" w:cs="Arial"/>
                <w:color w:val="auto"/>
                <w:szCs w:val="20"/>
              </w:rPr>
            </w:pPr>
            <w:r w:rsidRPr="004F3BD5">
              <w:rPr>
                <w:color w:val="auto"/>
              </w:rPr>
              <w:t xml:space="preserve">Mentoring </w:t>
            </w:r>
          </w:p>
        </w:tc>
        <w:tc>
          <w:tcPr>
            <w:tcW w:w="510" w:type="dxa"/>
            <w:tcBorders>
              <w:top w:val="nil"/>
              <w:left w:val="nil"/>
              <w:bottom w:val="nil"/>
              <w:right w:val="nil"/>
            </w:tcBorders>
            <w:shd w:val="clear" w:color="000000" w:fill="F2F2F2"/>
            <w:noWrap/>
            <w:hideMark/>
          </w:tcPr>
          <w:p w14:paraId="187409F5" w14:textId="24F8B0B3"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55</w:t>
            </w:r>
          </w:p>
        </w:tc>
        <w:tc>
          <w:tcPr>
            <w:tcW w:w="1644" w:type="dxa"/>
            <w:tcBorders>
              <w:top w:val="nil"/>
              <w:left w:val="nil"/>
              <w:bottom w:val="nil"/>
              <w:right w:val="nil"/>
            </w:tcBorders>
            <w:shd w:val="clear" w:color="000000" w:fill="F2F2F2"/>
            <w:noWrap/>
          </w:tcPr>
          <w:p w14:paraId="36AEBADF" w14:textId="4C912AFC"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5.52</w:t>
            </w:r>
          </w:p>
        </w:tc>
        <w:tc>
          <w:tcPr>
            <w:tcW w:w="1195" w:type="dxa"/>
            <w:tcBorders>
              <w:top w:val="nil"/>
              <w:left w:val="nil"/>
              <w:bottom w:val="nil"/>
              <w:right w:val="nil"/>
            </w:tcBorders>
            <w:shd w:val="clear" w:color="000000" w:fill="F2F2F2"/>
            <w:noWrap/>
          </w:tcPr>
          <w:p w14:paraId="6843BFB2" w14:textId="20DC9E39"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0.32</w:t>
            </w:r>
          </w:p>
        </w:tc>
        <w:tc>
          <w:tcPr>
            <w:tcW w:w="1247" w:type="dxa"/>
            <w:tcBorders>
              <w:top w:val="nil"/>
              <w:left w:val="nil"/>
              <w:bottom w:val="nil"/>
              <w:right w:val="nil"/>
            </w:tcBorders>
            <w:shd w:val="clear" w:color="000000" w:fill="F2F2F2"/>
          </w:tcPr>
          <w:p w14:paraId="0A1E02D5" w14:textId="2CC5C3BE" w:rsidR="004F3BD5" w:rsidRPr="004F3BD5" w:rsidRDefault="004F3BD5" w:rsidP="004F3BD5">
            <w:pPr>
              <w:keepNext/>
              <w:spacing w:before="0" w:after="0" w:line="240" w:lineRule="auto"/>
              <w:rPr>
                <w:rFonts w:ascii="Arial" w:hAnsi="Arial" w:cs="Arial"/>
                <w:color w:val="auto"/>
                <w:szCs w:val="20"/>
              </w:rPr>
            </w:pPr>
            <w:r w:rsidRPr="004F3BD5">
              <w:rPr>
                <w:color w:val="auto"/>
              </w:rPr>
              <w:t>(-0.10, inf)</w:t>
            </w:r>
          </w:p>
        </w:tc>
        <w:tc>
          <w:tcPr>
            <w:tcW w:w="964" w:type="dxa"/>
            <w:tcBorders>
              <w:top w:val="nil"/>
              <w:left w:val="nil"/>
              <w:bottom w:val="nil"/>
              <w:right w:val="nil"/>
            </w:tcBorders>
            <w:shd w:val="clear" w:color="000000" w:fill="F2F2F2"/>
            <w:noWrap/>
          </w:tcPr>
          <w:p w14:paraId="3C5F5FD3" w14:textId="3E552F15"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0.102</w:t>
            </w:r>
          </w:p>
        </w:tc>
        <w:tc>
          <w:tcPr>
            <w:tcW w:w="1304" w:type="dxa"/>
            <w:tcBorders>
              <w:top w:val="nil"/>
              <w:left w:val="nil"/>
              <w:bottom w:val="nil"/>
              <w:right w:val="nil"/>
            </w:tcBorders>
            <w:shd w:val="clear" w:color="000000" w:fill="F2F2F2"/>
            <w:noWrap/>
          </w:tcPr>
          <w:p w14:paraId="31EBEF34" w14:textId="33916BF5"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0.249</w:t>
            </w:r>
          </w:p>
        </w:tc>
      </w:tr>
    </w:tbl>
    <w:p w14:paraId="34AF32BC" w14:textId="56ECBDAD" w:rsidR="00A03C29" w:rsidRPr="004A1EBF" w:rsidRDefault="00A03C29" w:rsidP="004A1EBF">
      <w:pPr>
        <w:pStyle w:val="SourceNotesText"/>
        <w:rPr>
          <w:sz w:val="16"/>
        </w:rPr>
      </w:pPr>
      <w:r w:rsidRPr="004A1EBF">
        <w:rPr>
          <w:sz w:val="16"/>
        </w:rPr>
        <w:t>Note: Covariate-adjusted OLS regression</w:t>
      </w:r>
      <w:r w:rsidR="00AC704E" w:rsidRPr="004A1EBF">
        <w:rPr>
          <w:sz w:val="16"/>
        </w:rPr>
        <w:t xml:space="preserve">, </w:t>
      </w:r>
      <w:r w:rsidRPr="004A1EBF">
        <w:rPr>
          <w:sz w:val="16"/>
        </w:rPr>
        <w:t>where covariate=baseline likelihood to continue studying economics next year</w:t>
      </w:r>
      <w:r w:rsidR="003F0DE5" w:rsidRPr="004A1EBF">
        <w:rPr>
          <w:sz w:val="16"/>
        </w:rPr>
        <w:t>, one-sided test with HC2 robust standard errors</w:t>
      </w:r>
      <w:r w:rsidRPr="004A1EBF">
        <w:rPr>
          <w:sz w:val="16"/>
        </w:rPr>
        <w:t>.</w:t>
      </w:r>
    </w:p>
    <w:p w14:paraId="403A33CF" w14:textId="656F6CDE" w:rsidR="00A03C29" w:rsidRDefault="00BF743C" w:rsidP="00BF743C">
      <w:pPr>
        <w:pStyle w:val="FigureHeading"/>
        <w:numPr>
          <w:ilvl w:val="0"/>
          <w:numId w:val="0"/>
        </w:numPr>
        <w:ind w:left="1430" w:hanging="720"/>
      </w:pPr>
      <w:r>
        <w:t xml:space="preserve">Figure 21: </w:t>
      </w:r>
      <w:r w:rsidR="00CB54CA">
        <w:t>GPA</w:t>
      </w:r>
      <w:r w:rsidR="00484B88">
        <w:t xml:space="preserve"> S2 2019</w:t>
      </w:r>
      <w:r w:rsidR="00CB54CA">
        <w:t>, r</w:t>
      </w:r>
      <w:r w:rsidR="00A03C29">
        <w:t>obustness check – unadjusted analysis</w:t>
      </w:r>
    </w:p>
    <w:tbl>
      <w:tblPr>
        <w:tblW w:w="8225" w:type="dxa"/>
        <w:tblLook w:val="04A0" w:firstRow="1" w:lastRow="0" w:firstColumn="1" w:lastColumn="0" w:noHBand="0" w:noVBand="1"/>
        <w:tblCaption w:val="Figure 21: GPA S2 2019, robustness check – unadjusted analysis"/>
      </w:tblPr>
      <w:tblGrid>
        <w:gridCol w:w="1361"/>
        <w:gridCol w:w="510"/>
        <w:gridCol w:w="1644"/>
        <w:gridCol w:w="1195"/>
        <w:gridCol w:w="1247"/>
        <w:gridCol w:w="964"/>
        <w:gridCol w:w="1304"/>
      </w:tblGrid>
      <w:tr w:rsidR="00D805B4" w:rsidRPr="002C1E9A" w14:paraId="6DABA24C" w14:textId="77777777" w:rsidTr="00731CEB">
        <w:trPr>
          <w:trHeight w:val="528"/>
          <w:tblHeader/>
        </w:trPr>
        <w:tc>
          <w:tcPr>
            <w:tcW w:w="1361" w:type="dxa"/>
            <w:tcBorders>
              <w:top w:val="nil"/>
              <w:left w:val="nil"/>
              <w:bottom w:val="nil"/>
              <w:right w:val="nil"/>
            </w:tcBorders>
            <w:shd w:val="clear" w:color="000000" w:fill="142E3A"/>
            <w:noWrap/>
            <w:vAlign w:val="center"/>
            <w:hideMark/>
          </w:tcPr>
          <w:p w14:paraId="0A96B8CF" w14:textId="77777777" w:rsidR="00D805B4" w:rsidRPr="002C1E9A" w:rsidRDefault="00D805B4" w:rsidP="00D805B4">
            <w:pPr>
              <w:keepNext/>
              <w:spacing w:before="0" w:after="0" w:line="240" w:lineRule="auto"/>
              <w:rPr>
                <w:rFonts w:ascii="Arial" w:hAnsi="Arial" w:cs="Arial"/>
                <w:b/>
                <w:bCs/>
                <w:color w:val="FFFFFF"/>
                <w:szCs w:val="20"/>
              </w:rPr>
            </w:pPr>
            <w:r w:rsidRPr="002C1E9A">
              <w:rPr>
                <w:rFonts w:ascii="Arial" w:hAnsi="Arial" w:cs="Arial"/>
                <w:b/>
                <w:bCs/>
                <w:color w:val="FFFFFF"/>
                <w:szCs w:val="20"/>
              </w:rPr>
              <w:t> Treatment</w:t>
            </w:r>
          </w:p>
        </w:tc>
        <w:tc>
          <w:tcPr>
            <w:tcW w:w="510" w:type="dxa"/>
            <w:tcBorders>
              <w:top w:val="nil"/>
              <w:left w:val="nil"/>
              <w:bottom w:val="nil"/>
              <w:right w:val="nil"/>
            </w:tcBorders>
            <w:shd w:val="clear" w:color="000000" w:fill="142E3A"/>
            <w:noWrap/>
            <w:vAlign w:val="center"/>
            <w:hideMark/>
          </w:tcPr>
          <w:p w14:paraId="533C8955" w14:textId="77777777" w:rsidR="00D805B4" w:rsidRPr="002C1E9A" w:rsidRDefault="00D805B4" w:rsidP="00D805B4">
            <w:pPr>
              <w:keepNext/>
              <w:spacing w:before="0" w:after="0" w:line="240" w:lineRule="auto"/>
              <w:jc w:val="center"/>
              <w:rPr>
                <w:rFonts w:ascii="Arial" w:hAnsi="Arial" w:cs="Arial"/>
                <w:b/>
                <w:bCs/>
                <w:color w:val="FFFFFF"/>
                <w:szCs w:val="20"/>
              </w:rPr>
            </w:pPr>
            <w:r w:rsidRPr="002C1E9A">
              <w:rPr>
                <w:rFonts w:ascii="Arial" w:hAnsi="Arial" w:cs="Arial"/>
                <w:b/>
                <w:bCs/>
                <w:color w:val="FFFFFF"/>
                <w:szCs w:val="20"/>
              </w:rPr>
              <w:t>N</w:t>
            </w:r>
          </w:p>
        </w:tc>
        <w:tc>
          <w:tcPr>
            <w:tcW w:w="1644" w:type="dxa"/>
            <w:tcBorders>
              <w:top w:val="nil"/>
              <w:left w:val="nil"/>
              <w:bottom w:val="nil"/>
              <w:right w:val="nil"/>
            </w:tcBorders>
            <w:shd w:val="clear" w:color="000000" w:fill="142E3A"/>
            <w:vAlign w:val="center"/>
            <w:hideMark/>
          </w:tcPr>
          <w:p w14:paraId="546D5B31" w14:textId="77777777" w:rsidR="00D805B4" w:rsidRPr="002C1E9A" w:rsidRDefault="00D805B4" w:rsidP="00D805B4">
            <w:pPr>
              <w:keepNext/>
              <w:spacing w:before="0" w:after="0" w:line="240" w:lineRule="auto"/>
              <w:rPr>
                <w:rFonts w:ascii="Arial" w:hAnsi="Arial" w:cs="Arial"/>
                <w:b/>
                <w:bCs/>
                <w:color w:val="FFFFFF"/>
                <w:szCs w:val="20"/>
              </w:rPr>
            </w:pPr>
            <w:r>
              <w:rPr>
                <w:rFonts w:ascii="Arial" w:hAnsi="Arial" w:cs="Arial"/>
                <w:b/>
                <w:bCs/>
                <w:color w:val="FFFFFF"/>
                <w:szCs w:val="20"/>
              </w:rPr>
              <w:t xml:space="preserve">GPA </w:t>
            </w:r>
            <w:r>
              <w:rPr>
                <w:rFonts w:ascii="Arial" w:hAnsi="Arial" w:cs="Arial"/>
                <w:b/>
                <w:bCs/>
                <w:color w:val="FFFFFF"/>
                <w:szCs w:val="20"/>
              </w:rPr>
              <w:br/>
            </w:r>
            <w:r>
              <w:rPr>
                <w:rFonts w:ascii="Arial" w:hAnsi="Arial" w:cs="Arial"/>
                <w:bCs/>
                <w:color w:val="FFFFFF"/>
                <w:szCs w:val="20"/>
              </w:rPr>
              <w:t>(0-7 score</w:t>
            </w:r>
            <w:r w:rsidRPr="002C1E9A">
              <w:rPr>
                <w:rFonts w:ascii="Arial" w:hAnsi="Arial" w:cs="Arial"/>
                <w:bCs/>
                <w:color w:val="FFFFFF"/>
                <w:szCs w:val="20"/>
              </w:rPr>
              <w:t>)</w:t>
            </w:r>
          </w:p>
        </w:tc>
        <w:tc>
          <w:tcPr>
            <w:tcW w:w="1195" w:type="dxa"/>
            <w:tcBorders>
              <w:top w:val="nil"/>
              <w:left w:val="nil"/>
              <w:bottom w:val="nil"/>
              <w:right w:val="nil"/>
            </w:tcBorders>
            <w:shd w:val="clear" w:color="000000" w:fill="142E3A"/>
            <w:vAlign w:val="center"/>
            <w:hideMark/>
          </w:tcPr>
          <w:p w14:paraId="0250546D" w14:textId="77777777" w:rsidR="00D805B4" w:rsidRPr="002C1E9A" w:rsidRDefault="00D805B4" w:rsidP="00D805B4">
            <w:pPr>
              <w:keepNext/>
              <w:spacing w:before="0" w:after="0" w:line="240" w:lineRule="auto"/>
              <w:rPr>
                <w:rFonts w:ascii="Arial" w:hAnsi="Arial" w:cs="Arial"/>
                <w:b/>
                <w:bCs/>
                <w:color w:val="FFFFFF"/>
                <w:szCs w:val="20"/>
              </w:rPr>
            </w:pPr>
            <w:r w:rsidRPr="002C1E9A">
              <w:rPr>
                <w:rFonts w:ascii="Arial" w:hAnsi="Arial" w:cs="Arial"/>
                <w:b/>
                <w:bCs/>
                <w:color w:val="FFFFFF"/>
                <w:szCs w:val="20"/>
              </w:rPr>
              <w:t xml:space="preserve">Difference </w:t>
            </w:r>
          </w:p>
        </w:tc>
        <w:tc>
          <w:tcPr>
            <w:tcW w:w="1247" w:type="dxa"/>
            <w:tcBorders>
              <w:top w:val="nil"/>
              <w:left w:val="nil"/>
              <w:bottom w:val="nil"/>
              <w:right w:val="nil"/>
            </w:tcBorders>
            <w:shd w:val="clear" w:color="000000" w:fill="142E3A"/>
            <w:vAlign w:val="center"/>
            <w:hideMark/>
          </w:tcPr>
          <w:p w14:paraId="5EC3831B" w14:textId="77777777" w:rsidR="00D805B4" w:rsidRPr="002C1E9A" w:rsidRDefault="00D805B4" w:rsidP="00D805B4">
            <w:pPr>
              <w:keepNext/>
              <w:spacing w:before="0" w:after="0" w:line="240" w:lineRule="auto"/>
              <w:rPr>
                <w:rFonts w:ascii="Arial" w:hAnsi="Arial" w:cs="Arial"/>
                <w:b/>
                <w:bCs/>
                <w:color w:val="FFFFFF"/>
                <w:szCs w:val="20"/>
              </w:rPr>
            </w:pPr>
            <w:r w:rsidRPr="002C1E9A">
              <w:rPr>
                <w:rFonts w:ascii="Arial" w:hAnsi="Arial" w:cs="Arial"/>
                <w:b/>
                <w:bCs/>
                <w:color w:val="FFFFFF"/>
                <w:szCs w:val="20"/>
              </w:rPr>
              <w:t xml:space="preserve">95% CI </w:t>
            </w:r>
            <w:r w:rsidRPr="002C1E9A">
              <w:rPr>
                <w:rFonts w:ascii="Arial" w:hAnsi="Arial" w:cs="Arial"/>
                <w:b/>
                <w:bCs/>
                <w:color w:val="FFFFFF"/>
                <w:szCs w:val="20"/>
              </w:rPr>
              <w:br/>
            </w:r>
            <w:r w:rsidRPr="002C1E9A">
              <w:rPr>
                <w:rFonts w:ascii="Arial" w:hAnsi="Arial" w:cs="Arial"/>
                <w:bCs/>
                <w:color w:val="FFFFFF"/>
                <w:szCs w:val="20"/>
              </w:rPr>
              <w:t>(one-sided)</w:t>
            </w:r>
          </w:p>
        </w:tc>
        <w:tc>
          <w:tcPr>
            <w:tcW w:w="964" w:type="dxa"/>
            <w:tcBorders>
              <w:top w:val="nil"/>
              <w:left w:val="nil"/>
              <w:bottom w:val="nil"/>
              <w:right w:val="nil"/>
            </w:tcBorders>
            <w:shd w:val="clear" w:color="000000" w:fill="142E3A"/>
            <w:noWrap/>
            <w:vAlign w:val="center"/>
            <w:hideMark/>
          </w:tcPr>
          <w:p w14:paraId="0D8994C8" w14:textId="77777777" w:rsidR="00D805B4" w:rsidRPr="002C1E9A" w:rsidRDefault="00D805B4" w:rsidP="00D805B4">
            <w:pPr>
              <w:keepNext/>
              <w:spacing w:before="0" w:after="0" w:line="240" w:lineRule="auto"/>
              <w:rPr>
                <w:rFonts w:ascii="Arial" w:hAnsi="Arial" w:cs="Arial"/>
                <w:b/>
                <w:bCs/>
                <w:color w:val="FFFFFF"/>
                <w:szCs w:val="20"/>
              </w:rPr>
            </w:pPr>
            <w:r w:rsidRPr="002C1E9A">
              <w:rPr>
                <w:rFonts w:ascii="Arial" w:hAnsi="Arial" w:cs="Arial"/>
                <w:b/>
                <w:bCs/>
                <w:color w:val="FFFFFF"/>
                <w:szCs w:val="20"/>
              </w:rPr>
              <w:t>p-value</w:t>
            </w:r>
          </w:p>
        </w:tc>
        <w:tc>
          <w:tcPr>
            <w:tcW w:w="1304" w:type="dxa"/>
            <w:tcBorders>
              <w:top w:val="nil"/>
              <w:left w:val="nil"/>
              <w:bottom w:val="nil"/>
              <w:right w:val="nil"/>
            </w:tcBorders>
            <w:shd w:val="clear" w:color="000000" w:fill="142E3A"/>
            <w:vAlign w:val="center"/>
            <w:hideMark/>
          </w:tcPr>
          <w:p w14:paraId="721D6B55" w14:textId="77777777" w:rsidR="00D805B4" w:rsidRPr="002C1E9A" w:rsidRDefault="00D805B4" w:rsidP="00D805B4">
            <w:pPr>
              <w:keepNext/>
              <w:spacing w:before="0" w:after="0" w:line="240" w:lineRule="auto"/>
              <w:rPr>
                <w:rFonts w:ascii="Arial" w:hAnsi="Arial" w:cs="Arial"/>
                <w:b/>
                <w:bCs/>
                <w:color w:val="FFFFFF"/>
                <w:szCs w:val="20"/>
              </w:rPr>
            </w:pPr>
            <w:r w:rsidRPr="002C1E9A">
              <w:rPr>
                <w:rFonts w:ascii="Arial" w:hAnsi="Arial" w:cs="Arial"/>
                <w:b/>
                <w:bCs/>
                <w:color w:val="FFFFFF"/>
                <w:szCs w:val="20"/>
              </w:rPr>
              <w:t xml:space="preserve">Standard error </w:t>
            </w:r>
          </w:p>
        </w:tc>
      </w:tr>
      <w:tr w:rsidR="004F3BD5" w:rsidRPr="002C1E9A" w14:paraId="05FAEBCE" w14:textId="77777777" w:rsidTr="004A1EBF">
        <w:trPr>
          <w:trHeight w:val="276"/>
        </w:trPr>
        <w:tc>
          <w:tcPr>
            <w:tcW w:w="1361" w:type="dxa"/>
            <w:tcBorders>
              <w:top w:val="nil"/>
              <w:left w:val="nil"/>
              <w:bottom w:val="nil"/>
              <w:right w:val="nil"/>
            </w:tcBorders>
            <w:shd w:val="clear" w:color="000000" w:fill="F2F2F2"/>
            <w:noWrap/>
            <w:hideMark/>
          </w:tcPr>
          <w:p w14:paraId="39F6DB56" w14:textId="15F38A31" w:rsidR="004F3BD5" w:rsidRPr="004F3BD5" w:rsidRDefault="004F3BD5" w:rsidP="004F3BD5">
            <w:pPr>
              <w:keepNext/>
              <w:spacing w:before="0" w:after="0" w:line="240" w:lineRule="auto"/>
              <w:rPr>
                <w:rFonts w:ascii="Arial" w:hAnsi="Arial" w:cs="Arial"/>
                <w:color w:val="auto"/>
                <w:szCs w:val="20"/>
              </w:rPr>
            </w:pPr>
            <w:r w:rsidRPr="004F3BD5">
              <w:rPr>
                <w:color w:val="auto"/>
              </w:rPr>
              <w:t xml:space="preserve">Control </w:t>
            </w:r>
          </w:p>
        </w:tc>
        <w:tc>
          <w:tcPr>
            <w:tcW w:w="510" w:type="dxa"/>
            <w:tcBorders>
              <w:top w:val="nil"/>
              <w:left w:val="nil"/>
              <w:bottom w:val="nil"/>
              <w:right w:val="nil"/>
            </w:tcBorders>
            <w:shd w:val="clear" w:color="000000" w:fill="F2F2F2"/>
            <w:noWrap/>
            <w:hideMark/>
          </w:tcPr>
          <w:p w14:paraId="4E494E8E" w14:textId="6948F7E7"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33</w:t>
            </w:r>
          </w:p>
        </w:tc>
        <w:tc>
          <w:tcPr>
            <w:tcW w:w="1644" w:type="dxa"/>
            <w:tcBorders>
              <w:top w:val="nil"/>
              <w:left w:val="nil"/>
              <w:bottom w:val="nil"/>
              <w:right w:val="nil"/>
            </w:tcBorders>
            <w:shd w:val="clear" w:color="000000" w:fill="F2F2F2"/>
            <w:noWrap/>
          </w:tcPr>
          <w:p w14:paraId="6D576F08" w14:textId="5D7CB72F"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5.21</w:t>
            </w:r>
          </w:p>
        </w:tc>
        <w:tc>
          <w:tcPr>
            <w:tcW w:w="1195" w:type="dxa"/>
            <w:tcBorders>
              <w:top w:val="nil"/>
              <w:left w:val="nil"/>
              <w:bottom w:val="nil"/>
              <w:right w:val="nil"/>
            </w:tcBorders>
            <w:shd w:val="clear" w:color="000000" w:fill="F2F2F2"/>
            <w:noWrap/>
          </w:tcPr>
          <w:p w14:paraId="4E4B70C1" w14:textId="148C6CBB" w:rsidR="004F3BD5" w:rsidRPr="004F3BD5" w:rsidRDefault="004F3BD5" w:rsidP="004F3BD5">
            <w:pPr>
              <w:keepNext/>
              <w:spacing w:before="0" w:after="0" w:line="240" w:lineRule="auto"/>
              <w:rPr>
                <w:rFonts w:ascii="Arial" w:hAnsi="Arial" w:cs="Arial"/>
                <w:color w:val="auto"/>
                <w:szCs w:val="20"/>
              </w:rPr>
            </w:pPr>
          </w:p>
        </w:tc>
        <w:tc>
          <w:tcPr>
            <w:tcW w:w="1247" w:type="dxa"/>
            <w:tcBorders>
              <w:top w:val="nil"/>
              <w:left w:val="nil"/>
              <w:bottom w:val="nil"/>
              <w:right w:val="nil"/>
            </w:tcBorders>
            <w:shd w:val="clear" w:color="000000" w:fill="F2F2F2"/>
          </w:tcPr>
          <w:p w14:paraId="3F3176DA" w14:textId="6A33EF90" w:rsidR="004F3BD5" w:rsidRPr="004F3BD5" w:rsidRDefault="004F3BD5" w:rsidP="004F3BD5">
            <w:pPr>
              <w:keepNext/>
              <w:spacing w:before="0" w:after="0" w:line="240" w:lineRule="auto"/>
              <w:rPr>
                <w:rFonts w:ascii="Arial" w:hAnsi="Arial" w:cs="Arial"/>
                <w:color w:val="auto"/>
                <w:szCs w:val="20"/>
              </w:rPr>
            </w:pPr>
          </w:p>
        </w:tc>
        <w:tc>
          <w:tcPr>
            <w:tcW w:w="964" w:type="dxa"/>
            <w:tcBorders>
              <w:top w:val="nil"/>
              <w:left w:val="nil"/>
              <w:bottom w:val="nil"/>
              <w:right w:val="nil"/>
            </w:tcBorders>
            <w:shd w:val="clear" w:color="000000" w:fill="F2F2F2"/>
            <w:noWrap/>
          </w:tcPr>
          <w:p w14:paraId="67A961C2" w14:textId="657A58E7" w:rsidR="004F3BD5" w:rsidRPr="004F3BD5" w:rsidRDefault="004F3BD5" w:rsidP="004F3BD5">
            <w:pPr>
              <w:keepNext/>
              <w:spacing w:before="0" w:after="0" w:line="240" w:lineRule="auto"/>
              <w:rPr>
                <w:rFonts w:ascii="Arial" w:hAnsi="Arial" w:cs="Arial"/>
                <w:color w:val="auto"/>
                <w:szCs w:val="20"/>
              </w:rPr>
            </w:pPr>
          </w:p>
        </w:tc>
        <w:tc>
          <w:tcPr>
            <w:tcW w:w="1304" w:type="dxa"/>
            <w:tcBorders>
              <w:top w:val="nil"/>
              <w:left w:val="nil"/>
              <w:bottom w:val="nil"/>
              <w:right w:val="nil"/>
            </w:tcBorders>
            <w:shd w:val="clear" w:color="000000" w:fill="F2F2F2"/>
            <w:noWrap/>
          </w:tcPr>
          <w:p w14:paraId="68184423" w14:textId="21B17DD8" w:rsidR="004F3BD5" w:rsidRPr="004F3BD5" w:rsidRDefault="004F3BD5" w:rsidP="004F3BD5">
            <w:pPr>
              <w:keepNext/>
              <w:spacing w:before="0" w:after="0" w:line="240" w:lineRule="auto"/>
              <w:rPr>
                <w:rFonts w:ascii="Arial" w:hAnsi="Arial" w:cs="Arial"/>
                <w:color w:val="auto"/>
                <w:szCs w:val="20"/>
              </w:rPr>
            </w:pPr>
          </w:p>
        </w:tc>
      </w:tr>
      <w:tr w:rsidR="004F3BD5" w:rsidRPr="002C1E9A" w14:paraId="4C0D8B80" w14:textId="77777777" w:rsidTr="004A1EBF">
        <w:trPr>
          <w:trHeight w:val="276"/>
        </w:trPr>
        <w:tc>
          <w:tcPr>
            <w:tcW w:w="1361" w:type="dxa"/>
            <w:tcBorders>
              <w:top w:val="nil"/>
              <w:left w:val="nil"/>
              <w:bottom w:val="nil"/>
              <w:right w:val="nil"/>
            </w:tcBorders>
            <w:shd w:val="clear" w:color="000000" w:fill="F2F2F2"/>
            <w:noWrap/>
            <w:hideMark/>
          </w:tcPr>
          <w:p w14:paraId="0634DF55" w14:textId="7D0C6829" w:rsidR="004F3BD5" w:rsidRPr="004F3BD5" w:rsidRDefault="004F3BD5" w:rsidP="004F3BD5">
            <w:pPr>
              <w:keepNext/>
              <w:spacing w:before="0" w:after="0" w:line="240" w:lineRule="auto"/>
              <w:rPr>
                <w:rFonts w:ascii="Arial" w:hAnsi="Arial" w:cs="Arial"/>
                <w:color w:val="auto"/>
                <w:szCs w:val="20"/>
              </w:rPr>
            </w:pPr>
            <w:r w:rsidRPr="004F3BD5">
              <w:rPr>
                <w:color w:val="auto"/>
              </w:rPr>
              <w:t xml:space="preserve">Mentoring </w:t>
            </w:r>
          </w:p>
        </w:tc>
        <w:tc>
          <w:tcPr>
            <w:tcW w:w="510" w:type="dxa"/>
            <w:tcBorders>
              <w:top w:val="nil"/>
              <w:left w:val="nil"/>
              <w:bottom w:val="nil"/>
              <w:right w:val="nil"/>
            </w:tcBorders>
            <w:shd w:val="clear" w:color="000000" w:fill="F2F2F2"/>
            <w:noWrap/>
            <w:hideMark/>
          </w:tcPr>
          <w:p w14:paraId="35687AC6" w14:textId="6D85C373"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55</w:t>
            </w:r>
          </w:p>
        </w:tc>
        <w:tc>
          <w:tcPr>
            <w:tcW w:w="1644" w:type="dxa"/>
            <w:tcBorders>
              <w:top w:val="nil"/>
              <w:left w:val="nil"/>
              <w:bottom w:val="nil"/>
              <w:right w:val="nil"/>
            </w:tcBorders>
            <w:shd w:val="clear" w:color="000000" w:fill="F2F2F2"/>
            <w:noWrap/>
          </w:tcPr>
          <w:p w14:paraId="043ACEEE" w14:textId="2BFBAF61"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5.51</w:t>
            </w:r>
          </w:p>
        </w:tc>
        <w:tc>
          <w:tcPr>
            <w:tcW w:w="1195" w:type="dxa"/>
            <w:tcBorders>
              <w:top w:val="nil"/>
              <w:left w:val="nil"/>
              <w:bottom w:val="nil"/>
              <w:right w:val="nil"/>
            </w:tcBorders>
            <w:shd w:val="clear" w:color="000000" w:fill="F2F2F2"/>
            <w:noWrap/>
          </w:tcPr>
          <w:p w14:paraId="5F21417F" w14:textId="6E255334"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0.29</w:t>
            </w:r>
          </w:p>
        </w:tc>
        <w:tc>
          <w:tcPr>
            <w:tcW w:w="1247" w:type="dxa"/>
            <w:tcBorders>
              <w:top w:val="nil"/>
              <w:left w:val="nil"/>
              <w:bottom w:val="nil"/>
              <w:right w:val="nil"/>
            </w:tcBorders>
            <w:shd w:val="clear" w:color="000000" w:fill="F2F2F2"/>
          </w:tcPr>
          <w:p w14:paraId="19DA9874" w14:textId="7BA9333E" w:rsidR="004F3BD5" w:rsidRPr="004F3BD5" w:rsidRDefault="004F3BD5" w:rsidP="004F3BD5">
            <w:pPr>
              <w:keepNext/>
              <w:spacing w:before="0" w:after="0" w:line="240" w:lineRule="auto"/>
              <w:rPr>
                <w:rFonts w:ascii="Arial" w:hAnsi="Arial" w:cs="Arial"/>
                <w:color w:val="auto"/>
                <w:szCs w:val="20"/>
              </w:rPr>
            </w:pPr>
            <w:r w:rsidRPr="004F3BD5">
              <w:rPr>
                <w:color w:val="auto"/>
              </w:rPr>
              <w:t>(-0.11, inf)</w:t>
            </w:r>
          </w:p>
        </w:tc>
        <w:tc>
          <w:tcPr>
            <w:tcW w:w="964" w:type="dxa"/>
            <w:tcBorders>
              <w:top w:val="nil"/>
              <w:left w:val="nil"/>
              <w:bottom w:val="nil"/>
              <w:right w:val="nil"/>
            </w:tcBorders>
            <w:shd w:val="clear" w:color="000000" w:fill="F2F2F2"/>
            <w:noWrap/>
          </w:tcPr>
          <w:p w14:paraId="72176285" w14:textId="4F398FB3"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0.117</w:t>
            </w:r>
          </w:p>
        </w:tc>
        <w:tc>
          <w:tcPr>
            <w:tcW w:w="1304" w:type="dxa"/>
            <w:tcBorders>
              <w:top w:val="nil"/>
              <w:left w:val="nil"/>
              <w:bottom w:val="nil"/>
              <w:right w:val="nil"/>
            </w:tcBorders>
            <w:shd w:val="clear" w:color="000000" w:fill="F2F2F2"/>
            <w:noWrap/>
          </w:tcPr>
          <w:p w14:paraId="062B73FE" w14:textId="42B558DC"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0.245</w:t>
            </w:r>
          </w:p>
        </w:tc>
      </w:tr>
    </w:tbl>
    <w:p w14:paraId="3EAD7821" w14:textId="0E1CF640" w:rsidR="00A03C29" w:rsidRPr="004A1EBF" w:rsidRDefault="00A03C29" w:rsidP="004A1EBF">
      <w:pPr>
        <w:pStyle w:val="SourceNotesText"/>
        <w:rPr>
          <w:sz w:val="16"/>
        </w:rPr>
      </w:pPr>
      <w:r w:rsidRPr="004A1EBF">
        <w:rPr>
          <w:sz w:val="16"/>
        </w:rPr>
        <w:t>Note: OLS regression without covariate adjustment</w:t>
      </w:r>
      <w:r w:rsidR="00CB54CA" w:rsidRPr="004A1EBF">
        <w:rPr>
          <w:sz w:val="16"/>
        </w:rPr>
        <w:t xml:space="preserve"> (but with strata dummies)</w:t>
      </w:r>
      <w:r w:rsidR="003F0DE5" w:rsidRPr="004A1EBF">
        <w:rPr>
          <w:sz w:val="16"/>
        </w:rPr>
        <w:t xml:space="preserve"> one-sided test with HC2 robust standard errors</w:t>
      </w:r>
      <w:r w:rsidRPr="004A1EBF">
        <w:rPr>
          <w:sz w:val="16"/>
        </w:rPr>
        <w:t xml:space="preserve">. </w:t>
      </w:r>
      <w:r w:rsidR="00CB54CA" w:rsidRPr="004A1EBF">
        <w:rPr>
          <w:sz w:val="16"/>
        </w:rPr>
        <w:t xml:space="preserve">Exclusion of strata dummies </w:t>
      </w:r>
      <w:r w:rsidR="004F3BD5" w:rsidRPr="004A1EBF">
        <w:rPr>
          <w:sz w:val="16"/>
        </w:rPr>
        <w:t>gives only marginally different results.</w:t>
      </w:r>
    </w:p>
    <w:p w14:paraId="5671C3DA" w14:textId="3329CB77" w:rsidR="00484B88" w:rsidRDefault="00BF743C" w:rsidP="00BF743C">
      <w:pPr>
        <w:pStyle w:val="FigureHeading"/>
        <w:numPr>
          <w:ilvl w:val="0"/>
          <w:numId w:val="0"/>
        </w:numPr>
        <w:ind w:left="1430" w:hanging="720"/>
      </w:pPr>
      <w:r>
        <w:t xml:space="preserve">Figure 22: </w:t>
      </w:r>
      <w:r w:rsidR="00484B88">
        <w:t>GPA S1 2020, primary analysis</w:t>
      </w:r>
    </w:p>
    <w:tbl>
      <w:tblPr>
        <w:tblW w:w="8225" w:type="dxa"/>
        <w:tblLook w:val="04A0" w:firstRow="1" w:lastRow="0" w:firstColumn="1" w:lastColumn="0" w:noHBand="0" w:noVBand="1"/>
        <w:tblCaption w:val="Figure 22: GPA S1 2020, primary analysis"/>
      </w:tblPr>
      <w:tblGrid>
        <w:gridCol w:w="1361"/>
        <w:gridCol w:w="510"/>
        <w:gridCol w:w="1644"/>
        <w:gridCol w:w="1195"/>
        <w:gridCol w:w="1247"/>
        <w:gridCol w:w="964"/>
        <w:gridCol w:w="1304"/>
      </w:tblGrid>
      <w:tr w:rsidR="00484B88" w:rsidRPr="002C1E9A" w14:paraId="4667774C" w14:textId="77777777" w:rsidTr="00731CEB">
        <w:trPr>
          <w:trHeight w:val="528"/>
          <w:tblHeader/>
        </w:trPr>
        <w:tc>
          <w:tcPr>
            <w:tcW w:w="1361" w:type="dxa"/>
            <w:tcBorders>
              <w:top w:val="nil"/>
              <w:left w:val="nil"/>
              <w:bottom w:val="nil"/>
              <w:right w:val="nil"/>
            </w:tcBorders>
            <w:shd w:val="clear" w:color="000000" w:fill="142E3A"/>
            <w:noWrap/>
            <w:vAlign w:val="center"/>
            <w:hideMark/>
          </w:tcPr>
          <w:p w14:paraId="6573560A" w14:textId="77777777" w:rsidR="00484B88" w:rsidRPr="002C1E9A" w:rsidRDefault="00484B88" w:rsidP="00484B88">
            <w:pPr>
              <w:keepNext/>
              <w:spacing w:before="0" w:after="0" w:line="240" w:lineRule="auto"/>
              <w:rPr>
                <w:rFonts w:ascii="Arial" w:hAnsi="Arial" w:cs="Arial"/>
                <w:b/>
                <w:bCs/>
                <w:color w:val="FFFFFF"/>
                <w:szCs w:val="20"/>
              </w:rPr>
            </w:pPr>
            <w:r w:rsidRPr="002C1E9A">
              <w:rPr>
                <w:rFonts w:ascii="Arial" w:hAnsi="Arial" w:cs="Arial"/>
                <w:b/>
                <w:bCs/>
                <w:color w:val="FFFFFF"/>
                <w:szCs w:val="20"/>
              </w:rPr>
              <w:t> Treatment</w:t>
            </w:r>
          </w:p>
        </w:tc>
        <w:tc>
          <w:tcPr>
            <w:tcW w:w="510" w:type="dxa"/>
            <w:tcBorders>
              <w:top w:val="nil"/>
              <w:left w:val="nil"/>
              <w:bottom w:val="nil"/>
              <w:right w:val="nil"/>
            </w:tcBorders>
            <w:shd w:val="clear" w:color="000000" w:fill="142E3A"/>
            <w:noWrap/>
            <w:vAlign w:val="center"/>
            <w:hideMark/>
          </w:tcPr>
          <w:p w14:paraId="14B8A14A" w14:textId="77777777" w:rsidR="00484B88" w:rsidRPr="002C1E9A" w:rsidRDefault="00484B88" w:rsidP="00484B88">
            <w:pPr>
              <w:keepNext/>
              <w:spacing w:before="0" w:after="0" w:line="240" w:lineRule="auto"/>
              <w:jc w:val="center"/>
              <w:rPr>
                <w:rFonts w:ascii="Arial" w:hAnsi="Arial" w:cs="Arial"/>
                <w:b/>
                <w:bCs/>
                <w:color w:val="FFFFFF"/>
                <w:szCs w:val="20"/>
              </w:rPr>
            </w:pPr>
            <w:r w:rsidRPr="002C1E9A">
              <w:rPr>
                <w:rFonts w:ascii="Arial" w:hAnsi="Arial" w:cs="Arial"/>
                <w:b/>
                <w:bCs/>
                <w:color w:val="FFFFFF"/>
                <w:szCs w:val="20"/>
              </w:rPr>
              <w:t>N</w:t>
            </w:r>
          </w:p>
        </w:tc>
        <w:tc>
          <w:tcPr>
            <w:tcW w:w="1644" w:type="dxa"/>
            <w:tcBorders>
              <w:top w:val="nil"/>
              <w:left w:val="nil"/>
              <w:bottom w:val="nil"/>
              <w:right w:val="nil"/>
            </w:tcBorders>
            <w:shd w:val="clear" w:color="000000" w:fill="142E3A"/>
            <w:vAlign w:val="center"/>
            <w:hideMark/>
          </w:tcPr>
          <w:p w14:paraId="0A105DB1" w14:textId="77777777" w:rsidR="00484B88" w:rsidRPr="002C1E9A" w:rsidRDefault="00484B88" w:rsidP="00484B88">
            <w:pPr>
              <w:keepNext/>
              <w:spacing w:before="0" w:after="0" w:line="240" w:lineRule="auto"/>
              <w:rPr>
                <w:rFonts w:ascii="Arial" w:hAnsi="Arial" w:cs="Arial"/>
                <w:b/>
                <w:bCs/>
                <w:color w:val="FFFFFF"/>
                <w:szCs w:val="20"/>
              </w:rPr>
            </w:pPr>
            <w:r>
              <w:rPr>
                <w:rFonts w:ascii="Arial" w:hAnsi="Arial" w:cs="Arial"/>
                <w:b/>
                <w:bCs/>
                <w:color w:val="FFFFFF"/>
                <w:szCs w:val="20"/>
              </w:rPr>
              <w:t xml:space="preserve">GPA </w:t>
            </w:r>
            <w:r>
              <w:rPr>
                <w:rFonts w:ascii="Arial" w:hAnsi="Arial" w:cs="Arial"/>
                <w:b/>
                <w:bCs/>
                <w:color w:val="FFFFFF"/>
                <w:szCs w:val="20"/>
              </w:rPr>
              <w:br/>
            </w:r>
            <w:r>
              <w:rPr>
                <w:rFonts w:ascii="Arial" w:hAnsi="Arial" w:cs="Arial"/>
                <w:bCs/>
                <w:color w:val="FFFFFF"/>
                <w:szCs w:val="20"/>
              </w:rPr>
              <w:t>(0-7 score</w:t>
            </w:r>
            <w:r w:rsidRPr="002C1E9A">
              <w:rPr>
                <w:rFonts w:ascii="Arial" w:hAnsi="Arial" w:cs="Arial"/>
                <w:bCs/>
                <w:color w:val="FFFFFF"/>
                <w:szCs w:val="20"/>
              </w:rPr>
              <w:t>)</w:t>
            </w:r>
          </w:p>
        </w:tc>
        <w:tc>
          <w:tcPr>
            <w:tcW w:w="1195" w:type="dxa"/>
            <w:tcBorders>
              <w:top w:val="nil"/>
              <w:left w:val="nil"/>
              <w:bottom w:val="nil"/>
              <w:right w:val="nil"/>
            </w:tcBorders>
            <w:shd w:val="clear" w:color="000000" w:fill="142E3A"/>
            <w:vAlign w:val="center"/>
            <w:hideMark/>
          </w:tcPr>
          <w:p w14:paraId="30E6FF8E" w14:textId="77777777" w:rsidR="00484B88" w:rsidRPr="002C1E9A" w:rsidRDefault="00484B88" w:rsidP="00484B88">
            <w:pPr>
              <w:keepNext/>
              <w:spacing w:before="0" w:after="0" w:line="240" w:lineRule="auto"/>
              <w:rPr>
                <w:rFonts w:ascii="Arial" w:hAnsi="Arial" w:cs="Arial"/>
                <w:b/>
                <w:bCs/>
                <w:color w:val="FFFFFF"/>
                <w:szCs w:val="20"/>
              </w:rPr>
            </w:pPr>
            <w:r w:rsidRPr="002C1E9A">
              <w:rPr>
                <w:rFonts w:ascii="Arial" w:hAnsi="Arial" w:cs="Arial"/>
                <w:b/>
                <w:bCs/>
                <w:color w:val="FFFFFF"/>
                <w:szCs w:val="20"/>
              </w:rPr>
              <w:t xml:space="preserve">Difference </w:t>
            </w:r>
          </w:p>
        </w:tc>
        <w:tc>
          <w:tcPr>
            <w:tcW w:w="1247" w:type="dxa"/>
            <w:tcBorders>
              <w:top w:val="nil"/>
              <w:left w:val="nil"/>
              <w:bottom w:val="nil"/>
              <w:right w:val="nil"/>
            </w:tcBorders>
            <w:shd w:val="clear" w:color="000000" w:fill="142E3A"/>
            <w:vAlign w:val="center"/>
            <w:hideMark/>
          </w:tcPr>
          <w:p w14:paraId="28E6C387" w14:textId="77777777" w:rsidR="00484B88" w:rsidRPr="002C1E9A" w:rsidRDefault="00484B88" w:rsidP="00484B88">
            <w:pPr>
              <w:keepNext/>
              <w:spacing w:before="0" w:after="0" w:line="240" w:lineRule="auto"/>
              <w:rPr>
                <w:rFonts w:ascii="Arial" w:hAnsi="Arial" w:cs="Arial"/>
                <w:b/>
                <w:bCs/>
                <w:color w:val="FFFFFF"/>
                <w:szCs w:val="20"/>
              </w:rPr>
            </w:pPr>
            <w:r w:rsidRPr="002C1E9A">
              <w:rPr>
                <w:rFonts w:ascii="Arial" w:hAnsi="Arial" w:cs="Arial"/>
                <w:b/>
                <w:bCs/>
                <w:color w:val="FFFFFF"/>
                <w:szCs w:val="20"/>
              </w:rPr>
              <w:t xml:space="preserve">95% CI </w:t>
            </w:r>
            <w:r w:rsidRPr="002C1E9A">
              <w:rPr>
                <w:rFonts w:ascii="Arial" w:hAnsi="Arial" w:cs="Arial"/>
                <w:b/>
                <w:bCs/>
                <w:color w:val="FFFFFF"/>
                <w:szCs w:val="20"/>
              </w:rPr>
              <w:br/>
            </w:r>
            <w:r w:rsidRPr="002C1E9A">
              <w:rPr>
                <w:rFonts w:ascii="Arial" w:hAnsi="Arial" w:cs="Arial"/>
                <w:bCs/>
                <w:color w:val="FFFFFF"/>
                <w:szCs w:val="20"/>
              </w:rPr>
              <w:t>(one-sided)</w:t>
            </w:r>
          </w:p>
        </w:tc>
        <w:tc>
          <w:tcPr>
            <w:tcW w:w="964" w:type="dxa"/>
            <w:tcBorders>
              <w:top w:val="nil"/>
              <w:left w:val="nil"/>
              <w:bottom w:val="nil"/>
              <w:right w:val="nil"/>
            </w:tcBorders>
            <w:shd w:val="clear" w:color="000000" w:fill="142E3A"/>
            <w:noWrap/>
            <w:vAlign w:val="center"/>
            <w:hideMark/>
          </w:tcPr>
          <w:p w14:paraId="37E7DCD2" w14:textId="77777777" w:rsidR="00484B88" w:rsidRPr="002C1E9A" w:rsidRDefault="00484B88" w:rsidP="00484B88">
            <w:pPr>
              <w:keepNext/>
              <w:spacing w:before="0" w:after="0" w:line="240" w:lineRule="auto"/>
              <w:rPr>
                <w:rFonts w:ascii="Arial" w:hAnsi="Arial" w:cs="Arial"/>
                <w:b/>
                <w:bCs/>
                <w:color w:val="FFFFFF"/>
                <w:szCs w:val="20"/>
              </w:rPr>
            </w:pPr>
            <w:r w:rsidRPr="002C1E9A">
              <w:rPr>
                <w:rFonts w:ascii="Arial" w:hAnsi="Arial" w:cs="Arial"/>
                <w:b/>
                <w:bCs/>
                <w:color w:val="FFFFFF"/>
                <w:szCs w:val="20"/>
              </w:rPr>
              <w:t>p-value</w:t>
            </w:r>
          </w:p>
        </w:tc>
        <w:tc>
          <w:tcPr>
            <w:tcW w:w="1304" w:type="dxa"/>
            <w:tcBorders>
              <w:top w:val="nil"/>
              <w:left w:val="nil"/>
              <w:bottom w:val="nil"/>
              <w:right w:val="nil"/>
            </w:tcBorders>
            <w:shd w:val="clear" w:color="000000" w:fill="142E3A"/>
            <w:vAlign w:val="center"/>
            <w:hideMark/>
          </w:tcPr>
          <w:p w14:paraId="550F48C4" w14:textId="77777777" w:rsidR="00484B88" w:rsidRPr="002C1E9A" w:rsidRDefault="00484B88" w:rsidP="00484B88">
            <w:pPr>
              <w:keepNext/>
              <w:spacing w:before="0" w:after="0" w:line="240" w:lineRule="auto"/>
              <w:rPr>
                <w:rFonts w:ascii="Arial" w:hAnsi="Arial" w:cs="Arial"/>
                <w:b/>
                <w:bCs/>
                <w:color w:val="FFFFFF"/>
                <w:szCs w:val="20"/>
              </w:rPr>
            </w:pPr>
            <w:r w:rsidRPr="002C1E9A">
              <w:rPr>
                <w:rFonts w:ascii="Arial" w:hAnsi="Arial" w:cs="Arial"/>
                <w:b/>
                <w:bCs/>
                <w:color w:val="FFFFFF"/>
                <w:szCs w:val="20"/>
              </w:rPr>
              <w:t xml:space="preserve">Standard error </w:t>
            </w:r>
          </w:p>
        </w:tc>
      </w:tr>
      <w:tr w:rsidR="004F3BD5" w:rsidRPr="002C1E9A" w14:paraId="4B2A85D1" w14:textId="77777777" w:rsidTr="004A1EBF">
        <w:trPr>
          <w:trHeight w:val="276"/>
        </w:trPr>
        <w:tc>
          <w:tcPr>
            <w:tcW w:w="1361" w:type="dxa"/>
            <w:tcBorders>
              <w:top w:val="nil"/>
              <w:left w:val="nil"/>
              <w:bottom w:val="nil"/>
              <w:right w:val="nil"/>
            </w:tcBorders>
            <w:shd w:val="clear" w:color="000000" w:fill="F2F2F2"/>
            <w:noWrap/>
            <w:hideMark/>
          </w:tcPr>
          <w:p w14:paraId="0A586E43" w14:textId="7F6F24A8" w:rsidR="004F3BD5" w:rsidRPr="004F3BD5" w:rsidRDefault="004F3BD5" w:rsidP="004F3BD5">
            <w:pPr>
              <w:keepNext/>
              <w:spacing w:before="0" w:after="0" w:line="240" w:lineRule="auto"/>
              <w:rPr>
                <w:rFonts w:ascii="Arial" w:hAnsi="Arial" w:cs="Arial"/>
                <w:color w:val="auto"/>
                <w:szCs w:val="20"/>
              </w:rPr>
            </w:pPr>
            <w:r w:rsidRPr="004F3BD5">
              <w:rPr>
                <w:color w:val="auto"/>
              </w:rPr>
              <w:t xml:space="preserve">Control </w:t>
            </w:r>
          </w:p>
        </w:tc>
        <w:tc>
          <w:tcPr>
            <w:tcW w:w="510" w:type="dxa"/>
            <w:tcBorders>
              <w:top w:val="nil"/>
              <w:left w:val="nil"/>
              <w:bottom w:val="nil"/>
              <w:right w:val="nil"/>
            </w:tcBorders>
            <w:shd w:val="clear" w:color="000000" w:fill="F2F2F2"/>
            <w:noWrap/>
            <w:hideMark/>
          </w:tcPr>
          <w:p w14:paraId="7D8AB709" w14:textId="1A1A90E4"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33</w:t>
            </w:r>
          </w:p>
        </w:tc>
        <w:tc>
          <w:tcPr>
            <w:tcW w:w="1644" w:type="dxa"/>
            <w:tcBorders>
              <w:top w:val="nil"/>
              <w:left w:val="nil"/>
              <w:bottom w:val="nil"/>
              <w:right w:val="nil"/>
            </w:tcBorders>
            <w:shd w:val="clear" w:color="000000" w:fill="F2F2F2"/>
            <w:noWrap/>
          </w:tcPr>
          <w:p w14:paraId="4D9CC509" w14:textId="7AA5DEDC"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5.31</w:t>
            </w:r>
          </w:p>
        </w:tc>
        <w:tc>
          <w:tcPr>
            <w:tcW w:w="1195" w:type="dxa"/>
            <w:tcBorders>
              <w:top w:val="nil"/>
              <w:left w:val="nil"/>
              <w:bottom w:val="nil"/>
              <w:right w:val="nil"/>
            </w:tcBorders>
            <w:shd w:val="clear" w:color="000000" w:fill="F2F2F2"/>
            <w:noWrap/>
          </w:tcPr>
          <w:p w14:paraId="123FD259" w14:textId="486391E9" w:rsidR="004F3BD5" w:rsidRPr="004F3BD5" w:rsidRDefault="004F3BD5" w:rsidP="004F3BD5">
            <w:pPr>
              <w:keepNext/>
              <w:spacing w:before="0" w:after="0" w:line="240" w:lineRule="auto"/>
              <w:jc w:val="right"/>
              <w:rPr>
                <w:rFonts w:ascii="Arial" w:hAnsi="Arial" w:cs="Arial"/>
                <w:color w:val="auto"/>
                <w:szCs w:val="20"/>
              </w:rPr>
            </w:pPr>
          </w:p>
        </w:tc>
        <w:tc>
          <w:tcPr>
            <w:tcW w:w="1247" w:type="dxa"/>
            <w:tcBorders>
              <w:top w:val="nil"/>
              <w:left w:val="nil"/>
              <w:bottom w:val="nil"/>
              <w:right w:val="nil"/>
            </w:tcBorders>
            <w:shd w:val="clear" w:color="000000" w:fill="F2F2F2"/>
          </w:tcPr>
          <w:p w14:paraId="35755F46" w14:textId="2EE17861" w:rsidR="004F3BD5" w:rsidRPr="004F3BD5" w:rsidRDefault="004F3BD5" w:rsidP="004F3BD5">
            <w:pPr>
              <w:keepNext/>
              <w:spacing w:before="0" w:after="0" w:line="240" w:lineRule="auto"/>
              <w:jc w:val="right"/>
              <w:rPr>
                <w:rFonts w:ascii="Arial" w:hAnsi="Arial" w:cs="Arial"/>
                <w:color w:val="auto"/>
                <w:szCs w:val="20"/>
              </w:rPr>
            </w:pPr>
          </w:p>
        </w:tc>
        <w:tc>
          <w:tcPr>
            <w:tcW w:w="964" w:type="dxa"/>
            <w:tcBorders>
              <w:top w:val="nil"/>
              <w:left w:val="nil"/>
              <w:bottom w:val="nil"/>
              <w:right w:val="nil"/>
            </w:tcBorders>
            <w:shd w:val="clear" w:color="000000" w:fill="F2F2F2"/>
            <w:noWrap/>
          </w:tcPr>
          <w:p w14:paraId="72D4CA15" w14:textId="1AD3E7D3" w:rsidR="004F3BD5" w:rsidRPr="004F3BD5" w:rsidRDefault="004F3BD5" w:rsidP="004F3BD5">
            <w:pPr>
              <w:keepNext/>
              <w:spacing w:before="0" w:after="0" w:line="240" w:lineRule="auto"/>
              <w:jc w:val="right"/>
              <w:rPr>
                <w:rFonts w:ascii="Arial" w:hAnsi="Arial" w:cs="Arial"/>
                <w:color w:val="auto"/>
                <w:szCs w:val="20"/>
              </w:rPr>
            </w:pPr>
          </w:p>
        </w:tc>
        <w:tc>
          <w:tcPr>
            <w:tcW w:w="1304" w:type="dxa"/>
            <w:tcBorders>
              <w:top w:val="nil"/>
              <w:left w:val="nil"/>
              <w:bottom w:val="nil"/>
              <w:right w:val="nil"/>
            </w:tcBorders>
            <w:shd w:val="clear" w:color="000000" w:fill="F2F2F2"/>
            <w:noWrap/>
          </w:tcPr>
          <w:p w14:paraId="685976AC" w14:textId="4E71412C" w:rsidR="004F3BD5" w:rsidRPr="004F3BD5" w:rsidRDefault="004F3BD5" w:rsidP="004F3BD5">
            <w:pPr>
              <w:keepNext/>
              <w:spacing w:before="0" w:after="0" w:line="240" w:lineRule="auto"/>
              <w:jc w:val="right"/>
              <w:rPr>
                <w:rFonts w:ascii="Arial" w:hAnsi="Arial" w:cs="Arial"/>
                <w:color w:val="auto"/>
                <w:szCs w:val="20"/>
              </w:rPr>
            </w:pPr>
          </w:p>
        </w:tc>
      </w:tr>
      <w:tr w:rsidR="004F3BD5" w:rsidRPr="002C1E9A" w14:paraId="0A7F0269" w14:textId="77777777" w:rsidTr="004A1EBF">
        <w:trPr>
          <w:trHeight w:val="276"/>
        </w:trPr>
        <w:tc>
          <w:tcPr>
            <w:tcW w:w="1361" w:type="dxa"/>
            <w:tcBorders>
              <w:top w:val="nil"/>
              <w:left w:val="nil"/>
              <w:bottom w:val="nil"/>
              <w:right w:val="nil"/>
            </w:tcBorders>
            <w:shd w:val="clear" w:color="000000" w:fill="F2F2F2"/>
            <w:noWrap/>
            <w:hideMark/>
          </w:tcPr>
          <w:p w14:paraId="395C7AE4" w14:textId="23321F16" w:rsidR="004F3BD5" w:rsidRPr="004F3BD5" w:rsidRDefault="004F3BD5" w:rsidP="004F3BD5">
            <w:pPr>
              <w:keepNext/>
              <w:spacing w:before="0" w:after="0" w:line="240" w:lineRule="auto"/>
              <w:rPr>
                <w:rFonts w:ascii="Arial" w:hAnsi="Arial" w:cs="Arial"/>
                <w:color w:val="auto"/>
                <w:szCs w:val="20"/>
              </w:rPr>
            </w:pPr>
            <w:r w:rsidRPr="004F3BD5">
              <w:rPr>
                <w:color w:val="auto"/>
              </w:rPr>
              <w:t xml:space="preserve">Mentoring </w:t>
            </w:r>
          </w:p>
        </w:tc>
        <w:tc>
          <w:tcPr>
            <w:tcW w:w="510" w:type="dxa"/>
            <w:tcBorders>
              <w:top w:val="nil"/>
              <w:left w:val="nil"/>
              <w:bottom w:val="nil"/>
              <w:right w:val="nil"/>
            </w:tcBorders>
            <w:shd w:val="clear" w:color="000000" w:fill="F2F2F2"/>
            <w:noWrap/>
            <w:hideMark/>
          </w:tcPr>
          <w:p w14:paraId="2BE3601C" w14:textId="6CECEB90"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55</w:t>
            </w:r>
          </w:p>
        </w:tc>
        <w:tc>
          <w:tcPr>
            <w:tcW w:w="1644" w:type="dxa"/>
            <w:tcBorders>
              <w:top w:val="nil"/>
              <w:left w:val="nil"/>
              <w:bottom w:val="nil"/>
              <w:right w:val="nil"/>
            </w:tcBorders>
            <w:shd w:val="clear" w:color="000000" w:fill="F2F2F2"/>
            <w:noWrap/>
          </w:tcPr>
          <w:p w14:paraId="4CEADF7F" w14:textId="5B1538C1"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5.51</w:t>
            </w:r>
          </w:p>
        </w:tc>
        <w:tc>
          <w:tcPr>
            <w:tcW w:w="1195" w:type="dxa"/>
            <w:tcBorders>
              <w:top w:val="nil"/>
              <w:left w:val="nil"/>
              <w:bottom w:val="nil"/>
              <w:right w:val="nil"/>
            </w:tcBorders>
            <w:shd w:val="clear" w:color="000000" w:fill="F2F2F2"/>
            <w:noWrap/>
          </w:tcPr>
          <w:p w14:paraId="698CF65B" w14:textId="237A415B"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0.19</w:t>
            </w:r>
          </w:p>
        </w:tc>
        <w:tc>
          <w:tcPr>
            <w:tcW w:w="1247" w:type="dxa"/>
            <w:tcBorders>
              <w:top w:val="nil"/>
              <w:left w:val="nil"/>
              <w:bottom w:val="nil"/>
              <w:right w:val="nil"/>
            </w:tcBorders>
            <w:shd w:val="clear" w:color="000000" w:fill="F2F2F2"/>
          </w:tcPr>
          <w:p w14:paraId="5FD3FE7D" w14:textId="7C8F90FA" w:rsidR="004F3BD5" w:rsidRPr="004F3BD5" w:rsidRDefault="004F3BD5" w:rsidP="004F3BD5">
            <w:pPr>
              <w:keepNext/>
              <w:spacing w:before="0" w:after="0" w:line="240" w:lineRule="auto"/>
              <w:rPr>
                <w:rFonts w:ascii="Arial" w:hAnsi="Arial" w:cs="Arial"/>
                <w:color w:val="auto"/>
                <w:szCs w:val="20"/>
              </w:rPr>
            </w:pPr>
            <w:r w:rsidRPr="004F3BD5">
              <w:rPr>
                <w:color w:val="auto"/>
              </w:rPr>
              <w:t>(-0.19, inf)</w:t>
            </w:r>
          </w:p>
        </w:tc>
        <w:tc>
          <w:tcPr>
            <w:tcW w:w="964" w:type="dxa"/>
            <w:tcBorders>
              <w:top w:val="nil"/>
              <w:left w:val="nil"/>
              <w:bottom w:val="nil"/>
              <w:right w:val="nil"/>
            </w:tcBorders>
            <w:shd w:val="clear" w:color="000000" w:fill="F2F2F2"/>
            <w:noWrap/>
          </w:tcPr>
          <w:p w14:paraId="62D6DDCC" w14:textId="3193FFB1"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0.201</w:t>
            </w:r>
          </w:p>
        </w:tc>
        <w:tc>
          <w:tcPr>
            <w:tcW w:w="1304" w:type="dxa"/>
            <w:tcBorders>
              <w:top w:val="nil"/>
              <w:left w:val="nil"/>
              <w:bottom w:val="nil"/>
              <w:right w:val="nil"/>
            </w:tcBorders>
            <w:shd w:val="clear" w:color="000000" w:fill="F2F2F2"/>
            <w:noWrap/>
          </w:tcPr>
          <w:p w14:paraId="6807B386" w14:textId="41C2F180" w:rsidR="004F3BD5" w:rsidRPr="004F3BD5" w:rsidRDefault="004F3BD5" w:rsidP="004F3BD5">
            <w:pPr>
              <w:keepNext/>
              <w:spacing w:before="0" w:after="0" w:line="240" w:lineRule="auto"/>
              <w:jc w:val="right"/>
              <w:rPr>
                <w:rFonts w:ascii="Arial" w:hAnsi="Arial" w:cs="Arial"/>
                <w:color w:val="auto"/>
                <w:szCs w:val="20"/>
              </w:rPr>
            </w:pPr>
            <w:r w:rsidRPr="004F3BD5">
              <w:rPr>
                <w:color w:val="auto"/>
              </w:rPr>
              <w:t>0.230</w:t>
            </w:r>
          </w:p>
        </w:tc>
      </w:tr>
    </w:tbl>
    <w:p w14:paraId="458C2ABF" w14:textId="13CC70C8" w:rsidR="00484B88" w:rsidRPr="004A1EBF" w:rsidRDefault="00484B88" w:rsidP="004A1EBF">
      <w:pPr>
        <w:pStyle w:val="SourceNotesText"/>
        <w:rPr>
          <w:sz w:val="16"/>
        </w:rPr>
      </w:pPr>
      <w:r w:rsidRPr="004A1EBF">
        <w:rPr>
          <w:sz w:val="16"/>
        </w:rPr>
        <w:t xml:space="preserve">Note: Covariate-adjusted OLS regression, where covariate=baseline likelihood to continue studying economics next year, one-sided test with HC2 robust standard errors. </w:t>
      </w:r>
      <w:r w:rsidR="009C7AEB" w:rsidRPr="004A1EBF">
        <w:rPr>
          <w:sz w:val="16"/>
        </w:rPr>
        <w:t>Due to the impact of COVID</w:t>
      </w:r>
      <w:r w:rsidR="009C7AEB" w:rsidRPr="004A1EBF">
        <w:rPr>
          <w:sz w:val="16"/>
        </w:rPr>
        <w:noBreakHyphen/>
        <w:t xml:space="preserve">19, in S1 2020 students were given the option of replacing their grade for any unit with ‘Course Requirement Satisfied/Not Satisfied’. There were 18 students who took this option for at least </w:t>
      </w:r>
      <w:r w:rsidR="006E501B" w:rsidRPr="004A1EBF">
        <w:rPr>
          <w:sz w:val="16"/>
        </w:rPr>
        <w:t>one unit and so</w:t>
      </w:r>
      <w:r w:rsidR="009C7AEB" w:rsidRPr="004A1EBF">
        <w:rPr>
          <w:sz w:val="16"/>
        </w:rPr>
        <w:t xml:space="preserve"> these units are not reflected in their GPA. </w:t>
      </w:r>
    </w:p>
    <w:p w14:paraId="1C79C0FC" w14:textId="0A317047" w:rsidR="00A84918" w:rsidRDefault="00712D0E" w:rsidP="00E84ACD">
      <w:pPr>
        <w:pStyle w:val="Heading4"/>
      </w:pPr>
      <w:r>
        <w:t xml:space="preserve">Baseline </w:t>
      </w:r>
      <w:r w:rsidR="00B57CD1">
        <w:t>characteristics</w:t>
      </w:r>
      <w:r>
        <w:t xml:space="preserve"> and balance checks</w:t>
      </w:r>
    </w:p>
    <w:p w14:paraId="3F813D3B" w14:textId="2E9E2189" w:rsidR="00911046" w:rsidRPr="006E501B" w:rsidRDefault="00DE22BC" w:rsidP="004A1EBF">
      <w:r w:rsidRPr="006E501B">
        <w:t>This section details the general characteristics of our sample frame at baseline</w:t>
      </w:r>
      <w:r w:rsidR="00911046" w:rsidRPr="006E501B">
        <w:t>, along with students’ views of their economics studies. In addition, the tables below present descriptive statistics for assessing balance between the treatment and control groups: they were very similar on most available measures.</w:t>
      </w:r>
    </w:p>
    <w:p w14:paraId="3EFFF503" w14:textId="70FCF401" w:rsidR="00031521" w:rsidRDefault="00BF743C" w:rsidP="00BF743C">
      <w:pPr>
        <w:pStyle w:val="FigureHeading"/>
        <w:numPr>
          <w:ilvl w:val="0"/>
          <w:numId w:val="0"/>
        </w:numPr>
        <w:ind w:left="1430" w:hanging="720"/>
      </w:pPr>
      <w:r>
        <w:t xml:space="preserve">Figure 23: </w:t>
      </w:r>
      <w:r w:rsidR="00031521">
        <w:t>Baseline characteristics (continuous variables)</w:t>
      </w:r>
    </w:p>
    <w:tbl>
      <w:tblPr>
        <w:tblW w:w="8270" w:type="dxa"/>
        <w:tblLook w:val="04A0" w:firstRow="1" w:lastRow="0" w:firstColumn="1" w:lastColumn="0" w:noHBand="0" w:noVBand="1"/>
        <w:tblCaption w:val="Figure 23: Baseline characteristics (continuous variables)"/>
      </w:tblPr>
      <w:tblGrid>
        <w:gridCol w:w="4479"/>
        <w:gridCol w:w="1300"/>
        <w:gridCol w:w="1300"/>
        <w:gridCol w:w="1191"/>
      </w:tblGrid>
      <w:tr w:rsidR="00031521" w:rsidRPr="00031521" w14:paraId="148B3097" w14:textId="77777777" w:rsidTr="00731CEB">
        <w:trPr>
          <w:trHeight w:val="288"/>
          <w:tblHeader/>
        </w:trPr>
        <w:tc>
          <w:tcPr>
            <w:tcW w:w="4479" w:type="dxa"/>
            <w:tcBorders>
              <w:top w:val="nil"/>
              <w:left w:val="nil"/>
              <w:bottom w:val="nil"/>
              <w:right w:val="nil"/>
            </w:tcBorders>
            <w:shd w:val="clear" w:color="000000" w:fill="142E3A"/>
            <w:noWrap/>
            <w:vAlign w:val="center"/>
            <w:hideMark/>
          </w:tcPr>
          <w:p w14:paraId="4A7B6951" w14:textId="77777777" w:rsidR="00031521" w:rsidRPr="00031521" w:rsidRDefault="00031521" w:rsidP="00B64A14">
            <w:pPr>
              <w:keepNext/>
              <w:spacing w:before="0" w:after="0" w:line="240" w:lineRule="auto"/>
              <w:rPr>
                <w:rFonts w:ascii="Arial" w:hAnsi="Arial" w:cs="Arial"/>
                <w:b/>
                <w:bCs/>
                <w:color w:val="FFFFFF"/>
                <w:szCs w:val="20"/>
              </w:rPr>
            </w:pPr>
            <w:r w:rsidRPr="00031521">
              <w:rPr>
                <w:rFonts w:ascii="Arial" w:hAnsi="Arial" w:cs="Arial"/>
                <w:b/>
                <w:bCs/>
                <w:color w:val="FFFFFF"/>
                <w:szCs w:val="20"/>
              </w:rPr>
              <w:t> </w:t>
            </w:r>
          </w:p>
        </w:tc>
        <w:tc>
          <w:tcPr>
            <w:tcW w:w="1300" w:type="dxa"/>
            <w:tcBorders>
              <w:top w:val="nil"/>
              <w:left w:val="nil"/>
              <w:bottom w:val="nil"/>
              <w:right w:val="nil"/>
            </w:tcBorders>
            <w:shd w:val="clear" w:color="000000" w:fill="142E3A"/>
            <w:noWrap/>
            <w:vAlign w:val="center"/>
            <w:hideMark/>
          </w:tcPr>
          <w:p w14:paraId="7B84379E" w14:textId="77777777" w:rsidR="00031521" w:rsidRPr="00031521" w:rsidRDefault="00031521" w:rsidP="00B64A14">
            <w:pPr>
              <w:keepNext/>
              <w:spacing w:before="0" w:after="0" w:line="240" w:lineRule="auto"/>
              <w:jc w:val="center"/>
              <w:rPr>
                <w:rFonts w:ascii="Arial" w:hAnsi="Arial" w:cs="Arial"/>
                <w:b/>
                <w:bCs/>
                <w:color w:val="FFFFFF"/>
                <w:szCs w:val="20"/>
              </w:rPr>
            </w:pPr>
            <w:r w:rsidRPr="00031521">
              <w:rPr>
                <w:rFonts w:ascii="Arial" w:hAnsi="Arial" w:cs="Arial"/>
                <w:b/>
                <w:bCs/>
                <w:color w:val="FFFFFF"/>
                <w:szCs w:val="20"/>
              </w:rPr>
              <w:t>Control</w:t>
            </w:r>
          </w:p>
        </w:tc>
        <w:tc>
          <w:tcPr>
            <w:tcW w:w="1300" w:type="dxa"/>
            <w:tcBorders>
              <w:top w:val="nil"/>
              <w:left w:val="nil"/>
              <w:bottom w:val="nil"/>
              <w:right w:val="nil"/>
            </w:tcBorders>
            <w:shd w:val="clear" w:color="000000" w:fill="142E3A"/>
            <w:noWrap/>
            <w:vAlign w:val="center"/>
            <w:hideMark/>
          </w:tcPr>
          <w:p w14:paraId="1A569785" w14:textId="77777777" w:rsidR="00031521" w:rsidRPr="00031521" w:rsidRDefault="00031521" w:rsidP="00B64A14">
            <w:pPr>
              <w:keepNext/>
              <w:spacing w:before="0" w:after="0" w:line="240" w:lineRule="auto"/>
              <w:jc w:val="center"/>
              <w:rPr>
                <w:rFonts w:ascii="Arial" w:hAnsi="Arial" w:cs="Arial"/>
                <w:b/>
                <w:bCs/>
                <w:color w:val="FFFFFF"/>
                <w:szCs w:val="20"/>
              </w:rPr>
            </w:pPr>
            <w:r w:rsidRPr="00031521">
              <w:rPr>
                <w:rFonts w:ascii="Arial" w:hAnsi="Arial" w:cs="Arial"/>
                <w:b/>
                <w:bCs/>
                <w:color w:val="FFFFFF"/>
                <w:szCs w:val="20"/>
              </w:rPr>
              <w:t>Treatment</w:t>
            </w:r>
          </w:p>
        </w:tc>
        <w:tc>
          <w:tcPr>
            <w:tcW w:w="1191" w:type="dxa"/>
            <w:tcBorders>
              <w:top w:val="nil"/>
              <w:left w:val="nil"/>
              <w:bottom w:val="nil"/>
              <w:right w:val="nil"/>
            </w:tcBorders>
            <w:shd w:val="clear" w:color="000000" w:fill="142E3A"/>
            <w:noWrap/>
            <w:vAlign w:val="center"/>
            <w:hideMark/>
          </w:tcPr>
          <w:p w14:paraId="06FF8B2F" w14:textId="77777777" w:rsidR="00031521" w:rsidRPr="00031521" w:rsidRDefault="00031521" w:rsidP="00B64A14">
            <w:pPr>
              <w:keepNext/>
              <w:spacing w:before="0" w:after="0" w:line="240" w:lineRule="auto"/>
              <w:ind w:right="-7"/>
              <w:jc w:val="center"/>
              <w:rPr>
                <w:rFonts w:ascii="Arial" w:hAnsi="Arial" w:cs="Arial"/>
                <w:b/>
                <w:bCs/>
                <w:color w:val="FFFFFF"/>
                <w:szCs w:val="20"/>
              </w:rPr>
            </w:pPr>
            <w:r w:rsidRPr="00031521">
              <w:rPr>
                <w:rFonts w:ascii="Arial" w:hAnsi="Arial" w:cs="Arial"/>
                <w:b/>
                <w:bCs/>
                <w:color w:val="FFFFFF"/>
                <w:szCs w:val="20"/>
              </w:rPr>
              <w:t>All</w:t>
            </w:r>
          </w:p>
        </w:tc>
      </w:tr>
      <w:tr w:rsidR="00031521" w:rsidRPr="00031521" w14:paraId="59352598" w14:textId="77777777" w:rsidTr="00731CEB">
        <w:trPr>
          <w:trHeight w:val="288"/>
          <w:tblHeader/>
        </w:trPr>
        <w:tc>
          <w:tcPr>
            <w:tcW w:w="4479" w:type="dxa"/>
            <w:tcBorders>
              <w:top w:val="nil"/>
              <w:left w:val="nil"/>
              <w:bottom w:val="nil"/>
              <w:right w:val="nil"/>
            </w:tcBorders>
            <w:shd w:val="clear" w:color="000000" w:fill="142E3A"/>
            <w:noWrap/>
            <w:vAlign w:val="center"/>
            <w:hideMark/>
          </w:tcPr>
          <w:p w14:paraId="3AD3D245" w14:textId="77777777" w:rsidR="00031521" w:rsidRPr="00031521" w:rsidRDefault="00031521" w:rsidP="00B64A14">
            <w:pPr>
              <w:keepNext/>
              <w:spacing w:before="0" w:after="0" w:line="240" w:lineRule="auto"/>
              <w:rPr>
                <w:rFonts w:ascii="Arial" w:hAnsi="Arial" w:cs="Arial"/>
                <w:color w:val="FFFFFF"/>
                <w:szCs w:val="20"/>
              </w:rPr>
            </w:pPr>
            <w:r w:rsidRPr="00031521">
              <w:rPr>
                <w:rFonts w:ascii="Arial" w:hAnsi="Arial" w:cs="Arial"/>
                <w:color w:val="FFFFFF"/>
                <w:szCs w:val="20"/>
              </w:rPr>
              <w:t> </w:t>
            </w:r>
          </w:p>
        </w:tc>
        <w:tc>
          <w:tcPr>
            <w:tcW w:w="1300" w:type="dxa"/>
            <w:tcBorders>
              <w:top w:val="nil"/>
              <w:left w:val="nil"/>
              <w:bottom w:val="nil"/>
              <w:right w:val="nil"/>
            </w:tcBorders>
            <w:shd w:val="clear" w:color="000000" w:fill="142E3A"/>
            <w:noWrap/>
            <w:vAlign w:val="center"/>
            <w:hideMark/>
          </w:tcPr>
          <w:p w14:paraId="6B366A7E" w14:textId="77777777" w:rsidR="00031521" w:rsidRPr="00031521" w:rsidRDefault="00031521" w:rsidP="00B64A14">
            <w:pPr>
              <w:keepNext/>
              <w:spacing w:before="0" w:after="0" w:line="240" w:lineRule="auto"/>
              <w:jc w:val="center"/>
              <w:rPr>
                <w:rFonts w:ascii="Arial" w:hAnsi="Arial" w:cs="Arial"/>
                <w:color w:val="FFFFFF"/>
                <w:szCs w:val="20"/>
              </w:rPr>
            </w:pPr>
            <w:r w:rsidRPr="00031521">
              <w:rPr>
                <w:rFonts w:ascii="Arial" w:hAnsi="Arial" w:cs="Arial"/>
                <w:color w:val="FFFFFF"/>
                <w:szCs w:val="20"/>
              </w:rPr>
              <w:t>mean (SD)</w:t>
            </w:r>
          </w:p>
        </w:tc>
        <w:tc>
          <w:tcPr>
            <w:tcW w:w="1300" w:type="dxa"/>
            <w:tcBorders>
              <w:top w:val="nil"/>
              <w:left w:val="nil"/>
              <w:bottom w:val="nil"/>
              <w:right w:val="nil"/>
            </w:tcBorders>
            <w:shd w:val="clear" w:color="000000" w:fill="142E3A"/>
            <w:noWrap/>
            <w:vAlign w:val="center"/>
            <w:hideMark/>
          </w:tcPr>
          <w:p w14:paraId="21A06447" w14:textId="77777777" w:rsidR="00031521" w:rsidRPr="00031521" w:rsidRDefault="00031521" w:rsidP="00B64A14">
            <w:pPr>
              <w:keepNext/>
              <w:spacing w:before="0" w:after="0" w:line="240" w:lineRule="auto"/>
              <w:jc w:val="center"/>
              <w:rPr>
                <w:rFonts w:ascii="Arial" w:hAnsi="Arial" w:cs="Arial"/>
                <w:color w:val="FFFFFF"/>
                <w:szCs w:val="20"/>
              </w:rPr>
            </w:pPr>
            <w:r w:rsidRPr="00031521">
              <w:rPr>
                <w:rFonts w:ascii="Arial" w:hAnsi="Arial" w:cs="Arial"/>
                <w:color w:val="FFFFFF"/>
                <w:szCs w:val="20"/>
              </w:rPr>
              <w:t>mean (SD)</w:t>
            </w:r>
          </w:p>
        </w:tc>
        <w:tc>
          <w:tcPr>
            <w:tcW w:w="1191" w:type="dxa"/>
            <w:tcBorders>
              <w:top w:val="nil"/>
              <w:left w:val="nil"/>
              <w:bottom w:val="nil"/>
              <w:right w:val="nil"/>
            </w:tcBorders>
            <w:shd w:val="clear" w:color="000000" w:fill="142E3A"/>
            <w:noWrap/>
            <w:vAlign w:val="center"/>
            <w:hideMark/>
          </w:tcPr>
          <w:p w14:paraId="2133BF0D" w14:textId="77777777" w:rsidR="00031521" w:rsidRPr="00031521" w:rsidRDefault="00031521" w:rsidP="00B64A14">
            <w:pPr>
              <w:keepNext/>
              <w:spacing w:before="0" w:after="0" w:line="240" w:lineRule="auto"/>
              <w:ind w:right="-7"/>
              <w:jc w:val="center"/>
              <w:rPr>
                <w:rFonts w:ascii="Arial" w:hAnsi="Arial" w:cs="Arial"/>
                <w:color w:val="FFFFFF"/>
                <w:szCs w:val="20"/>
              </w:rPr>
            </w:pPr>
            <w:r w:rsidRPr="00031521">
              <w:rPr>
                <w:rFonts w:ascii="Arial" w:hAnsi="Arial" w:cs="Arial"/>
                <w:color w:val="FFFFFF"/>
                <w:szCs w:val="20"/>
              </w:rPr>
              <w:t>mean (SD)</w:t>
            </w:r>
          </w:p>
        </w:tc>
      </w:tr>
      <w:tr w:rsidR="00031521" w:rsidRPr="00031521" w14:paraId="4945FAC3" w14:textId="77777777" w:rsidTr="00031521">
        <w:trPr>
          <w:trHeight w:val="288"/>
        </w:trPr>
        <w:tc>
          <w:tcPr>
            <w:tcW w:w="4479" w:type="dxa"/>
            <w:tcBorders>
              <w:top w:val="nil"/>
              <w:left w:val="nil"/>
              <w:bottom w:val="nil"/>
              <w:right w:val="nil"/>
            </w:tcBorders>
            <w:shd w:val="clear" w:color="000000" w:fill="F2F2F2"/>
            <w:vAlign w:val="center"/>
            <w:hideMark/>
          </w:tcPr>
          <w:p w14:paraId="66F02A2F" w14:textId="77777777" w:rsidR="00031521" w:rsidRPr="00031521" w:rsidRDefault="00031521" w:rsidP="00B64A14">
            <w:pPr>
              <w:keepNext/>
              <w:spacing w:before="0" w:after="0" w:line="240" w:lineRule="auto"/>
              <w:rPr>
                <w:rFonts w:ascii="Arial" w:hAnsi="Arial" w:cs="Arial"/>
                <w:color w:val="000000"/>
                <w:szCs w:val="20"/>
              </w:rPr>
            </w:pPr>
            <w:r w:rsidRPr="00031521">
              <w:rPr>
                <w:rFonts w:ascii="Arial" w:hAnsi="Arial" w:cs="Arial"/>
                <w:color w:val="000000"/>
                <w:szCs w:val="20"/>
              </w:rPr>
              <w:t>Age</w:t>
            </w:r>
          </w:p>
        </w:tc>
        <w:tc>
          <w:tcPr>
            <w:tcW w:w="1300" w:type="dxa"/>
            <w:tcBorders>
              <w:top w:val="nil"/>
              <w:left w:val="nil"/>
              <w:bottom w:val="nil"/>
              <w:right w:val="nil"/>
            </w:tcBorders>
            <w:shd w:val="clear" w:color="000000" w:fill="F2F2F2"/>
            <w:noWrap/>
            <w:vAlign w:val="center"/>
            <w:hideMark/>
          </w:tcPr>
          <w:p w14:paraId="268F317B" w14:textId="77777777" w:rsidR="00031521" w:rsidRPr="00031521" w:rsidRDefault="00031521" w:rsidP="00B64A14">
            <w:pPr>
              <w:keepNext/>
              <w:spacing w:before="0" w:after="0" w:line="240" w:lineRule="auto"/>
              <w:jc w:val="right"/>
              <w:rPr>
                <w:rFonts w:ascii="Arial" w:hAnsi="Arial" w:cs="Arial"/>
                <w:color w:val="000000"/>
                <w:szCs w:val="20"/>
              </w:rPr>
            </w:pPr>
            <w:r w:rsidRPr="00031521">
              <w:rPr>
                <w:rFonts w:ascii="Arial" w:hAnsi="Arial" w:cs="Arial"/>
                <w:color w:val="000000"/>
                <w:szCs w:val="20"/>
              </w:rPr>
              <w:t>20.8 (3.2)</w:t>
            </w:r>
          </w:p>
        </w:tc>
        <w:tc>
          <w:tcPr>
            <w:tcW w:w="1300" w:type="dxa"/>
            <w:tcBorders>
              <w:top w:val="nil"/>
              <w:left w:val="nil"/>
              <w:bottom w:val="nil"/>
              <w:right w:val="nil"/>
            </w:tcBorders>
            <w:shd w:val="clear" w:color="000000" w:fill="F2F2F2"/>
            <w:noWrap/>
            <w:vAlign w:val="center"/>
            <w:hideMark/>
          </w:tcPr>
          <w:p w14:paraId="5E69FE71" w14:textId="77777777" w:rsidR="00031521" w:rsidRPr="00031521" w:rsidRDefault="00031521" w:rsidP="00B64A14">
            <w:pPr>
              <w:keepNext/>
              <w:spacing w:before="0" w:after="0" w:line="240" w:lineRule="auto"/>
              <w:jc w:val="right"/>
              <w:rPr>
                <w:rFonts w:ascii="Arial" w:hAnsi="Arial" w:cs="Arial"/>
                <w:color w:val="000000"/>
                <w:szCs w:val="20"/>
              </w:rPr>
            </w:pPr>
            <w:r w:rsidRPr="00031521">
              <w:rPr>
                <w:rFonts w:ascii="Arial" w:hAnsi="Arial" w:cs="Arial"/>
                <w:color w:val="000000"/>
                <w:szCs w:val="20"/>
              </w:rPr>
              <w:t>20.5 (2.4)</w:t>
            </w:r>
          </w:p>
        </w:tc>
        <w:tc>
          <w:tcPr>
            <w:tcW w:w="1191" w:type="dxa"/>
            <w:tcBorders>
              <w:top w:val="nil"/>
              <w:left w:val="nil"/>
              <w:bottom w:val="nil"/>
              <w:right w:val="nil"/>
            </w:tcBorders>
            <w:shd w:val="clear" w:color="000000" w:fill="F2F2F2"/>
            <w:noWrap/>
            <w:vAlign w:val="center"/>
            <w:hideMark/>
          </w:tcPr>
          <w:p w14:paraId="23532F30" w14:textId="77777777" w:rsidR="00031521" w:rsidRPr="00031521" w:rsidRDefault="00031521" w:rsidP="00B64A14">
            <w:pPr>
              <w:keepNext/>
              <w:spacing w:before="0" w:after="0" w:line="240" w:lineRule="auto"/>
              <w:ind w:right="-7"/>
              <w:jc w:val="right"/>
              <w:rPr>
                <w:rFonts w:ascii="Arial" w:hAnsi="Arial" w:cs="Arial"/>
                <w:color w:val="000000"/>
                <w:szCs w:val="20"/>
              </w:rPr>
            </w:pPr>
            <w:r w:rsidRPr="00031521">
              <w:rPr>
                <w:rFonts w:ascii="Arial" w:hAnsi="Arial" w:cs="Arial"/>
                <w:color w:val="000000"/>
                <w:szCs w:val="20"/>
              </w:rPr>
              <w:t>20.6 (2.7)</w:t>
            </w:r>
          </w:p>
        </w:tc>
      </w:tr>
      <w:tr w:rsidR="00031521" w:rsidRPr="00031521" w14:paraId="3F71FED3" w14:textId="77777777" w:rsidTr="00031521">
        <w:trPr>
          <w:trHeight w:val="289"/>
        </w:trPr>
        <w:tc>
          <w:tcPr>
            <w:tcW w:w="4479" w:type="dxa"/>
            <w:tcBorders>
              <w:top w:val="nil"/>
              <w:left w:val="nil"/>
              <w:bottom w:val="nil"/>
              <w:right w:val="nil"/>
            </w:tcBorders>
            <w:shd w:val="clear" w:color="000000" w:fill="F2F2F2"/>
            <w:vAlign w:val="center"/>
            <w:hideMark/>
          </w:tcPr>
          <w:p w14:paraId="1CB1D8C5" w14:textId="77777777" w:rsidR="00031521" w:rsidRPr="00031521" w:rsidRDefault="00031521" w:rsidP="00B64A14">
            <w:pPr>
              <w:keepNext/>
              <w:spacing w:before="0" w:after="0" w:line="240" w:lineRule="auto"/>
              <w:rPr>
                <w:rFonts w:ascii="Arial" w:hAnsi="Arial" w:cs="Arial"/>
                <w:color w:val="000000"/>
                <w:szCs w:val="20"/>
              </w:rPr>
            </w:pPr>
            <w:r w:rsidRPr="00031521">
              <w:rPr>
                <w:rFonts w:ascii="Arial" w:hAnsi="Arial" w:cs="Arial"/>
                <w:color w:val="000000"/>
                <w:szCs w:val="20"/>
              </w:rPr>
              <w:t>Confidence with economics studies (0-10 scale)</w:t>
            </w:r>
          </w:p>
        </w:tc>
        <w:tc>
          <w:tcPr>
            <w:tcW w:w="1300" w:type="dxa"/>
            <w:tcBorders>
              <w:top w:val="nil"/>
              <w:left w:val="nil"/>
              <w:bottom w:val="nil"/>
              <w:right w:val="nil"/>
            </w:tcBorders>
            <w:shd w:val="clear" w:color="000000" w:fill="F2F2F2"/>
            <w:noWrap/>
            <w:vAlign w:val="center"/>
            <w:hideMark/>
          </w:tcPr>
          <w:p w14:paraId="6DD5AD71" w14:textId="77777777" w:rsidR="00031521" w:rsidRPr="00031521" w:rsidRDefault="00031521" w:rsidP="00B64A14">
            <w:pPr>
              <w:keepNext/>
              <w:spacing w:before="0" w:after="0" w:line="240" w:lineRule="auto"/>
              <w:jc w:val="right"/>
              <w:rPr>
                <w:rFonts w:ascii="Arial" w:hAnsi="Arial" w:cs="Arial"/>
                <w:color w:val="000000"/>
                <w:szCs w:val="20"/>
              </w:rPr>
            </w:pPr>
            <w:r w:rsidRPr="00031521">
              <w:rPr>
                <w:rFonts w:ascii="Arial" w:hAnsi="Arial" w:cs="Arial"/>
                <w:color w:val="000000"/>
                <w:szCs w:val="20"/>
              </w:rPr>
              <w:t>6.4 (1.6)</w:t>
            </w:r>
          </w:p>
        </w:tc>
        <w:tc>
          <w:tcPr>
            <w:tcW w:w="1300" w:type="dxa"/>
            <w:tcBorders>
              <w:top w:val="nil"/>
              <w:left w:val="nil"/>
              <w:bottom w:val="nil"/>
              <w:right w:val="nil"/>
            </w:tcBorders>
            <w:shd w:val="clear" w:color="000000" w:fill="F2F2F2"/>
            <w:noWrap/>
            <w:vAlign w:val="center"/>
            <w:hideMark/>
          </w:tcPr>
          <w:p w14:paraId="396BCAE0" w14:textId="77777777" w:rsidR="00031521" w:rsidRPr="00031521" w:rsidRDefault="00031521" w:rsidP="00B64A14">
            <w:pPr>
              <w:keepNext/>
              <w:spacing w:before="0" w:after="0" w:line="240" w:lineRule="auto"/>
              <w:jc w:val="right"/>
              <w:rPr>
                <w:rFonts w:ascii="Arial" w:hAnsi="Arial" w:cs="Arial"/>
                <w:color w:val="000000"/>
                <w:szCs w:val="20"/>
              </w:rPr>
            </w:pPr>
            <w:r w:rsidRPr="00031521">
              <w:rPr>
                <w:rFonts w:ascii="Arial" w:hAnsi="Arial" w:cs="Arial"/>
                <w:color w:val="000000"/>
                <w:szCs w:val="20"/>
              </w:rPr>
              <w:t>6.9 (1.5)</w:t>
            </w:r>
          </w:p>
        </w:tc>
        <w:tc>
          <w:tcPr>
            <w:tcW w:w="1191" w:type="dxa"/>
            <w:tcBorders>
              <w:top w:val="nil"/>
              <w:left w:val="nil"/>
              <w:bottom w:val="nil"/>
              <w:right w:val="nil"/>
            </w:tcBorders>
            <w:shd w:val="clear" w:color="000000" w:fill="F2F2F2"/>
            <w:noWrap/>
            <w:vAlign w:val="center"/>
            <w:hideMark/>
          </w:tcPr>
          <w:p w14:paraId="7752D2E8" w14:textId="77777777" w:rsidR="00031521" w:rsidRPr="00031521" w:rsidRDefault="00031521" w:rsidP="00B64A14">
            <w:pPr>
              <w:keepNext/>
              <w:spacing w:before="0" w:after="0" w:line="240" w:lineRule="auto"/>
              <w:ind w:right="-7"/>
              <w:jc w:val="right"/>
              <w:rPr>
                <w:rFonts w:ascii="Arial" w:hAnsi="Arial" w:cs="Arial"/>
                <w:color w:val="000000"/>
                <w:szCs w:val="20"/>
              </w:rPr>
            </w:pPr>
            <w:r w:rsidRPr="00031521">
              <w:rPr>
                <w:rFonts w:ascii="Arial" w:hAnsi="Arial" w:cs="Arial"/>
                <w:color w:val="000000"/>
                <w:szCs w:val="20"/>
              </w:rPr>
              <w:t>6.7 (1.6)</w:t>
            </w:r>
          </w:p>
        </w:tc>
      </w:tr>
      <w:tr w:rsidR="00031521" w:rsidRPr="00031521" w14:paraId="22A37D18" w14:textId="77777777" w:rsidTr="00031521">
        <w:trPr>
          <w:trHeight w:val="289"/>
        </w:trPr>
        <w:tc>
          <w:tcPr>
            <w:tcW w:w="4479" w:type="dxa"/>
            <w:tcBorders>
              <w:top w:val="nil"/>
              <w:left w:val="nil"/>
              <w:bottom w:val="nil"/>
              <w:right w:val="nil"/>
            </w:tcBorders>
            <w:shd w:val="clear" w:color="000000" w:fill="F2F2F2"/>
            <w:vAlign w:val="center"/>
            <w:hideMark/>
          </w:tcPr>
          <w:p w14:paraId="1349B7E7" w14:textId="77777777" w:rsidR="00031521" w:rsidRPr="00031521" w:rsidRDefault="00031521" w:rsidP="00B64A14">
            <w:pPr>
              <w:keepNext/>
              <w:spacing w:before="0" w:after="0" w:line="240" w:lineRule="auto"/>
              <w:rPr>
                <w:rFonts w:ascii="Arial" w:hAnsi="Arial" w:cs="Arial"/>
                <w:color w:val="000000"/>
                <w:szCs w:val="20"/>
              </w:rPr>
            </w:pPr>
            <w:r w:rsidRPr="00031521">
              <w:rPr>
                <w:rFonts w:ascii="Arial" w:hAnsi="Arial" w:cs="Arial"/>
                <w:color w:val="000000"/>
                <w:szCs w:val="20"/>
              </w:rPr>
              <w:t>Satisfaction with economics studies (0-10 scale)</w:t>
            </w:r>
          </w:p>
        </w:tc>
        <w:tc>
          <w:tcPr>
            <w:tcW w:w="1300" w:type="dxa"/>
            <w:tcBorders>
              <w:top w:val="nil"/>
              <w:left w:val="nil"/>
              <w:bottom w:val="nil"/>
              <w:right w:val="nil"/>
            </w:tcBorders>
            <w:shd w:val="clear" w:color="000000" w:fill="F2F2F2"/>
            <w:noWrap/>
            <w:vAlign w:val="center"/>
            <w:hideMark/>
          </w:tcPr>
          <w:p w14:paraId="0E20C4D4" w14:textId="77777777" w:rsidR="00031521" w:rsidRPr="00031521" w:rsidRDefault="00031521" w:rsidP="00B64A14">
            <w:pPr>
              <w:keepNext/>
              <w:spacing w:before="0" w:after="0" w:line="240" w:lineRule="auto"/>
              <w:jc w:val="right"/>
              <w:rPr>
                <w:rFonts w:ascii="Arial" w:hAnsi="Arial" w:cs="Arial"/>
                <w:color w:val="000000"/>
                <w:szCs w:val="20"/>
              </w:rPr>
            </w:pPr>
            <w:r w:rsidRPr="00031521">
              <w:rPr>
                <w:rFonts w:ascii="Arial" w:hAnsi="Arial" w:cs="Arial"/>
                <w:color w:val="000000"/>
                <w:szCs w:val="20"/>
              </w:rPr>
              <w:t>7.5 (1.3)</w:t>
            </w:r>
          </w:p>
        </w:tc>
        <w:tc>
          <w:tcPr>
            <w:tcW w:w="1300" w:type="dxa"/>
            <w:tcBorders>
              <w:top w:val="nil"/>
              <w:left w:val="nil"/>
              <w:bottom w:val="nil"/>
              <w:right w:val="nil"/>
            </w:tcBorders>
            <w:shd w:val="clear" w:color="000000" w:fill="F2F2F2"/>
            <w:noWrap/>
            <w:vAlign w:val="center"/>
            <w:hideMark/>
          </w:tcPr>
          <w:p w14:paraId="1A2BBD6E" w14:textId="77777777" w:rsidR="00031521" w:rsidRPr="00031521" w:rsidRDefault="00031521" w:rsidP="00B64A14">
            <w:pPr>
              <w:keepNext/>
              <w:spacing w:before="0" w:after="0" w:line="240" w:lineRule="auto"/>
              <w:jc w:val="right"/>
              <w:rPr>
                <w:rFonts w:ascii="Arial" w:hAnsi="Arial" w:cs="Arial"/>
                <w:color w:val="000000"/>
                <w:szCs w:val="20"/>
              </w:rPr>
            </w:pPr>
            <w:r w:rsidRPr="00031521">
              <w:rPr>
                <w:rFonts w:ascii="Arial" w:hAnsi="Arial" w:cs="Arial"/>
                <w:color w:val="000000"/>
                <w:szCs w:val="20"/>
              </w:rPr>
              <w:t>7.7 (1.3)</w:t>
            </w:r>
          </w:p>
        </w:tc>
        <w:tc>
          <w:tcPr>
            <w:tcW w:w="1191" w:type="dxa"/>
            <w:tcBorders>
              <w:top w:val="nil"/>
              <w:left w:val="nil"/>
              <w:bottom w:val="nil"/>
              <w:right w:val="nil"/>
            </w:tcBorders>
            <w:shd w:val="clear" w:color="000000" w:fill="F2F2F2"/>
            <w:noWrap/>
            <w:vAlign w:val="center"/>
            <w:hideMark/>
          </w:tcPr>
          <w:p w14:paraId="1B0ED238" w14:textId="77777777" w:rsidR="00031521" w:rsidRPr="00031521" w:rsidRDefault="00031521" w:rsidP="00B64A14">
            <w:pPr>
              <w:keepNext/>
              <w:spacing w:before="0" w:after="0" w:line="240" w:lineRule="auto"/>
              <w:ind w:right="-7"/>
              <w:jc w:val="right"/>
              <w:rPr>
                <w:rFonts w:ascii="Arial" w:hAnsi="Arial" w:cs="Arial"/>
                <w:color w:val="000000"/>
                <w:szCs w:val="20"/>
              </w:rPr>
            </w:pPr>
            <w:r w:rsidRPr="00031521">
              <w:rPr>
                <w:rFonts w:ascii="Arial" w:hAnsi="Arial" w:cs="Arial"/>
                <w:color w:val="000000"/>
                <w:szCs w:val="20"/>
              </w:rPr>
              <w:t>7.6 (1.3)</w:t>
            </w:r>
          </w:p>
        </w:tc>
      </w:tr>
      <w:tr w:rsidR="00031521" w:rsidRPr="00031521" w14:paraId="18DD4842" w14:textId="77777777" w:rsidTr="001B35FF">
        <w:trPr>
          <w:trHeight w:val="578"/>
        </w:trPr>
        <w:tc>
          <w:tcPr>
            <w:tcW w:w="4479" w:type="dxa"/>
            <w:tcBorders>
              <w:top w:val="nil"/>
              <w:left w:val="nil"/>
              <w:bottom w:val="nil"/>
              <w:right w:val="nil"/>
            </w:tcBorders>
            <w:shd w:val="clear" w:color="000000" w:fill="F2F2F2"/>
            <w:vAlign w:val="center"/>
            <w:hideMark/>
          </w:tcPr>
          <w:p w14:paraId="7502D7E2" w14:textId="77777777" w:rsidR="00031521" w:rsidRPr="00031521" w:rsidRDefault="00031521" w:rsidP="00031521">
            <w:pPr>
              <w:spacing w:before="0" w:after="0" w:line="240" w:lineRule="auto"/>
              <w:rPr>
                <w:rFonts w:ascii="Arial" w:hAnsi="Arial" w:cs="Arial"/>
                <w:color w:val="000000"/>
                <w:szCs w:val="20"/>
              </w:rPr>
            </w:pPr>
            <w:r w:rsidRPr="00031521">
              <w:rPr>
                <w:rFonts w:ascii="Arial" w:hAnsi="Arial" w:cs="Arial"/>
                <w:color w:val="000000"/>
                <w:szCs w:val="20"/>
              </w:rPr>
              <w:t>Time spent on economics studies, outside of class time (hours/week)</w:t>
            </w:r>
          </w:p>
        </w:tc>
        <w:tc>
          <w:tcPr>
            <w:tcW w:w="1300" w:type="dxa"/>
            <w:tcBorders>
              <w:top w:val="nil"/>
              <w:left w:val="nil"/>
              <w:bottom w:val="nil"/>
              <w:right w:val="nil"/>
            </w:tcBorders>
            <w:shd w:val="clear" w:color="000000" w:fill="F2F2F2"/>
            <w:noWrap/>
            <w:vAlign w:val="center"/>
            <w:hideMark/>
          </w:tcPr>
          <w:p w14:paraId="0920F4F6" w14:textId="77777777" w:rsidR="00031521" w:rsidRPr="00031521" w:rsidRDefault="00031521" w:rsidP="00031521">
            <w:pPr>
              <w:spacing w:before="0" w:after="0" w:line="240" w:lineRule="auto"/>
              <w:jc w:val="right"/>
              <w:rPr>
                <w:rFonts w:ascii="Arial" w:hAnsi="Arial" w:cs="Arial"/>
                <w:color w:val="000000"/>
                <w:szCs w:val="20"/>
              </w:rPr>
            </w:pPr>
            <w:r w:rsidRPr="00031521">
              <w:rPr>
                <w:rFonts w:ascii="Arial" w:hAnsi="Arial" w:cs="Arial"/>
                <w:color w:val="000000"/>
                <w:szCs w:val="20"/>
              </w:rPr>
              <w:t>12.7 (15.5)</w:t>
            </w:r>
          </w:p>
        </w:tc>
        <w:tc>
          <w:tcPr>
            <w:tcW w:w="1300" w:type="dxa"/>
            <w:tcBorders>
              <w:top w:val="nil"/>
              <w:left w:val="nil"/>
              <w:bottom w:val="nil"/>
              <w:right w:val="nil"/>
            </w:tcBorders>
            <w:shd w:val="clear" w:color="000000" w:fill="F2F2F2"/>
            <w:noWrap/>
            <w:vAlign w:val="center"/>
            <w:hideMark/>
          </w:tcPr>
          <w:p w14:paraId="50623E95" w14:textId="77777777" w:rsidR="00031521" w:rsidRPr="00031521" w:rsidRDefault="00031521" w:rsidP="00031521">
            <w:pPr>
              <w:spacing w:before="0" w:after="0" w:line="240" w:lineRule="auto"/>
              <w:jc w:val="right"/>
              <w:rPr>
                <w:rFonts w:ascii="Arial" w:hAnsi="Arial" w:cs="Arial"/>
                <w:color w:val="000000"/>
                <w:szCs w:val="20"/>
              </w:rPr>
            </w:pPr>
            <w:r w:rsidRPr="00031521">
              <w:rPr>
                <w:rFonts w:ascii="Arial" w:hAnsi="Arial" w:cs="Arial"/>
                <w:color w:val="000000"/>
                <w:szCs w:val="20"/>
              </w:rPr>
              <w:t>11.0 (9.2)</w:t>
            </w:r>
          </w:p>
        </w:tc>
        <w:tc>
          <w:tcPr>
            <w:tcW w:w="1191" w:type="dxa"/>
            <w:tcBorders>
              <w:top w:val="nil"/>
              <w:left w:val="nil"/>
              <w:bottom w:val="nil"/>
              <w:right w:val="nil"/>
            </w:tcBorders>
            <w:shd w:val="clear" w:color="000000" w:fill="F2F2F2"/>
            <w:noWrap/>
            <w:vAlign w:val="center"/>
            <w:hideMark/>
          </w:tcPr>
          <w:p w14:paraId="6407C354" w14:textId="77777777" w:rsidR="00031521" w:rsidRPr="00031521" w:rsidRDefault="00031521" w:rsidP="00031521">
            <w:pPr>
              <w:spacing w:before="0" w:after="0" w:line="240" w:lineRule="auto"/>
              <w:ind w:right="-7"/>
              <w:jc w:val="right"/>
              <w:rPr>
                <w:rFonts w:ascii="Arial" w:hAnsi="Arial" w:cs="Arial"/>
                <w:color w:val="000000"/>
                <w:szCs w:val="20"/>
              </w:rPr>
            </w:pPr>
            <w:r w:rsidRPr="00031521">
              <w:rPr>
                <w:rFonts w:ascii="Arial" w:hAnsi="Arial" w:cs="Arial"/>
                <w:color w:val="000000"/>
                <w:szCs w:val="20"/>
              </w:rPr>
              <w:t>11.6 (12.0)</w:t>
            </w:r>
          </w:p>
        </w:tc>
      </w:tr>
    </w:tbl>
    <w:p w14:paraId="0182D4DE" w14:textId="71D41A2C" w:rsidR="00031521" w:rsidRDefault="00BF743C" w:rsidP="00BF743C">
      <w:pPr>
        <w:pStyle w:val="FigureHeading"/>
        <w:numPr>
          <w:ilvl w:val="0"/>
          <w:numId w:val="0"/>
        </w:numPr>
        <w:ind w:left="1430" w:hanging="720"/>
      </w:pPr>
      <w:r>
        <w:t xml:space="preserve">Figure 24: </w:t>
      </w:r>
      <w:r w:rsidR="00031521">
        <w:t>Baseline characteristics (strata variables)</w:t>
      </w:r>
    </w:p>
    <w:tbl>
      <w:tblPr>
        <w:tblW w:w="7655" w:type="dxa"/>
        <w:tblLook w:val="04A0" w:firstRow="1" w:lastRow="0" w:firstColumn="1" w:lastColumn="0" w:noHBand="0" w:noVBand="1"/>
        <w:tblCaption w:val="Figure 24: Baseline characteristics (strata variables)"/>
      </w:tblPr>
      <w:tblGrid>
        <w:gridCol w:w="1644"/>
        <w:gridCol w:w="964"/>
        <w:gridCol w:w="1191"/>
        <w:gridCol w:w="737"/>
        <w:gridCol w:w="964"/>
        <w:gridCol w:w="1191"/>
        <w:gridCol w:w="964"/>
      </w:tblGrid>
      <w:tr w:rsidR="00031521" w:rsidRPr="00B57CD1" w14:paraId="6B137655" w14:textId="77777777" w:rsidTr="00731CEB">
        <w:trPr>
          <w:trHeight w:val="288"/>
          <w:tblHeader/>
        </w:trPr>
        <w:tc>
          <w:tcPr>
            <w:tcW w:w="1644" w:type="dxa"/>
            <w:tcBorders>
              <w:top w:val="nil"/>
              <w:left w:val="nil"/>
              <w:bottom w:val="nil"/>
              <w:right w:val="nil"/>
            </w:tcBorders>
            <w:shd w:val="clear" w:color="000000" w:fill="142E3A"/>
            <w:noWrap/>
            <w:vAlign w:val="center"/>
            <w:hideMark/>
          </w:tcPr>
          <w:p w14:paraId="5C80D5AD" w14:textId="77777777" w:rsidR="00B57CD1" w:rsidRPr="00B57CD1" w:rsidRDefault="00B57CD1" w:rsidP="00B57CD1">
            <w:pPr>
              <w:keepNext/>
              <w:spacing w:before="0" w:after="0" w:line="240" w:lineRule="auto"/>
              <w:rPr>
                <w:rFonts w:ascii="Arial" w:hAnsi="Arial" w:cs="Arial"/>
                <w:b/>
                <w:bCs/>
                <w:color w:val="FFFFFF"/>
                <w:szCs w:val="20"/>
              </w:rPr>
            </w:pPr>
            <w:r w:rsidRPr="00B57CD1">
              <w:rPr>
                <w:rFonts w:ascii="Arial" w:hAnsi="Arial" w:cs="Arial"/>
                <w:b/>
                <w:bCs/>
                <w:color w:val="FFFFFF"/>
                <w:szCs w:val="20"/>
              </w:rPr>
              <w:t> </w:t>
            </w:r>
          </w:p>
        </w:tc>
        <w:tc>
          <w:tcPr>
            <w:tcW w:w="964" w:type="dxa"/>
            <w:tcBorders>
              <w:top w:val="nil"/>
              <w:left w:val="nil"/>
              <w:bottom w:val="nil"/>
              <w:right w:val="nil"/>
            </w:tcBorders>
            <w:shd w:val="clear" w:color="000000" w:fill="142E3A"/>
            <w:noWrap/>
            <w:vAlign w:val="center"/>
            <w:hideMark/>
          </w:tcPr>
          <w:p w14:paraId="55922E6E" w14:textId="77777777" w:rsidR="00B57CD1" w:rsidRPr="00B57CD1" w:rsidRDefault="00B57CD1" w:rsidP="00B57CD1">
            <w:pPr>
              <w:keepNext/>
              <w:spacing w:before="0" w:after="0" w:line="240" w:lineRule="auto"/>
              <w:jc w:val="center"/>
              <w:rPr>
                <w:rFonts w:ascii="Arial" w:hAnsi="Arial" w:cs="Arial"/>
                <w:b/>
                <w:bCs/>
                <w:color w:val="FFFFFF"/>
                <w:szCs w:val="20"/>
              </w:rPr>
            </w:pPr>
            <w:r w:rsidRPr="00B57CD1">
              <w:rPr>
                <w:rFonts w:ascii="Arial" w:hAnsi="Arial" w:cs="Arial"/>
                <w:b/>
                <w:bCs/>
                <w:color w:val="FFFFFF"/>
                <w:szCs w:val="20"/>
              </w:rPr>
              <w:t>Control</w:t>
            </w:r>
          </w:p>
        </w:tc>
        <w:tc>
          <w:tcPr>
            <w:tcW w:w="1191" w:type="dxa"/>
            <w:tcBorders>
              <w:top w:val="nil"/>
              <w:left w:val="nil"/>
              <w:bottom w:val="nil"/>
              <w:right w:val="nil"/>
            </w:tcBorders>
            <w:shd w:val="clear" w:color="000000" w:fill="142E3A"/>
            <w:noWrap/>
            <w:vAlign w:val="center"/>
            <w:hideMark/>
          </w:tcPr>
          <w:p w14:paraId="640C10F8" w14:textId="77777777" w:rsidR="00B57CD1" w:rsidRPr="00B57CD1" w:rsidRDefault="00B57CD1" w:rsidP="00B57CD1">
            <w:pPr>
              <w:keepNext/>
              <w:spacing w:before="0" w:after="0" w:line="240" w:lineRule="auto"/>
              <w:jc w:val="center"/>
              <w:rPr>
                <w:rFonts w:ascii="Arial" w:hAnsi="Arial" w:cs="Arial"/>
                <w:b/>
                <w:bCs/>
                <w:color w:val="FFFFFF"/>
                <w:szCs w:val="20"/>
              </w:rPr>
            </w:pPr>
            <w:r w:rsidRPr="00B57CD1">
              <w:rPr>
                <w:rFonts w:ascii="Arial" w:hAnsi="Arial" w:cs="Arial"/>
                <w:b/>
                <w:bCs/>
                <w:color w:val="FFFFFF"/>
                <w:szCs w:val="20"/>
              </w:rPr>
              <w:t>Treatment</w:t>
            </w:r>
          </w:p>
        </w:tc>
        <w:tc>
          <w:tcPr>
            <w:tcW w:w="737" w:type="dxa"/>
            <w:tcBorders>
              <w:top w:val="nil"/>
              <w:left w:val="nil"/>
              <w:bottom w:val="nil"/>
              <w:right w:val="nil"/>
            </w:tcBorders>
            <w:shd w:val="clear" w:color="000000" w:fill="142E3A"/>
            <w:noWrap/>
            <w:vAlign w:val="center"/>
            <w:hideMark/>
          </w:tcPr>
          <w:p w14:paraId="3DF3E039" w14:textId="77777777" w:rsidR="00B57CD1" w:rsidRPr="00B57CD1" w:rsidRDefault="00B57CD1" w:rsidP="00B57CD1">
            <w:pPr>
              <w:keepNext/>
              <w:spacing w:before="0" w:after="0" w:line="240" w:lineRule="auto"/>
              <w:jc w:val="center"/>
              <w:rPr>
                <w:rFonts w:ascii="Arial" w:hAnsi="Arial" w:cs="Arial"/>
                <w:b/>
                <w:bCs/>
                <w:color w:val="FFFFFF"/>
                <w:szCs w:val="20"/>
              </w:rPr>
            </w:pPr>
            <w:r w:rsidRPr="00B57CD1">
              <w:rPr>
                <w:rFonts w:ascii="Arial" w:hAnsi="Arial" w:cs="Arial"/>
                <w:b/>
                <w:bCs/>
                <w:color w:val="FFFFFF"/>
                <w:szCs w:val="20"/>
              </w:rPr>
              <w:t>All</w:t>
            </w:r>
          </w:p>
        </w:tc>
        <w:tc>
          <w:tcPr>
            <w:tcW w:w="964" w:type="dxa"/>
            <w:tcBorders>
              <w:top w:val="nil"/>
              <w:left w:val="nil"/>
              <w:bottom w:val="nil"/>
              <w:right w:val="nil"/>
            </w:tcBorders>
            <w:shd w:val="clear" w:color="000000" w:fill="142E3A"/>
            <w:noWrap/>
            <w:vAlign w:val="center"/>
            <w:hideMark/>
          </w:tcPr>
          <w:p w14:paraId="4FEDB449" w14:textId="77777777" w:rsidR="00B57CD1" w:rsidRPr="00B57CD1" w:rsidRDefault="00B57CD1" w:rsidP="00B57CD1">
            <w:pPr>
              <w:keepNext/>
              <w:spacing w:before="0" w:after="0" w:line="240" w:lineRule="auto"/>
              <w:jc w:val="center"/>
              <w:rPr>
                <w:rFonts w:ascii="Arial" w:hAnsi="Arial" w:cs="Arial"/>
                <w:b/>
                <w:bCs/>
                <w:color w:val="FFFFFF"/>
                <w:szCs w:val="20"/>
              </w:rPr>
            </w:pPr>
            <w:r w:rsidRPr="00B57CD1">
              <w:rPr>
                <w:rFonts w:ascii="Arial" w:hAnsi="Arial" w:cs="Arial"/>
                <w:b/>
                <w:bCs/>
                <w:color w:val="FFFFFF"/>
                <w:szCs w:val="20"/>
              </w:rPr>
              <w:t>Control</w:t>
            </w:r>
          </w:p>
        </w:tc>
        <w:tc>
          <w:tcPr>
            <w:tcW w:w="1191" w:type="dxa"/>
            <w:tcBorders>
              <w:top w:val="nil"/>
              <w:left w:val="nil"/>
              <w:bottom w:val="nil"/>
              <w:right w:val="nil"/>
            </w:tcBorders>
            <w:shd w:val="clear" w:color="000000" w:fill="142E3A"/>
            <w:noWrap/>
            <w:vAlign w:val="center"/>
            <w:hideMark/>
          </w:tcPr>
          <w:p w14:paraId="6D2A3C98" w14:textId="77777777" w:rsidR="00B57CD1" w:rsidRPr="00B57CD1" w:rsidRDefault="00B57CD1" w:rsidP="00B57CD1">
            <w:pPr>
              <w:keepNext/>
              <w:spacing w:before="0" w:after="0" w:line="240" w:lineRule="auto"/>
              <w:jc w:val="center"/>
              <w:rPr>
                <w:rFonts w:ascii="Arial" w:hAnsi="Arial" w:cs="Arial"/>
                <w:b/>
                <w:bCs/>
                <w:color w:val="FFFFFF"/>
                <w:szCs w:val="20"/>
              </w:rPr>
            </w:pPr>
            <w:r w:rsidRPr="00B57CD1">
              <w:rPr>
                <w:rFonts w:ascii="Arial" w:hAnsi="Arial" w:cs="Arial"/>
                <w:b/>
                <w:bCs/>
                <w:color w:val="FFFFFF"/>
                <w:szCs w:val="20"/>
              </w:rPr>
              <w:t>Treatment</w:t>
            </w:r>
          </w:p>
        </w:tc>
        <w:tc>
          <w:tcPr>
            <w:tcW w:w="964" w:type="dxa"/>
            <w:tcBorders>
              <w:top w:val="nil"/>
              <w:left w:val="nil"/>
              <w:bottom w:val="nil"/>
              <w:right w:val="nil"/>
            </w:tcBorders>
            <w:shd w:val="clear" w:color="000000" w:fill="142E3A"/>
            <w:noWrap/>
            <w:vAlign w:val="center"/>
            <w:hideMark/>
          </w:tcPr>
          <w:p w14:paraId="08637887" w14:textId="77777777" w:rsidR="00B57CD1" w:rsidRPr="00B57CD1" w:rsidRDefault="00B57CD1" w:rsidP="00B57CD1">
            <w:pPr>
              <w:keepNext/>
              <w:spacing w:before="0" w:after="0" w:line="240" w:lineRule="auto"/>
              <w:jc w:val="center"/>
              <w:rPr>
                <w:rFonts w:ascii="Arial" w:hAnsi="Arial" w:cs="Arial"/>
                <w:b/>
                <w:bCs/>
                <w:color w:val="FFFFFF"/>
                <w:szCs w:val="20"/>
              </w:rPr>
            </w:pPr>
            <w:r w:rsidRPr="00B57CD1">
              <w:rPr>
                <w:rFonts w:ascii="Arial" w:hAnsi="Arial" w:cs="Arial"/>
                <w:b/>
                <w:bCs/>
                <w:color w:val="FFFFFF"/>
                <w:szCs w:val="20"/>
              </w:rPr>
              <w:t>All</w:t>
            </w:r>
          </w:p>
        </w:tc>
      </w:tr>
      <w:tr w:rsidR="00031521" w:rsidRPr="00B57CD1" w14:paraId="444DEE39" w14:textId="77777777" w:rsidTr="00731CEB">
        <w:trPr>
          <w:trHeight w:val="288"/>
          <w:tblHeader/>
        </w:trPr>
        <w:tc>
          <w:tcPr>
            <w:tcW w:w="1644" w:type="dxa"/>
            <w:tcBorders>
              <w:top w:val="nil"/>
              <w:left w:val="nil"/>
              <w:bottom w:val="nil"/>
              <w:right w:val="nil"/>
            </w:tcBorders>
            <w:shd w:val="clear" w:color="000000" w:fill="142E3A"/>
            <w:noWrap/>
            <w:vAlign w:val="center"/>
            <w:hideMark/>
          </w:tcPr>
          <w:p w14:paraId="64AF89EC" w14:textId="77777777" w:rsidR="00B57CD1" w:rsidRPr="00B57CD1" w:rsidRDefault="00B57CD1" w:rsidP="00B57CD1">
            <w:pPr>
              <w:keepNext/>
              <w:spacing w:before="0" w:after="0" w:line="240" w:lineRule="auto"/>
              <w:rPr>
                <w:rFonts w:ascii="Arial" w:hAnsi="Arial" w:cs="Arial"/>
                <w:color w:val="FFFFFF"/>
                <w:szCs w:val="20"/>
              </w:rPr>
            </w:pPr>
            <w:r w:rsidRPr="00B57CD1">
              <w:rPr>
                <w:rFonts w:ascii="Arial" w:hAnsi="Arial" w:cs="Arial"/>
                <w:color w:val="FFFFFF"/>
                <w:szCs w:val="20"/>
              </w:rPr>
              <w:t> </w:t>
            </w:r>
          </w:p>
        </w:tc>
        <w:tc>
          <w:tcPr>
            <w:tcW w:w="964" w:type="dxa"/>
            <w:tcBorders>
              <w:top w:val="nil"/>
              <w:left w:val="nil"/>
              <w:bottom w:val="nil"/>
              <w:right w:val="nil"/>
            </w:tcBorders>
            <w:shd w:val="clear" w:color="000000" w:fill="142E3A"/>
            <w:noWrap/>
            <w:vAlign w:val="center"/>
            <w:hideMark/>
          </w:tcPr>
          <w:p w14:paraId="3D4B0411" w14:textId="77777777" w:rsidR="00B57CD1" w:rsidRPr="00B57CD1" w:rsidRDefault="00B57CD1" w:rsidP="00B57CD1">
            <w:pPr>
              <w:keepNext/>
              <w:spacing w:before="0" w:after="0" w:line="240" w:lineRule="auto"/>
              <w:jc w:val="center"/>
              <w:rPr>
                <w:rFonts w:ascii="Arial" w:hAnsi="Arial" w:cs="Arial"/>
                <w:color w:val="FFFFFF"/>
                <w:szCs w:val="20"/>
              </w:rPr>
            </w:pPr>
            <w:r w:rsidRPr="00B57CD1">
              <w:rPr>
                <w:rFonts w:ascii="Arial" w:hAnsi="Arial" w:cs="Arial"/>
                <w:color w:val="FFFFFF"/>
                <w:szCs w:val="20"/>
              </w:rPr>
              <w:t>n</w:t>
            </w:r>
          </w:p>
        </w:tc>
        <w:tc>
          <w:tcPr>
            <w:tcW w:w="1191" w:type="dxa"/>
            <w:tcBorders>
              <w:top w:val="nil"/>
              <w:left w:val="nil"/>
              <w:bottom w:val="nil"/>
              <w:right w:val="nil"/>
            </w:tcBorders>
            <w:shd w:val="clear" w:color="000000" w:fill="142E3A"/>
            <w:noWrap/>
            <w:vAlign w:val="center"/>
            <w:hideMark/>
          </w:tcPr>
          <w:p w14:paraId="01E7D825" w14:textId="77777777" w:rsidR="00B57CD1" w:rsidRPr="00B57CD1" w:rsidRDefault="00B57CD1" w:rsidP="00B57CD1">
            <w:pPr>
              <w:keepNext/>
              <w:spacing w:before="0" w:after="0" w:line="240" w:lineRule="auto"/>
              <w:jc w:val="center"/>
              <w:rPr>
                <w:rFonts w:ascii="Arial" w:hAnsi="Arial" w:cs="Arial"/>
                <w:color w:val="FFFFFF"/>
                <w:szCs w:val="20"/>
              </w:rPr>
            </w:pPr>
            <w:r w:rsidRPr="00B57CD1">
              <w:rPr>
                <w:rFonts w:ascii="Arial" w:hAnsi="Arial" w:cs="Arial"/>
                <w:color w:val="FFFFFF"/>
                <w:szCs w:val="20"/>
              </w:rPr>
              <w:t>n</w:t>
            </w:r>
          </w:p>
        </w:tc>
        <w:tc>
          <w:tcPr>
            <w:tcW w:w="737" w:type="dxa"/>
            <w:tcBorders>
              <w:top w:val="nil"/>
              <w:left w:val="nil"/>
              <w:bottom w:val="nil"/>
              <w:right w:val="nil"/>
            </w:tcBorders>
            <w:shd w:val="clear" w:color="000000" w:fill="142E3A"/>
            <w:noWrap/>
            <w:vAlign w:val="center"/>
            <w:hideMark/>
          </w:tcPr>
          <w:p w14:paraId="365BC05C" w14:textId="77777777" w:rsidR="00B57CD1" w:rsidRPr="00B57CD1" w:rsidRDefault="00B57CD1" w:rsidP="00B57CD1">
            <w:pPr>
              <w:keepNext/>
              <w:spacing w:before="0" w:after="0" w:line="240" w:lineRule="auto"/>
              <w:jc w:val="center"/>
              <w:rPr>
                <w:rFonts w:ascii="Arial" w:hAnsi="Arial" w:cs="Arial"/>
                <w:color w:val="FFFFFF"/>
                <w:szCs w:val="20"/>
              </w:rPr>
            </w:pPr>
            <w:r w:rsidRPr="00B57CD1">
              <w:rPr>
                <w:rFonts w:ascii="Arial" w:hAnsi="Arial" w:cs="Arial"/>
                <w:color w:val="FFFFFF"/>
                <w:szCs w:val="20"/>
              </w:rPr>
              <w:t>n</w:t>
            </w:r>
          </w:p>
        </w:tc>
        <w:tc>
          <w:tcPr>
            <w:tcW w:w="964" w:type="dxa"/>
            <w:tcBorders>
              <w:top w:val="nil"/>
              <w:left w:val="nil"/>
              <w:bottom w:val="nil"/>
              <w:right w:val="nil"/>
            </w:tcBorders>
            <w:shd w:val="clear" w:color="000000" w:fill="142E3A"/>
            <w:noWrap/>
            <w:vAlign w:val="center"/>
            <w:hideMark/>
          </w:tcPr>
          <w:p w14:paraId="78EF56BF" w14:textId="77777777" w:rsidR="00B57CD1" w:rsidRPr="00B57CD1" w:rsidRDefault="00B57CD1" w:rsidP="00B57CD1">
            <w:pPr>
              <w:keepNext/>
              <w:spacing w:before="0" w:after="0" w:line="240" w:lineRule="auto"/>
              <w:jc w:val="center"/>
              <w:rPr>
                <w:rFonts w:ascii="Arial" w:hAnsi="Arial" w:cs="Arial"/>
                <w:color w:val="FFFFFF"/>
                <w:szCs w:val="20"/>
              </w:rPr>
            </w:pPr>
            <w:r w:rsidRPr="00B57CD1">
              <w:rPr>
                <w:rFonts w:ascii="Arial" w:hAnsi="Arial" w:cs="Arial"/>
                <w:color w:val="FFFFFF"/>
                <w:szCs w:val="20"/>
              </w:rPr>
              <w:t>%</w:t>
            </w:r>
          </w:p>
        </w:tc>
        <w:tc>
          <w:tcPr>
            <w:tcW w:w="1191" w:type="dxa"/>
            <w:tcBorders>
              <w:top w:val="nil"/>
              <w:left w:val="nil"/>
              <w:bottom w:val="nil"/>
              <w:right w:val="nil"/>
            </w:tcBorders>
            <w:shd w:val="clear" w:color="000000" w:fill="142E3A"/>
            <w:noWrap/>
            <w:vAlign w:val="center"/>
            <w:hideMark/>
          </w:tcPr>
          <w:p w14:paraId="10DFDF9E" w14:textId="77777777" w:rsidR="00B57CD1" w:rsidRPr="00B57CD1" w:rsidRDefault="00B57CD1" w:rsidP="00B57CD1">
            <w:pPr>
              <w:keepNext/>
              <w:spacing w:before="0" w:after="0" w:line="240" w:lineRule="auto"/>
              <w:jc w:val="center"/>
              <w:rPr>
                <w:rFonts w:ascii="Arial" w:hAnsi="Arial" w:cs="Arial"/>
                <w:color w:val="FFFFFF"/>
                <w:szCs w:val="20"/>
              </w:rPr>
            </w:pPr>
            <w:r w:rsidRPr="00B57CD1">
              <w:rPr>
                <w:rFonts w:ascii="Arial" w:hAnsi="Arial" w:cs="Arial"/>
                <w:color w:val="FFFFFF"/>
                <w:szCs w:val="20"/>
              </w:rPr>
              <w:t>%</w:t>
            </w:r>
          </w:p>
        </w:tc>
        <w:tc>
          <w:tcPr>
            <w:tcW w:w="964" w:type="dxa"/>
            <w:tcBorders>
              <w:top w:val="nil"/>
              <w:left w:val="nil"/>
              <w:bottom w:val="nil"/>
              <w:right w:val="nil"/>
            </w:tcBorders>
            <w:shd w:val="clear" w:color="000000" w:fill="142E3A"/>
            <w:noWrap/>
            <w:vAlign w:val="center"/>
            <w:hideMark/>
          </w:tcPr>
          <w:p w14:paraId="7792582F" w14:textId="77777777" w:rsidR="00B57CD1" w:rsidRPr="00B57CD1" w:rsidRDefault="00B57CD1" w:rsidP="00B57CD1">
            <w:pPr>
              <w:keepNext/>
              <w:spacing w:before="0" w:after="0" w:line="240" w:lineRule="auto"/>
              <w:jc w:val="center"/>
              <w:rPr>
                <w:rFonts w:ascii="Arial" w:hAnsi="Arial" w:cs="Arial"/>
                <w:color w:val="FFFFFF"/>
                <w:szCs w:val="20"/>
              </w:rPr>
            </w:pPr>
            <w:r w:rsidRPr="00B57CD1">
              <w:rPr>
                <w:rFonts w:ascii="Arial" w:hAnsi="Arial" w:cs="Arial"/>
                <w:color w:val="FFFFFF"/>
                <w:szCs w:val="20"/>
              </w:rPr>
              <w:t>%</w:t>
            </w:r>
          </w:p>
        </w:tc>
      </w:tr>
      <w:tr w:rsidR="00031521" w:rsidRPr="00B57CD1" w14:paraId="5B815E9F" w14:textId="77777777" w:rsidTr="00031521">
        <w:trPr>
          <w:trHeight w:val="288"/>
        </w:trPr>
        <w:tc>
          <w:tcPr>
            <w:tcW w:w="1644" w:type="dxa"/>
            <w:tcBorders>
              <w:top w:val="nil"/>
              <w:left w:val="nil"/>
              <w:bottom w:val="nil"/>
              <w:right w:val="nil"/>
            </w:tcBorders>
            <w:shd w:val="clear" w:color="000000" w:fill="F2F2F2"/>
            <w:noWrap/>
            <w:vAlign w:val="center"/>
            <w:hideMark/>
          </w:tcPr>
          <w:p w14:paraId="7CB8D0F4"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 </w:t>
            </w:r>
          </w:p>
        </w:tc>
        <w:tc>
          <w:tcPr>
            <w:tcW w:w="964" w:type="dxa"/>
            <w:tcBorders>
              <w:top w:val="nil"/>
              <w:left w:val="nil"/>
              <w:bottom w:val="nil"/>
              <w:right w:val="nil"/>
            </w:tcBorders>
            <w:shd w:val="clear" w:color="000000" w:fill="F2F2F2"/>
            <w:noWrap/>
            <w:vAlign w:val="center"/>
            <w:hideMark/>
          </w:tcPr>
          <w:p w14:paraId="59350F15"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33</w:t>
            </w:r>
          </w:p>
        </w:tc>
        <w:tc>
          <w:tcPr>
            <w:tcW w:w="1191" w:type="dxa"/>
            <w:tcBorders>
              <w:top w:val="nil"/>
              <w:left w:val="nil"/>
              <w:bottom w:val="nil"/>
              <w:right w:val="nil"/>
            </w:tcBorders>
            <w:shd w:val="clear" w:color="000000" w:fill="F2F2F2"/>
            <w:noWrap/>
            <w:vAlign w:val="center"/>
            <w:hideMark/>
          </w:tcPr>
          <w:p w14:paraId="63908EF0"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55</w:t>
            </w:r>
          </w:p>
        </w:tc>
        <w:tc>
          <w:tcPr>
            <w:tcW w:w="737" w:type="dxa"/>
            <w:tcBorders>
              <w:top w:val="nil"/>
              <w:left w:val="nil"/>
              <w:bottom w:val="nil"/>
              <w:right w:val="nil"/>
            </w:tcBorders>
            <w:shd w:val="clear" w:color="000000" w:fill="F2F2F2"/>
            <w:noWrap/>
            <w:vAlign w:val="center"/>
            <w:hideMark/>
          </w:tcPr>
          <w:p w14:paraId="3BC8861F"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88</w:t>
            </w:r>
          </w:p>
        </w:tc>
        <w:tc>
          <w:tcPr>
            <w:tcW w:w="964" w:type="dxa"/>
            <w:tcBorders>
              <w:top w:val="nil"/>
              <w:left w:val="nil"/>
              <w:bottom w:val="nil"/>
              <w:right w:val="nil"/>
            </w:tcBorders>
            <w:shd w:val="clear" w:color="000000" w:fill="F2F2F2"/>
            <w:noWrap/>
            <w:vAlign w:val="center"/>
            <w:hideMark/>
          </w:tcPr>
          <w:p w14:paraId="16CE338C"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100.0</w:t>
            </w:r>
          </w:p>
        </w:tc>
        <w:tc>
          <w:tcPr>
            <w:tcW w:w="1191" w:type="dxa"/>
            <w:tcBorders>
              <w:top w:val="nil"/>
              <w:left w:val="nil"/>
              <w:bottom w:val="nil"/>
              <w:right w:val="nil"/>
            </w:tcBorders>
            <w:shd w:val="clear" w:color="000000" w:fill="F2F2F2"/>
            <w:noWrap/>
            <w:vAlign w:val="center"/>
            <w:hideMark/>
          </w:tcPr>
          <w:p w14:paraId="7F9C44FE"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100.0</w:t>
            </w:r>
          </w:p>
        </w:tc>
        <w:tc>
          <w:tcPr>
            <w:tcW w:w="964" w:type="dxa"/>
            <w:tcBorders>
              <w:top w:val="nil"/>
              <w:left w:val="nil"/>
              <w:bottom w:val="nil"/>
              <w:right w:val="nil"/>
            </w:tcBorders>
            <w:shd w:val="clear" w:color="000000" w:fill="F2F2F2"/>
            <w:noWrap/>
            <w:vAlign w:val="center"/>
            <w:hideMark/>
          </w:tcPr>
          <w:p w14:paraId="290FBAE3"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100.0</w:t>
            </w:r>
          </w:p>
        </w:tc>
      </w:tr>
      <w:tr w:rsidR="00031521" w:rsidRPr="00B57CD1" w14:paraId="501E1B48" w14:textId="77777777" w:rsidTr="00D97215">
        <w:trPr>
          <w:trHeight w:val="288"/>
        </w:trPr>
        <w:tc>
          <w:tcPr>
            <w:tcW w:w="7655" w:type="dxa"/>
            <w:gridSpan w:val="7"/>
            <w:tcBorders>
              <w:top w:val="nil"/>
              <w:left w:val="nil"/>
              <w:bottom w:val="nil"/>
              <w:right w:val="nil"/>
            </w:tcBorders>
            <w:shd w:val="clear" w:color="000000" w:fill="F2F2F2"/>
            <w:noWrap/>
            <w:vAlign w:val="center"/>
            <w:hideMark/>
          </w:tcPr>
          <w:p w14:paraId="07688760" w14:textId="11A606FC" w:rsidR="00031521" w:rsidRPr="00031521" w:rsidRDefault="00031521" w:rsidP="00B57CD1">
            <w:pPr>
              <w:keepNext/>
              <w:spacing w:before="0" w:after="0" w:line="240" w:lineRule="auto"/>
              <w:rPr>
                <w:rFonts w:ascii="Arial" w:hAnsi="Arial" w:cs="Arial"/>
                <w:b/>
                <w:bCs/>
                <w:color w:val="000000"/>
                <w:szCs w:val="20"/>
              </w:rPr>
            </w:pPr>
            <w:r w:rsidRPr="00B57CD1">
              <w:rPr>
                <w:rFonts w:ascii="Arial" w:hAnsi="Arial" w:cs="Arial"/>
                <w:b/>
                <w:bCs/>
                <w:color w:val="000000"/>
                <w:szCs w:val="20"/>
              </w:rPr>
              <w:t>Domestic or international student?</w:t>
            </w:r>
          </w:p>
        </w:tc>
      </w:tr>
      <w:tr w:rsidR="00031521" w:rsidRPr="00B57CD1" w14:paraId="0606F868" w14:textId="77777777" w:rsidTr="00031521">
        <w:trPr>
          <w:trHeight w:val="288"/>
        </w:trPr>
        <w:tc>
          <w:tcPr>
            <w:tcW w:w="1644" w:type="dxa"/>
            <w:tcBorders>
              <w:top w:val="nil"/>
              <w:left w:val="nil"/>
              <w:bottom w:val="nil"/>
              <w:right w:val="nil"/>
            </w:tcBorders>
            <w:shd w:val="clear" w:color="000000" w:fill="F2F2F2"/>
            <w:noWrap/>
            <w:vAlign w:val="center"/>
            <w:hideMark/>
          </w:tcPr>
          <w:p w14:paraId="2E0975D8"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Domestic</w:t>
            </w:r>
          </w:p>
        </w:tc>
        <w:tc>
          <w:tcPr>
            <w:tcW w:w="964" w:type="dxa"/>
            <w:tcBorders>
              <w:top w:val="nil"/>
              <w:left w:val="nil"/>
              <w:bottom w:val="nil"/>
              <w:right w:val="nil"/>
            </w:tcBorders>
            <w:shd w:val="clear" w:color="000000" w:fill="F2F2F2"/>
            <w:noWrap/>
            <w:vAlign w:val="center"/>
            <w:hideMark/>
          </w:tcPr>
          <w:p w14:paraId="3BFAAD65"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21</w:t>
            </w:r>
          </w:p>
        </w:tc>
        <w:tc>
          <w:tcPr>
            <w:tcW w:w="1191" w:type="dxa"/>
            <w:tcBorders>
              <w:top w:val="nil"/>
              <w:left w:val="nil"/>
              <w:bottom w:val="nil"/>
              <w:right w:val="nil"/>
            </w:tcBorders>
            <w:shd w:val="clear" w:color="000000" w:fill="F2F2F2"/>
            <w:noWrap/>
            <w:vAlign w:val="center"/>
            <w:hideMark/>
          </w:tcPr>
          <w:p w14:paraId="1ADAD1F0"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35</w:t>
            </w:r>
          </w:p>
        </w:tc>
        <w:tc>
          <w:tcPr>
            <w:tcW w:w="737" w:type="dxa"/>
            <w:tcBorders>
              <w:top w:val="nil"/>
              <w:left w:val="nil"/>
              <w:bottom w:val="nil"/>
              <w:right w:val="nil"/>
            </w:tcBorders>
            <w:shd w:val="clear" w:color="000000" w:fill="F2F2F2"/>
            <w:noWrap/>
            <w:vAlign w:val="center"/>
            <w:hideMark/>
          </w:tcPr>
          <w:p w14:paraId="57B49A49"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56</w:t>
            </w:r>
          </w:p>
        </w:tc>
        <w:tc>
          <w:tcPr>
            <w:tcW w:w="964" w:type="dxa"/>
            <w:tcBorders>
              <w:top w:val="nil"/>
              <w:left w:val="nil"/>
              <w:bottom w:val="nil"/>
              <w:right w:val="nil"/>
            </w:tcBorders>
            <w:shd w:val="clear" w:color="000000" w:fill="F2F2F2"/>
            <w:noWrap/>
            <w:vAlign w:val="center"/>
            <w:hideMark/>
          </w:tcPr>
          <w:p w14:paraId="468FC1E7"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63.6</w:t>
            </w:r>
          </w:p>
        </w:tc>
        <w:tc>
          <w:tcPr>
            <w:tcW w:w="1191" w:type="dxa"/>
            <w:tcBorders>
              <w:top w:val="nil"/>
              <w:left w:val="nil"/>
              <w:bottom w:val="nil"/>
              <w:right w:val="nil"/>
            </w:tcBorders>
            <w:shd w:val="clear" w:color="000000" w:fill="F2F2F2"/>
            <w:noWrap/>
            <w:vAlign w:val="center"/>
            <w:hideMark/>
          </w:tcPr>
          <w:p w14:paraId="140E9D87"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63.6</w:t>
            </w:r>
          </w:p>
        </w:tc>
        <w:tc>
          <w:tcPr>
            <w:tcW w:w="964" w:type="dxa"/>
            <w:tcBorders>
              <w:top w:val="nil"/>
              <w:left w:val="nil"/>
              <w:bottom w:val="nil"/>
              <w:right w:val="nil"/>
            </w:tcBorders>
            <w:shd w:val="clear" w:color="000000" w:fill="F2F2F2"/>
            <w:noWrap/>
            <w:vAlign w:val="center"/>
            <w:hideMark/>
          </w:tcPr>
          <w:p w14:paraId="0FBDF905"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63.6</w:t>
            </w:r>
          </w:p>
        </w:tc>
      </w:tr>
      <w:tr w:rsidR="00031521" w:rsidRPr="00B57CD1" w14:paraId="597A2220" w14:textId="77777777" w:rsidTr="00031521">
        <w:trPr>
          <w:trHeight w:val="288"/>
        </w:trPr>
        <w:tc>
          <w:tcPr>
            <w:tcW w:w="1644" w:type="dxa"/>
            <w:tcBorders>
              <w:top w:val="nil"/>
              <w:left w:val="nil"/>
              <w:bottom w:val="nil"/>
              <w:right w:val="nil"/>
            </w:tcBorders>
            <w:shd w:val="clear" w:color="000000" w:fill="F2F2F2"/>
            <w:noWrap/>
            <w:vAlign w:val="center"/>
            <w:hideMark/>
          </w:tcPr>
          <w:p w14:paraId="54745B1D"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International</w:t>
            </w:r>
          </w:p>
        </w:tc>
        <w:tc>
          <w:tcPr>
            <w:tcW w:w="964" w:type="dxa"/>
            <w:tcBorders>
              <w:top w:val="nil"/>
              <w:left w:val="nil"/>
              <w:bottom w:val="nil"/>
              <w:right w:val="nil"/>
            </w:tcBorders>
            <w:shd w:val="clear" w:color="000000" w:fill="F2F2F2"/>
            <w:noWrap/>
            <w:vAlign w:val="center"/>
            <w:hideMark/>
          </w:tcPr>
          <w:p w14:paraId="0ED83D42"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12</w:t>
            </w:r>
          </w:p>
        </w:tc>
        <w:tc>
          <w:tcPr>
            <w:tcW w:w="1191" w:type="dxa"/>
            <w:tcBorders>
              <w:top w:val="nil"/>
              <w:left w:val="nil"/>
              <w:bottom w:val="nil"/>
              <w:right w:val="nil"/>
            </w:tcBorders>
            <w:shd w:val="clear" w:color="000000" w:fill="F2F2F2"/>
            <w:noWrap/>
            <w:vAlign w:val="center"/>
            <w:hideMark/>
          </w:tcPr>
          <w:p w14:paraId="18B2B8AA"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20</w:t>
            </w:r>
          </w:p>
        </w:tc>
        <w:tc>
          <w:tcPr>
            <w:tcW w:w="737" w:type="dxa"/>
            <w:tcBorders>
              <w:top w:val="nil"/>
              <w:left w:val="nil"/>
              <w:bottom w:val="nil"/>
              <w:right w:val="nil"/>
            </w:tcBorders>
            <w:shd w:val="clear" w:color="000000" w:fill="F2F2F2"/>
            <w:noWrap/>
            <w:vAlign w:val="center"/>
            <w:hideMark/>
          </w:tcPr>
          <w:p w14:paraId="1B630144"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32</w:t>
            </w:r>
          </w:p>
        </w:tc>
        <w:tc>
          <w:tcPr>
            <w:tcW w:w="964" w:type="dxa"/>
            <w:tcBorders>
              <w:top w:val="nil"/>
              <w:left w:val="nil"/>
              <w:bottom w:val="nil"/>
              <w:right w:val="nil"/>
            </w:tcBorders>
            <w:shd w:val="clear" w:color="000000" w:fill="F2F2F2"/>
            <w:noWrap/>
            <w:vAlign w:val="center"/>
            <w:hideMark/>
          </w:tcPr>
          <w:p w14:paraId="40344753"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36.4</w:t>
            </w:r>
          </w:p>
        </w:tc>
        <w:tc>
          <w:tcPr>
            <w:tcW w:w="1191" w:type="dxa"/>
            <w:tcBorders>
              <w:top w:val="nil"/>
              <w:left w:val="nil"/>
              <w:bottom w:val="nil"/>
              <w:right w:val="nil"/>
            </w:tcBorders>
            <w:shd w:val="clear" w:color="000000" w:fill="F2F2F2"/>
            <w:noWrap/>
            <w:vAlign w:val="center"/>
            <w:hideMark/>
          </w:tcPr>
          <w:p w14:paraId="30A108C8"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36.4</w:t>
            </w:r>
          </w:p>
        </w:tc>
        <w:tc>
          <w:tcPr>
            <w:tcW w:w="964" w:type="dxa"/>
            <w:tcBorders>
              <w:top w:val="nil"/>
              <w:left w:val="nil"/>
              <w:bottom w:val="nil"/>
              <w:right w:val="nil"/>
            </w:tcBorders>
            <w:shd w:val="clear" w:color="000000" w:fill="F2F2F2"/>
            <w:noWrap/>
            <w:vAlign w:val="center"/>
            <w:hideMark/>
          </w:tcPr>
          <w:p w14:paraId="2CDA9B07"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36.4</w:t>
            </w:r>
          </w:p>
        </w:tc>
      </w:tr>
      <w:tr w:rsidR="00031521" w:rsidRPr="00B57CD1" w14:paraId="7836F71E" w14:textId="77777777" w:rsidTr="00D97215">
        <w:trPr>
          <w:trHeight w:val="288"/>
        </w:trPr>
        <w:tc>
          <w:tcPr>
            <w:tcW w:w="7655" w:type="dxa"/>
            <w:gridSpan w:val="7"/>
            <w:tcBorders>
              <w:top w:val="nil"/>
              <w:left w:val="nil"/>
              <w:bottom w:val="nil"/>
              <w:right w:val="nil"/>
            </w:tcBorders>
            <w:shd w:val="clear" w:color="000000" w:fill="F2F2F2"/>
            <w:noWrap/>
            <w:vAlign w:val="center"/>
            <w:hideMark/>
          </w:tcPr>
          <w:p w14:paraId="6EA62DC6" w14:textId="79AB89F1" w:rsidR="00031521" w:rsidRPr="00B57CD1" w:rsidRDefault="00031521" w:rsidP="00B57CD1">
            <w:pPr>
              <w:keepNext/>
              <w:spacing w:before="0" w:after="0" w:line="240" w:lineRule="auto"/>
              <w:rPr>
                <w:rFonts w:ascii="Arial" w:hAnsi="Arial" w:cs="Arial"/>
                <w:color w:val="000000"/>
                <w:szCs w:val="20"/>
              </w:rPr>
            </w:pPr>
            <w:r w:rsidRPr="00B57CD1">
              <w:rPr>
                <w:rFonts w:ascii="Arial" w:hAnsi="Arial" w:cs="Arial"/>
                <w:b/>
                <w:bCs/>
                <w:color w:val="000000"/>
                <w:szCs w:val="20"/>
              </w:rPr>
              <w:t>Enrolled in a Bachelor of Economics?</w:t>
            </w:r>
          </w:p>
        </w:tc>
      </w:tr>
      <w:tr w:rsidR="00031521" w:rsidRPr="00B57CD1" w14:paraId="536AD5AD" w14:textId="77777777" w:rsidTr="00031521">
        <w:trPr>
          <w:trHeight w:val="288"/>
        </w:trPr>
        <w:tc>
          <w:tcPr>
            <w:tcW w:w="1644" w:type="dxa"/>
            <w:tcBorders>
              <w:top w:val="nil"/>
              <w:left w:val="nil"/>
              <w:bottom w:val="nil"/>
              <w:right w:val="nil"/>
            </w:tcBorders>
            <w:shd w:val="clear" w:color="000000" w:fill="F2F2F2"/>
            <w:noWrap/>
            <w:vAlign w:val="center"/>
            <w:hideMark/>
          </w:tcPr>
          <w:p w14:paraId="6FB33334"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No</w:t>
            </w:r>
          </w:p>
        </w:tc>
        <w:tc>
          <w:tcPr>
            <w:tcW w:w="964" w:type="dxa"/>
            <w:tcBorders>
              <w:top w:val="nil"/>
              <w:left w:val="nil"/>
              <w:bottom w:val="nil"/>
              <w:right w:val="nil"/>
            </w:tcBorders>
            <w:shd w:val="clear" w:color="000000" w:fill="F2F2F2"/>
            <w:noWrap/>
            <w:vAlign w:val="center"/>
            <w:hideMark/>
          </w:tcPr>
          <w:p w14:paraId="48C05517"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18</w:t>
            </w:r>
          </w:p>
        </w:tc>
        <w:tc>
          <w:tcPr>
            <w:tcW w:w="1191" w:type="dxa"/>
            <w:tcBorders>
              <w:top w:val="nil"/>
              <w:left w:val="nil"/>
              <w:bottom w:val="nil"/>
              <w:right w:val="nil"/>
            </w:tcBorders>
            <w:shd w:val="clear" w:color="000000" w:fill="F2F2F2"/>
            <w:noWrap/>
            <w:vAlign w:val="center"/>
            <w:hideMark/>
          </w:tcPr>
          <w:p w14:paraId="158D2F4C"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30</w:t>
            </w:r>
          </w:p>
        </w:tc>
        <w:tc>
          <w:tcPr>
            <w:tcW w:w="737" w:type="dxa"/>
            <w:tcBorders>
              <w:top w:val="nil"/>
              <w:left w:val="nil"/>
              <w:bottom w:val="nil"/>
              <w:right w:val="nil"/>
            </w:tcBorders>
            <w:shd w:val="clear" w:color="000000" w:fill="F2F2F2"/>
            <w:noWrap/>
            <w:vAlign w:val="center"/>
            <w:hideMark/>
          </w:tcPr>
          <w:p w14:paraId="645C2536"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48</w:t>
            </w:r>
          </w:p>
        </w:tc>
        <w:tc>
          <w:tcPr>
            <w:tcW w:w="964" w:type="dxa"/>
            <w:tcBorders>
              <w:top w:val="nil"/>
              <w:left w:val="nil"/>
              <w:bottom w:val="nil"/>
              <w:right w:val="nil"/>
            </w:tcBorders>
            <w:shd w:val="clear" w:color="000000" w:fill="F2F2F2"/>
            <w:noWrap/>
            <w:vAlign w:val="center"/>
            <w:hideMark/>
          </w:tcPr>
          <w:p w14:paraId="3E0C8812"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54.5</w:t>
            </w:r>
          </w:p>
        </w:tc>
        <w:tc>
          <w:tcPr>
            <w:tcW w:w="1191" w:type="dxa"/>
            <w:tcBorders>
              <w:top w:val="nil"/>
              <w:left w:val="nil"/>
              <w:bottom w:val="nil"/>
              <w:right w:val="nil"/>
            </w:tcBorders>
            <w:shd w:val="clear" w:color="000000" w:fill="F2F2F2"/>
            <w:noWrap/>
            <w:vAlign w:val="center"/>
            <w:hideMark/>
          </w:tcPr>
          <w:p w14:paraId="01CCF342"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54.5</w:t>
            </w:r>
          </w:p>
        </w:tc>
        <w:tc>
          <w:tcPr>
            <w:tcW w:w="964" w:type="dxa"/>
            <w:tcBorders>
              <w:top w:val="nil"/>
              <w:left w:val="nil"/>
              <w:bottom w:val="nil"/>
              <w:right w:val="nil"/>
            </w:tcBorders>
            <w:shd w:val="clear" w:color="000000" w:fill="F2F2F2"/>
            <w:noWrap/>
            <w:vAlign w:val="center"/>
            <w:hideMark/>
          </w:tcPr>
          <w:p w14:paraId="2E9CE0DA"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54.5</w:t>
            </w:r>
          </w:p>
        </w:tc>
      </w:tr>
      <w:tr w:rsidR="00031521" w:rsidRPr="00B57CD1" w14:paraId="4E0DC1EC" w14:textId="77777777" w:rsidTr="00031521">
        <w:trPr>
          <w:trHeight w:val="288"/>
        </w:trPr>
        <w:tc>
          <w:tcPr>
            <w:tcW w:w="1644" w:type="dxa"/>
            <w:tcBorders>
              <w:top w:val="nil"/>
              <w:left w:val="nil"/>
              <w:bottom w:val="nil"/>
              <w:right w:val="nil"/>
            </w:tcBorders>
            <w:shd w:val="clear" w:color="000000" w:fill="F2F2F2"/>
            <w:noWrap/>
            <w:vAlign w:val="center"/>
            <w:hideMark/>
          </w:tcPr>
          <w:p w14:paraId="44942D75"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Yes</w:t>
            </w:r>
          </w:p>
        </w:tc>
        <w:tc>
          <w:tcPr>
            <w:tcW w:w="964" w:type="dxa"/>
            <w:tcBorders>
              <w:top w:val="nil"/>
              <w:left w:val="nil"/>
              <w:bottom w:val="nil"/>
              <w:right w:val="nil"/>
            </w:tcBorders>
            <w:shd w:val="clear" w:color="000000" w:fill="F2F2F2"/>
            <w:noWrap/>
            <w:vAlign w:val="center"/>
            <w:hideMark/>
          </w:tcPr>
          <w:p w14:paraId="03A0B2A8"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15</w:t>
            </w:r>
          </w:p>
        </w:tc>
        <w:tc>
          <w:tcPr>
            <w:tcW w:w="1191" w:type="dxa"/>
            <w:tcBorders>
              <w:top w:val="nil"/>
              <w:left w:val="nil"/>
              <w:bottom w:val="nil"/>
              <w:right w:val="nil"/>
            </w:tcBorders>
            <w:shd w:val="clear" w:color="000000" w:fill="F2F2F2"/>
            <w:noWrap/>
            <w:vAlign w:val="center"/>
            <w:hideMark/>
          </w:tcPr>
          <w:p w14:paraId="46F27FA4"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24</w:t>
            </w:r>
          </w:p>
        </w:tc>
        <w:tc>
          <w:tcPr>
            <w:tcW w:w="737" w:type="dxa"/>
            <w:tcBorders>
              <w:top w:val="nil"/>
              <w:left w:val="nil"/>
              <w:bottom w:val="nil"/>
              <w:right w:val="nil"/>
            </w:tcBorders>
            <w:shd w:val="clear" w:color="000000" w:fill="F2F2F2"/>
            <w:noWrap/>
            <w:vAlign w:val="center"/>
            <w:hideMark/>
          </w:tcPr>
          <w:p w14:paraId="6017A1A6"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39</w:t>
            </w:r>
          </w:p>
        </w:tc>
        <w:tc>
          <w:tcPr>
            <w:tcW w:w="964" w:type="dxa"/>
            <w:tcBorders>
              <w:top w:val="nil"/>
              <w:left w:val="nil"/>
              <w:bottom w:val="nil"/>
              <w:right w:val="nil"/>
            </w:tcBorders>
            <w:shd w:val="clear" w:color="000000" w:fill="F2F2F2"/>
            <w:noWrap/>
            <w:vAlign w:val="center"/>
            <w:hideMark/>
          </w:tcPr>
          <w:p w14:paraId="05A14CCD"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45.5</w:t>
            </w:r>
          </w:p>
        </w:tc>
        <w:tc>
          <w:tcPr>
            <w:tcW w:w="1191" w:type="dxa"/>
            <w:tcBorders>
              <w:top w:val="nil"/>
              <w:left w:val="nil"/>
              <w:bottom w:val="nil"/>
              <w:right w:val="nil"/>
            </w:tcBorders>
            <w:shd w:val="clear" w:color="000000" w:fill="F2F2F2"/>
            <w:noWrap/>
            <w:vAlign w:val="center"/>
            <w:hideMark/>
          </w:tcPr>
          <w:p w14:paraId="180C12BE"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43.6</w:t>
            </w:r>
          </w:p>
        </w:tc>
        <w:tc>
          <w:tcPr>
            <w:tcW w:w="964" w:type="dxa"/>
            <w:tcBorders>
              <w:top w:val="nil"/>
              <w:left w:val="nil"/>
              <w:bottom w:val="nil"/>
              <w:right w:val="nil"/>
            </w:tcBorders>
            <w:shd w:val="clear" w:color="000000" w:fill="F2F2F2"/>
            <w:noWrap/>
            <w:vAlign w:val="center"/>
            <w:hideMark/>
          </w:tcPr>
          <w:p w14:paraId="2237B454"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44.3</w:t>
            </w:r>
          </w:p>
        </w:tc>
      </w:tr>
      <w:tr w:rsidR="00031521" w:rsidRPr="00B57CD1" w14:paraId="5A5F92A1" w14:textId="77777777" w:rsidTr="00031521">
        <w:trPr>
          <w:trHeight w:val="288"/>
        </w:trPr>
        <w:tc>
          <w:tcPr>
            <w:tcW w:w="1644" w:type="dxa"/>
            <w:tcBorders>
              <w:top w:val="nil"/>
              <w:left w:val="nil"/>
              <w:bottom w:val="nil"/>
              <w:right w:val="nil"/>
            </w:tcBorders>
            <w:shd w:val="clear" w:color="000000" w:fill="F2F2F2"/>
            <w:noWrap/>
            <w:vAlign w:val="center"/>
            <w:hideMark/>
          </w:tcPr>
          <w:p w14:paraId="00D5588C"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NA</w:t>
            </w:r>
          </w:p>
        </w:tc>
        <w:tc>
          <w:tcPr>
            <w:tcW w:w="964" w:type="dxa"/>
            <w:tcBorders>
              <w:top w:val="nil"/>
              <w:left w:val="nil"/>
              <w:bottom w:val="nil"/>
              <w:right w:val="nil"/>
            </w:tcBorders>
            <w:shd w:val="clear" w:color="000000" w:fill="F2F2F2"/>
            <w:noWrap/>
            <w:vAlign w:val="center"/>
            <w:hideMark/>
          </w:tcPr>
          <w:p w14:paraId="13B2B639"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w:t>
            </w:r>
          </w:p>
        </w:tc>
        <w:tc>
          <w:tcPr>
            <w:tcW w:w="1191" w:type="dxa"/>
            <w:tcBorders>
              <w:top w:val="nil"/>
              <w:left w:val="nil"/>
              <w:bottom w:val="nil"/>
              <w:right w:val="nil"/>
            </w:tcBorders>
            <w:shd w:val="clear" w:color="000000" w:fill="F2F2F2"/>
            <w:noWrap/>
            <w:vAlign w:val="center"/>
            <w:hideMark/>
          </w:tcPr>
          <w:p w14:paraId="4A05677F"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w:t>
            </w:r>
          </w:p>
        </w:tc>
        <w:tc>
          <w:tcPr>
            <w:tcW w:w="737" w:type="dxa"/>
            <w:tcBorders>
              <w:top w:val="nil"/>
              <w:left w:val="nil"/>
              <w:bottom w:val="nil"/>
              <w:right w:val="nil"/>
            </w:tcBorders>
            <w:shd w:val="clear" w:color="000000" w:fill="F2F2F2"/>
            <w:noWrap/>
            <w:vAlign w:val="center"/>
            <w:hideMark/>
          </w:tcPr>
          <w:p w14:paraId="4C6060B8"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w:t>
            </w:r>
          </w:p>
        </w:tc>
        <w:tc>
          <w:tcPr>
            <w:tcW w:w="964" w:type="dxa"/>
            <w:tcBorders>
              <w:top w:val="nil"/>
              <w:left w:val="nil"/>
              <w:bottom w:val="nil"/>
              <w:right w:val="nil"/>
            </w:tcBorders>
            <w:shd w:val="clear" w:color="000000" w:fill="F2F2F2"/>
            <w:noWrap/>
            <w:vAlign w:val="center"/>
            <w:hideMark/>
          </w:tcPr>
          <w:p w14:paraId="286B5274"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0.0</w:t>
            </w:r>
          </w:p>
        </w:tc>
        <w:tc>
          <w:tcPr>
            <w:tcW w:w="1191" w:type="dxa"/>
            <w:tcBorders>
              <w:top w:val="nil"/>
              <w:left w:val="nil"/>
              <w:bottom w:val="nil"/>
              <w:right w:val="nil"/>
            </w:tcBorders>
            <w:shd w:val="clear" w:color="000000" w:fill="F2F2F2"/>
            <w:noWrap/>
            <w:vAlign w:val="center"/>
            <w:hideMark/>
          </w:tcPr>
          <w:p w14:paraId="3846FD4A"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1.8</w:t>
            </w:r>
          </w:p>
        </w:tc>
        <w:tc>
          <w:tcPr>
            <w:tcW w:w="964" w:type="dxa"/>
            <w:tcBorders>
              <w:top w:val="nil"/>
              <w:left w:val="nil"/>
              <w:bottom w:val="nil"/>
              <w:right w:val="nil"/>
            </w:tcBorders>
            <w:shd w:val="clear" w:color="000000" w:fill="F2F2F2"/>
            <w:noWrap/>
            <w:vAlign w:val="center"/>
            <w:hideMark/>
          </w:tcPr>
          <w:p w14:paraId="166FCEDC"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1.1</w:t>
            </w:r>
          </w:p>
        </w:tc>
      </w:tr>
      <w:tr w:rsidR="00031521" w:rsidRPr="00B57CD1" w14:paraId="1335AB14" w14:textId="77777777" w:rsidTr="00D97215">
        <w:trPr>
          <w:trHeight w:val="288"/>
        </w:trPr>
        <w:tc>
          <w:tcPr>
            <w:tcW w:w="7655" w:type="dxa"/>
            <w:gridSpan w:val="7"/>
            <w:tcBorders>
              <w:top w:val="nil"/>
              <w:left w:val="nil"/>
              <w:bottom w:val="nil"/>
              <w:right w:val="nil"/>
            </w:tcBorders>
            <w:shd w:val="clear" w:color="000000" w:fill="F2F2F2"/>
            <w:noWrap/>
            <w:vAlign w:val="center"/>
            <w:hideMark/>
          </w:tcPr>
          <w:p w14:paraId="35C9A116" w14:textId="0D3B815D" w:rsidR="00031521" w:rsidRPr="00B57CD1" w:rsidRDefault="00031521" w:rsidP="00B57CD1">
            <w:pPr>
              <w:keepNext/>
              <w:spacing w:before="0" w:after="0" w:line="240" w:lineRule="auto"/>
              <w:rPr>
                <w:rFonts w:ascii="Arial" w:hAnsi="Arial" w:cs="Arial"/>
                <w:color w:val="000000"/>
                <w:szCs w:val="20"/>
              </w:rPr>
            </w:pPr>
            <w:r w:rsidRPr="00B57CD1">
              <w:rPr>
                <w:rFonts w:ascii="Arial" w:hAnsi="Arial" w:cs="Arial"/>
                <w:b/>
                <w:bCs/>
                <w:color w:val="000000"/>
                <w:szCs w:val="20"/>
              </w:rPr>
              <w:t>Year of study</w:t>
            </w:r>
          </w:p>
        </w:tc>
      </w:tr>
      <w:tr w:rsidR="00031521" w:rsidRPr="00B57CD1" w14:paraId="2321A225" w14:textId="77777777" w:rsidTr="00031521">
        <w:trPr>
          <w:trHeight w:val="288"/>
        </w:trPr>
        <w:tc>
          <w:tcPr>
            <w:tcW w:w="1644" w:type="dxa"/>
            <w:tcBorders>
              <w:top w:val="nil"/>
              <w:left w:val="nil"/>
              <w:bottom w:val="nil"/>
              <w:right w:val="nil"/>
            </w:tcBorders>
            <w:shd w:val="clear" w:color="000000" w:fill="F2F2F2"/>
            <w:noWrap/>
            <w:vAlign w:val="center"/>
            <w:hideMark/>
          </w:tcPr>
          <w:p w14:paraId="0CF0C8D4"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First year</w:t>
            </w:r>
          </w:p>
        </w:tc>
        <w:tc>
          <w:tcPr>
            <w:tcW w:w="964" w:type="dxa"/>
            <w:tcBorders>
              <w:top w:val="nil"/>
              <w:left w:val="nil"/>
              <w:bottom w:val="nil"/>
              <w:right w:val="nil"/>
            </w:tcBorders>
            <w:shd w:val="clear" w:color="000000" w:fill="F2F2F2"/>
            <w:noWrap/>
            <w:vAlign w:val="center"/>
            <w:hideMark/>
          </w:tcPr>
          <w:p w14:paraId="0C552717"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15</w:t>
            </w:r>
          </w:p>
        </w:tc>
        <w:tc>
          <w:tcPr>
            <w:tcW w:w="1191" w:type="dxa"/>
            <w:tcBorders>
              <w:top w:val="nil"/>
              <w:left w:val="nil"/>
              <w:bottom w:val="nil"/>
              <w:right w:val="nil"/>
            </w:tcBorders>
            <w:shd w:val="clear" w:color="000000" w:fill="F2F2F2"/>
            <w:noWrap/>
            <w:vAlign w:val="center"/>
            <w:hideMark/>
          </w:tcPr>
          <w:p w14:paraId="39C94811"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24</w:t>
            </w:r>
          </w:p>
        </w:tc>
        <w:tc>
          <w:tcPr>
            <w:tcW w:w="737" w:type="dxa"/>
            <w:tcBorders>
              <w:top w:val="nil"/>
              <w:left w:val="nil"/>
              <w:bottom w:val="nil"/>
              <w:right w:val="nil"/>
            </w:tcBorders>
            <w:shd w:val="clear" w:color="000000" w:fill="F2F2F2"/>
            <w:noWrap/>
            <w:vAlign w:val="center"/>
            <w:hideMark/>
          </w:tcPr>
          <w:p w14:paraId="79DE7C2E"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39</w:t>
            </w:r>
          </w:p>
        </w:tc>
        <w:tc>
          <w:tcPr>
            <w:tcW w:w="964" w:type="dxa"/>
            <w:tcBorders>
              <w:top w:val="nil"/>
              <w:left w:val="nil"/>
              <w:bottom w:val="nil"/>
              <w:right w:val="nil"/>
            </w:tcBorders>
            <w:shd w:val="clear" w:color="000000" w:fill="F2F2F2"/>
            <w:noWrap/>
            <w:vAlign w:val="center"/>
            <w:hideMark/>
          </w:tcPr>
          <w:p w14:paraId="674EDFE7"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45.5</w:t>
            </w:r>
          </w:p>
        </w:tc>
        <w:tc>
          <w:tcPr>
            <w:tcW w:w="1191" w:type="dxa"/>
            <w:tcBorders>
              <w:top w:val="nil"/>
              <w:left w:val="nil"/>
              <w:bottom w:val="nil"/>
              <w:right w:val="nil"/>
            </w:tcBorders>
            <w:shd w:val="clear" w:color="000000" w:fill="F2F2F2"/>
            <w:noWrap/>
            <w:vAlign w:val="center"/>
            <w:hideMark/>
          </w:tcPr>
          <w:p w14:paraId="57F09009"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43.6</w:t>
            </w:r>
          </w:p>
        </w:tc>
        <w:tc>
          <w:tcPr>
            <w:tcW w:w="964" w:type="dxa"/>
            <w:tcBorders>
              <w:top w:val="nil"/>
              <w:left w:val="nil"/>
              <w:bottom w:val="nil"/>
              <w:right w:val="nil"/>
            </w:tcBorders>
            <w:shd w:val="clear" w:color="000000" w:fill="F2F2F2"/>
            <w:noWrap/>
            <w:vAlign w:val="center"/>
            <w:hideMark/>
          </w:tcPr>
          <w:p w14:paraId="42D2916C"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44.3</w:t>
            </w:r>
          </w:p>
        </w:tc>
      </w:tr>
      <w:tr w:rsidR="00031521" w:rsidRPr="00B57CD1" w14:paraId="4E3716C2" w14:textId="77777777" w:rsidTr="00031521">
        <w:trPr>
          <w:trHeight w:val="288"/>
        </w:trPr>
        <w:tc>
          <w:tcPr>
            <w:tcW w:w="1644" w:type="dxa"/>
            <w:tcBorders>
              <w:top w:val="nil"/>
              <w:left w:val="nil"/>
              <w:bottom w:val="nil"/>
              <w:right w:val="nil"/>
            </w:tcBorders>
            <w:shd w:val="clear" w:color="000000" w:fill="F2F2F2"/>
            <w:noWrap/>
            <w:vAlign w:val="center"/>
            <w:hideMark/>
          </w:tcPr>
          <w:p w14:paraId="5C562AF9" w14:textId="77777777" w:rsidR="00B57CD1" w:rsidRPr="00B57CD1" w:rsidRDefault="00B57CD1" w:rsidP="00B57CD1">
            <w:pPr>
              <w:spacing w:before="0" w:after="0" w:line="240" w:lineRule="auto"/>
              <w:rPr>
                <w:rFonts w:ascii="Arial" w:hAnsi="Arial" w:cs="Arial"/>
                <w:color w:val="000000"/>
                <w:szCs w:val="20"/>
              </w:rPr>
            </w:pPr>
            <w:r w:rsidRPr="00B57CD1">
              <w:rPr>
                <w:rFonts w:ascii="Arial" w:hAnsi="Arial" w:cs="Arial"/>
                <w:color w:val="000000"/>
                <w:szCs w:val="20"/>
              </w:rPr>
              <w:t>Later year</w:t>
            </w:r>
          </w:p>
        </w:tc>
        <w:tc>
          <w:tcPr>
            <w:tcW w:w="964" w:type="dxa"/>
            <w:tcBorders>
              <w:top w:val="nil"/>
              <w:left w:val="nil"/>
              <w:bottom w:val="nil"/>
              <w:right w:val="nil"/>
            </w:tcBorders>
            <w:shd w:val="clear" w:color="000000" w:fill="F2F2F2"/>
            <w:noWrap/>
            <w:vAlign w:val="center"/>
            <w:hideMark/>
          </w:tcPr>
          <w:p w14:paraId="70BB81DF" w14:textId="77777777" w:rsidR="00B57CD1" w:rsidRPr="00B57CD1" w:rsidRDefault="00B57CD1" w:rsidP="00B57CD1">
            <w:pPr>
              <w:spacing w:before="0" w:after="0" w:line="240" w:lineRule="auto"/>
              <w:jc w:val="right"/>
              <w:rPr>
                <w:rFonts w:ascii="Arial" w:hAnsi="Arial" w:cs="Arial"/>
                <w:color w:val="000000"/>
                <w:szCs w:val="20"/>
              </w:rPr>
            </w:pPr>
            <w:r w:rsidRPr="00B57CD1">
              <w:rPr>
                <w:rFonts w:ascii="Arial" w:hAnsi="Arial" w:cs="Arial"/>
                <w:color w:val="000000"/>
                <w:szCs w:val="20"/>
              </w:rPr>
              <w:t>18</w:t>
            </w:r>
          </w:p>
        </w:tc>
        <w:tc>
          <w:tcPr>
            <w:tcW w:w="1191" w:type="dxa"/>
            <w:tcBorders>
              <w:top w:val="nil"/>
              <w:left w:val="nil"/>
              <w:bottom w:val="nil"/>
              <w:right w:val="nil"/>
            </w:tcBorders>
            <w:shd w:val="clear" w:color="000000" w:fill="F2F2F2"/>
            <w:noWrap/>
            <w:vAlign w:val="center"/>
            <w:hideMark/>
          </w:tcPr>
          <w:p w14:paraId="64724C09" w14:textId="77777777" w:rsidR="00B57CD1" w:rsidRPr="00B57CD1" w:rsidRDefault="00B57CD1" w:rsidP="00B57CD1">
            <w:pPr>
              <w:spacing w:before="0" w:after="0" w:line="240" w:lineRule="auto"/>
              <w:jc w:val="right"/>
              <w:rPr>
                <w:rFonts w:ascii="Arial" w:hAnsi="Arial" w:cs="Arial"/>
                <w:color w:val="000000"/>
                <w:szCs w:val="20"/>
              </w:rPr>
            </w:pPr>
            <w:r w:rsidRPr="00B57CD1">
              <w:rPr>
                <w:rFonts w:ascii="Arial" w:hAnsi="Arial" w:cs="Arial"/>
                <w:color w:val="000000"/>
                <w:szCs w:val="20"/>
              </w:rPr>
              <w:t>31</w:t>
            </w:r>
          </w:p>
        </w:tc>
        <w:tc>
          <w:tcPr>
            <w:tcW w:w="737" w:type="dxa"/>
            <w:tcBorders>
              <w:top w:val="nil"/>
              <w:left w:val="nil"/>
              <w:bottom w:val="nil"/>
              <w:right w:val="nil"/>
            </w:tcBorders>
            <w:shd w:val="clear" w:color="000000" w:fill="F2F2F2"/>
            <w:noWrap/>
            <w:vAlign w:val="center"/>
            <w:hideMark/>
          </w:tcPr>
          <w:p w14:paraId="0FDBD136" w14:textId="77777777" w:rsidR="00B57CD1" w:rsidRPr="00B57CD1" w:rsidRDefault="00B57CD1" w:rsidP="00B57CD1">
            <w:pPr>
              <w:spacing w:before="0" w:after="0" w:line="240" w:lineRule="auto"/>
              <w:jc w:val="right"/>
              <w:rPr>
                <w:rFonts w:ascii="Arial" w:hAnsi="Arial" w:cs="Arial"/>
                <w:color w:val="000000"/>
                <w:szCs w:val="20"/>
              </w:rPr>
            </w:pPr>
            <w:r w:rsidRPr="00B57CD1">
              <w:rPr>
                <w:rFonts w:ascii="Arial" w:hAnsi="Arial" w:cs="Arial"/>
                <w:color w:val="000000"/>
                <w:szCs w:val="20"/>
              </w:rPr>
              <w:t>49</w:t>
            </w:r>
          </w:p>
        </w:tc>
        <w:tc>
          <w:tcPr>
            <w:tcW w:w="964" w:type="dxa"/>
            <w:tcBorders>
              <w:top w:val="nil"/>
              <w:left w:val="nil"/>
              <w:bottom w:val="nil"/>
              <w:right w:val="nil"/>
            </w:tcBorders>
            <w:shd w:val="clear" w:color="000000" w:fill="F2F2F2"/>
            <w:noWrap/>
            <w:vAlign w:val="center"/>
            <w:hideMark/>
          </w:tcPr>
          <w:p w14:paraId="7EF5B338" w14:textId="77777777" w:rsidR="00B57CD1" w:rsidRPr="00B57CD1" w:rsidRDefault="00B57CD1" w:rsidP="00B57CD1">
            <w:pPr>
              <w:spacing w:before="0" w:after="0" w:line="240" w:lineRule="auto"/>
              <w:jc w:val="right"/>
              <w:rPr>
                <w:rFonts w:ascii="Arial" w:hAnsi="Arial" w:cs="Arial"/>
                <w:color w:val="000000"/>
                <w:szCs w:val="20"/>
              </w:rPr>
            </w:pPr>
            <w:r w:rsidRPr="00B57CD1">
              <w:rPr>
                <w:rFonts w:ascii="Arial" w:hAnsi="Arial" w:cs="Arial"/>
                <w:color w:val="000000"/>
                <w:szCs w:val="20"/>
              </w:rPr>
              <w:t>54.5</w:t>
            </w:r>
          </w:p>
        </w:tc>
        <w:tc>
          <w:tcPr>
            <w:tcW w:w="1191" w:type="dxa"/>
            <w:tcBorders>
              <w:top w:val="nil"/>
              <w:left w:val="nil"/>
              <w:bottom w:val="nil"/>
              <w:right w:val="nil"/>
            </w:tcBorders>
            <w:shd w:val="clear" w:color="000000" w:fill="F2F2F2"/>
            <w:noWrap/>
            <w:vAlign w:val="center"/>
            <w:hideMark/>
          </w:tcPr>
          <w:p w14:paraId="32E96ACC" w14:textId="77777777" w:rsidR="00B57CD1" w:rsidRPr="00B57CD1" w:rsidRDefault="00B57CD1" w:rsidP="00B57CD1">
            <w:pPr>
              <w:spacing w:before="0" w:after="0" w:line="240" w:lineRule="auto"/>
              <w:jc w:val="right"/>
              <w:rPr>
                <w:rFonts w:ascii="Arial" w:hAnsi="Arial" w:cs="Arial"/>
                <w:color w:val="000000"/>
                <w:szCs w:val="20"/>
              </w:rPr>
            </w:pPr>
            <w:r w:rsidRPr="00B57CD1">
              <w:rPr>
                <w:rFonts w:ascii="Arial" w:hAnsi="Arial" w:cs="Arial"/>
                <w:color w:val="000000"/>
                <w:szCs w:val="20"/>
              </w:rPr>
              <w:t>56.4</w:t>
            </w:r>
          </w:p>
        </w:tc>
        <w:tc>
          <w:tcPr>
            <w:tcW w:w="964" w:type="dxa"/>
            <w:tcBorders>
              <w:top w:val="nil"/>
              <w:left w:val="nil"/>
              <w:bottom w:val="nil"/>
              <w:right w:val="nil"/>
            </w:tcBorders>
            <w:shd w:val="clear" w:color="000000" w:fill="F2F2F2"/>
            <w:noWrap/>
            <w:vAlign w:val="center"/>
            <w:hideMark/>
          </w:tcPr>
          <w:p w14:paraId="3FB2ECE6" w14:textId="77777777" w:rsidR="00B57CD1" w:rsidRPr="00B57CD1" w:rsidRDefault="00B57CD1" w:rsidP="00B57CD1">
            <w:pPr>
              <w:spacing w:before="0" w:after="0" w:line="240" w:lineRule="auto"/>
              <w:jc w:val="right"/>
              <w:rPr>
                <w:rFonts w:ascii="Arial" w:hAnsi="Arial" w:cs="Arial"/>
                <w:color w:val="000000"/>
                <w:szCs w:val="20"/>
              </w:rPr>
            </w:pPr>
            <w:r w:rsidRPr="00B57CD1">
              <w:rPr>
                <w:rFonts w:ascii="Arial" w:hAnsi="Arial" w:cs="Arial"/>
                <w:color w:val="000000"/>
                <w:szCs w:val="20"/>
              </w:rPr>
              <w:t>55.7</w:t>
            </w:r>
          </w:p>
        </w:tc>
      </w:tr>
    </w:tbl>
    <w:p w14:paraId="10AFF76E" w14:textId="77777777" w:rsidR="00031521" w:rsidRDefault="00031521" w:rsidP="00CB1E33"/>
    <w:p w14:paraId="51F30D64" w14:textId="4D2DD1BD" w:rsidR="00B57CD1" w:rsidRDefault="00BF743C" w:rsidP="00BF743C">
      <w:pPr>
        <w:pStyle w:val="FigureHeading"/>
        <w:numPr>
          <w:ilvl w:val="0"/>
          <w:numId w:val="0"/>
        </w:numPr>
        <w:ind w:left="1430" w:hanging="720"/>
      </w:pPr>
      <w:r>
        <w:t xml:space="preserve">Figure 25: </w:t>
      </w:r>
      <w:r w:rsidR="00B57CD1">
        <w:t>Baseline characteristics (categorical variables)</w:t>
      </w:r>
    </w:p>
    <w:tbl>
      <w:tblPr>
        <w:tblW w:w="8108" w:type="dxa"/>
        <w:tblLook w:val="04A0" w:firstRow="1" w:lastRow="0" w:firstColumn="1" w:lastColumn="0" w:noHBand="0" w:noVBand="1"/>
        <w:tblCaption w:val="Figure 25: Baseline characteristics (categorical variables)"/>
      </w:tblPr>
      <w:tblGrid>
        <w:gridCol w:w="2324"/>
        <w:gridCol w:w="964"/>
        <w:gridCol w:w="1191"/>
        <w:gridCol w:w="737"/>
        <w:gridCol w:w="964"/>
        <w:gridCol w:w="1191"/>
        <w:gridCol w:w="737"/>
      </w:tblGrid>
      <w:tr w:rsidR="00B57CD1" w:rsidRPr="00B57CD1" w14:paraId="02D6A9DE" w14:textId="77777777" w:rsidTr="00731CEB">
        <w:trPr>
          <w:trHeight w:val="288"/>
          <w:tblHeader/>
        </w:trPr>
        <w:tc>
          <w:tcPr>
            <w:tcW w:w="2324" w:type="dxa"/>
            <w:tcBorders>
              <w:top w:val="nil"/>
              <w:left w:val="nil"/>
              <w:bottom w:val="nil"/>
              <w:right w:val="nil"/>
            </w:tcBorders>
            <w:shd w:val="clear" w:color="000000" w:fill="142E3A"/>
            <w:noWrap/>
            <w:vAlign w:val="center"/>
            <w:hideMark/>
          </w:tcPr>
          <w:p w14:paraId="21BB761D" w14:textId="77777777" w:rsidR="00B57CD1" w:rsidRPr="00B57CD1" w:rsidRDefault="00B57CD1" w:rsidP="00B57CD1">
            <w:pPr>
              <w:keepNext/>
              <w:spacing w:before="0" w:after="0" w:line="240" w:lineRule="auto"/>
              <w:rPr>
                <w:rFonts w:ascii="Arial" w:hAnsi="Arial" w:cs="Arial"/>
                <w:b/>
                <w:bCs/>
                <w:color w:val="FFFFFF"/>
                <w:szCs w:val="20"/>
              </w:rPr>
            </w:pPr>
            <w:r w:rsidRPr="00B57CD1">
              <w:rPr>
                <w:rFonts w:ascii="Arial" w:hAnsi="Arial" w:cs="Arial"/>
                <w:b/>
                <w:bCs/>
                <w:color w:val="FFFFFF"/>
                <w:szCs w:val="20"/>
              </w:rPr>
              <w:t> </w:t>
            </w:r>
          </w:p>
        </w:tc>
        <w:tc>
          <w:tcPr>
            <w:tcW w:w="964" w:type="dxa"/>
            <w:tcBorders>
              <w:top w:val="nil"/>
              <w:left w:val="nil"/>
              <w:bottom w:val="nil"/>
              <w:right w:val="nil"/>
            </w:tcBorders>
            <w:shd w:val="clear" w:color="000000" w:fill="142E3A"/>
            <w:noWrap/>
            <w:vAlign w:val="center"/>
            <w:hideMark/>
          </w:tcPr>
          <w:p w14:paraId="2FAEF554" w14:textId="77777777" w:rsidR="00B57CD1" w:rsidRPr="00B57CD1" w:rsidRDefault="00B57CD1" w:rsidP="00B57CD1">
            <w:pPr>
              <w:keepNext/>
              <w:spacing w:before="0" w:after="0" w:line="240" w:lineRule="auto"/>
              <w:jc w:val="center"/>
              <w:rPr>
                <w:rFonts w:ascii="Arial" w:hAnsi="Arial" w:cs="Arial"/>
                <w:b/>
                <w:bCs/>
                <w:color w:val="FFFFFF"/>
                <w:szCs w:val="20"/>
              </w:rPr>
            </w:pPr>
            <w:r w:rsidRPr="00B57CD1">
              <w:rPr>
                <w:rFonts w:ascii="Arial" w:hAnsi="Arial" w:cs="Arial"/>
                <w:b/>
                <w:bCs/>
                <w:color w:val="FFFFFF"/>
                <w:szCs w:val="20"/>
              </w:rPr>
              <w:t>Control</w:t>
            </w:r>
          </w:p>
        </w:tc>
        <w:tc>
          <w:tcPr>
            <w:tcW w:w="1191" w:type="dxa"/>
            <w:tcBorders>
              <w:top w:val="nil"/>
              <w:left w:val="nil"/>
              <w:bottom w:val="nil"/>
              <w:right w:val="nil"/>
            </w:tcBorders>
            <w:shd w:val="clear" w:color="000000" w:fill="142E3A"/>
            <w:noWrap/>
            <w:vAlign w:val="center"/>
            <w:hideMark/>
          </w:tcPr>
          <w:p w14:paraId="6606533B" w14:textId="77777777" w:rsidR="00B57CD1" w:rsidRPr="00B57CD1" w:rsidRDefault="00B57CD1" w:rsidP="00B57CD1">
            <w:pPr>
              <w:keepNext/>
              <w:spacing w:before="0" w:after="0" w:line="240" w:lineRule="auto"/>
              <w:jc w:val="center"/>
              <w:rPr>
                <w:rFonts w:ascii="Arial" w:hAnsi="Arial" w:cs="Arial"/>
                <w:b/>
                <w:bCs/>
                <w:color w:val="FFFFFF"/>
                <w:szCs w:val="20"/>
              </w:rPr>
            </w:pPr>
            <w:r w:rsidRPr="00B57CD1">
              <w:rPr>
                <w:rFonts w:ascii="Arial" w:hAnsi="Arial" w:cs="Arial"/>
                <w:b/>
                <w:bCs/>
                <w:color w:val="FFFFFF"/>
                <w:szCs w:val="20"/>
              </w:rPr>
              <w:t>Treatment</w:t>
            </w:r>
          </w:p>
        </w:tc>
        <w:tc>
          <w:tcPr>
            <w:tcW w:w="737" w:type="dxa"/>
            <w:tcBorders>
              <w:top w:val="nil"/>
              <w:left w:val="nil"/>
              <w:bottom w:val="nil"/>
              <w:right w:val="nil"/>
            </w:tcBorders>
            <w:shd w:val="clear" w:color="000000" w:fill="142E3A"/>
            <w:noWrap/>
            <w:vAlign w:val="center"/>
            <w:hideMark/>
          </w:tcPr>
          <w:p w14:paraId="1BB3F5B9" w14:textId="77777777" w:rsidR="00B57CD1" w:rsidRPr="00B57CD1" w:rsidRDefault="00B57CD1" w:rsidP="00B57CD1">
            <w:pPr>
              <w:keepNext/>
              <w:spacing w:before="0" w:after="0" w:line="240" w:lineRule="auto"/>
              <w:jc w:val="center"/>
              <w:rPr>
                <w:rFonts w:ascii="Arial" w:hAnsi="Arial" w:cs="Arial"/>
                <w:b/>
                <w:bCs/>
                <w:color w:val="FFFFFF"/>
                <w:szCs w:val="20"/>
              </w:rPr>
            </w:pPr>
            <w:r w:rsidRPr="00B57CD1">
              <w:rPr>
                <w:rFonts w:ascii="Arial" w:hAnsi="Arial" w:cs="Arial"/>
                <w:b/>
                <w:bCs/>
                <w:color w:val="FFFFFF"/>
                <w:szCs w:val="20"/>
              </w:rPr>
              <w:t>All</w:t>
            </w:r>
          </w:p>
        </w:tc>
        <w:tc>
          <w:tcPr>
            <w:tcW w:w="964" w:type="dxa"/>
            <w:tcBorders>
              <w:top w:val="nil"/>
              <w:left w:val="nil"/>
              <w:bottom w:val="nil"/>
              <w:right w:val="nil"/>
            </w:tcBorders>
            <w:shd w:val="clear" w:color="000000" w:fill="142E3A"/>
            <w:noWrap/>
            <w:vAlign w:val="center"/>
            <w:hideMark/>
          </w:tcPr>
          <w:p w14:paraId="61E67446" w14:textId="77777777" w:rsidR="00B57CD1" w:rsidRPr="00B57CD1" w:rsidRDefault="00B57CD1" w:rsidP="00B57CD1">
            <w:pPr>
              <w:keepNext/>
              <w:spacing w:before="0" w:after="0" w:line="240" w:lineRule="auto"/>
              <w:jc w:val="center"/>
              <w:rPr>
                <w:rFonts w:ascii="Arial" w:hAnsi="Arial" w:cs="Arial"/>
                <w:b/>
                <w:bCs/>
                <w:color w:val="FFFFFF"/>
                <w:szCs w:val="20"/>
              </w:rPr>
            </w:pPr>
            <w:r w:rsidRPr="00B57CD1">
              <w:rPr>
                <w:rFonts w:ascii="Arial" w:hAnsi="Arial" w:cs="Arial"/>
                <w:b/>
                <w:bCs/>
                <w:color w:val="FFFFFF"/>
                <w:szCs w:val="20"/>
              </w:rPr>
              <w:t>Control</w:t>
            </w:r>
          </w:p>
        </w:tc>
        <w:tc>
          <w:tcPr>
            <w:tcW w:w="1191" w:type="dxa"/>
            <w:tcBorders>
              <w:top w:val="nil"/>
              <w:left w:val="nil"/>
              <w:bottom w:val="nil"/>
              <w:right w:val="nil"/>
            </w:tcBorders>
            <w:shd w:val="clear" w:color="000000" w:fill="142E3A"/>
            <w:noWrap/>
            <w:vAlign w:val="center"/>
            <w:hideMark/>
          </w:tcPr>
          <w:p w14:paraId="610798DD" w14:textId="77777777" w:rsidR="00B57CD1" w:rsidRPr="00B57CD1" w:rsidRDefault="00B57CD1" w:rsidP="00B57CD1">
            <w:pPr>
              <w:keepNext/>
              <w:spacing w:before="0" w:after="0" w:line="240" w:lineRule="auto"/>
              <w:jc w:val="center"/>
              <w:rPr>
                <w:rFonts w:ascii="Arial" w:hAnsi="Arial" w:cs="Arial"/>
                <w:b/>
                <w:bCs/>
                <w:color w:val="FFFFFF"/>
                <w:szCs w:val="20"/>
              </w:rPr>
            </w:pPr>
            <w:r w:rsidRPr="00B57CD1">
              <w:rPr>
                <w:rFonts w:ascii="Arial" w:hAnsi="Arial" w:cs="Arial"/>
                <w:b/>
                <w:bCs/>
                <w:color w:val="FFFFFF"/>
                <w:szCs w:val="20"/>
              </w:rPr>
              <w:t>Treatment</w:t>
            </w:r>
          </w:p>
        </w:tc>
        <w:tc>
          <w:tcPr>
            <w:tcW w:w="737" w:type="dxa"/>
            <w:tcBorders>
              <w:top w:val="nil"/>
              <w:left w:val="nil"/>
              <w:bottom w:val="nil"/>
              <w:right w:val="nil"/>
            </w:tcBorders>
            <w:shd w:val="clear" w:color="000000" w:fill="142E3A"/>
            <w:noWrap/>
            <w:vAlign w:val="center"/>
            <w:hideMark/>
          </w:tcPr>
          <w:p w14:paraId="7B8044A7" w14:textId="77777777" w:rsidR="00B57CD1" w:rsidRPr="00B57CD1" w:rsidRDefault="00B57CD1" w:rsidP="00B57CD1">
            <w:pPr>
              <w:keepNext/>
              <w:spacing w:before="0" w:after="0" w:line="240" w:lineRule="auto"/>
              <w:jc w:val="center"/>
              <w:rPr>
                <w:rFonts w:ascii="Arial" w:hAnsi="Arial" w:cs="Arial"/>
                <w:b/>
                <w:bCs/>
                <w:color w:val="FFFFFF"/>
                <w:szCs w:val="20"/>
              </w:rPr>
            </w:pPr>
            <w:r w:rsidRPr="00B57CD1">
              <w:rPr>
                <w:rFonts w:ascii="Arial" w:hAnsi="Arial" w:cs="Arial"/>
                <w:b/>
                <w:bCs/>
                <w:color w:val="FFFFFF"/>
                <w:szCs w:val="20"/>
              </w:rPr>
              <w:t>All</w:t>
            </w:r>
          </w:p>
        </w:tc>
      </w:tr>
      <w:tr w:rsidR="00B57CD1" w:rsidRPr="00B57CD1" w14:paraId="35869EEB" w14:textId="77777777" w:rsidTr="00731CEB">
        <w:trPr>
          <w:trHeight w:val="288"/>
          <w:tblHeader/>
        </w:trPr>
        <w:tc>
          <w:tcPr>
            <w:tcW w:w="2324" w:type="dxa"/>
            <w:tcBorders>
              <w:top w:val="nil"/>
              <w:left w:val="nil"/>
              <w:bottom w:val="nil"/>
              <w:right w:val="nil"/>
            </w:tcBorders>
            <w:shd w:val="clear" w:color="000000" w:fill="142E3A"/>
            <w:noWrap/>
            <w:vAlign w:val="center"/>
            <w:hideMark/>
          </w:tcPr>
          <w:p w14:paraId="003F4C0B" w14:textId="77777777" w:rsidR="00B57CD1" w:rsidRPr="00B57CD1" w:rsidRDefault="00B57CD1" w:rsidP="00B57CD1">
            <w:pPr>
              <w:keepNext/>
              <w:spacing w:before="0" w:after="0" w:line="240" w:lineRule="auto"/>
              <w:rPr>
                <w:rFonts w:ascii="Arial" w:hAnsi="Arial" w:cs="Arial"/>
                <w:color w:val="FFFFFF"/>
                <w:szCs w:val="20"/>
              </w:rPr>
            </w:pPr>
            <w:r w:rsidRPr="00B57CD1">
              <w:rPr>
                <w:rFonts w:ascii="Arial" w:hAnsi="Arial" w:cs="Arial"/>
                <w:color w:val="FFFFFF"/>
                <w:szCs w:val="20"/>
              </w:rPr>
              <w:t> </w:t>
            </w:r>
          </w:p>
        </w:tc>
        <w:tc>
          <w:tcPr>
            <w:tcW w:w="964" w:type="dxa"/>
            <w:tcBorders>
              <w:top w:val="nil"/>
              <w:left w:val="nil"/>
              <w:bottom w:val="nil"/>
              <w:right w:val="nil"/>
            </w:tcBorders>
            <w:shd w:val="clear" w:color="000000" w:fill="142E3A"/>
            <w:noWrap/>
            <w:vAlign w:val="center"/>
            <w:hideMark/>
          </w:tcPr>
          <w:p w14:paraId="175503CA" w14:textId="77777777" w:rsidR="00B57CD1" w:rsidRPr="00B57CD1" w:rsidRDefault="00B57CD1" w:rsidP="00B57CD1">
            <w:pPr>
              <w:keepNext/>
              <w:spacing w:before="0" w:after="0" w:line="240" w:lineRule="auto"/>
              <w:jc w:val="center"/>
              <w:rPr>
                <w:rFonts w:ascii="Arial" w:hAnsi="Arial" w:cs="Arial"/>
                <w:color w:val="FFFFFF"/>
                <w:szCs w:val="20"/>
              </w:rPr>
            </w:pPr>
            <w:r w:rsidRPr="00B57CD1">
              <w:rPr>
                <w:rFonts w:ascii="Arial" w:hAnsi="Arial" w:cs="Arial"/>
                <w:color w:val="FFFFFF"/>
                <w:szCs w:val="20"/>
              </w:rPr>
              <w:t>n</w:t>
            </w:r>
          </w:p>
        </w:tc>
        <w:tc>
          <w:tcPr>
            <w:tcW w:w="1191" w:type="dxa"/>
            <w:tcBorders>
              <w:top w:val="nil"/>
              <w:left w:val="nil"/>
              <w:bottom w:val="nil"/>
              <w:right w:val="nil"/>
            </w:tcBorders>
            <w:shd w:val="clear" w:color="000000" w:fill="142E3A"/>
            <w:noWrap/>
            <w:vAlign w:val="center"/>
            <w:hideMark/>
          </w:tcPr>
          <w:p w14:paraId="337F12ED" w14:textId="77777777" w:rsidR="00B57CD1" w:rsidRPr="00B57CD1" w:rsidRDefault="00B57CD1" w:rsidP="00B57CD1">
            <w:pPr>
              <w:keepNext/>
              <w:spacing w:before="0" w:after="0" w:line="240" w:lineRule="auto"/>
              <w:jc w:val="center"/>
              <w:rPr>
                <w:rFonts w:ascii="Arial" w:hAnsi="Arial" w:cs="Arial"/>
                <w:color w:val="FFFFFF"/>
                <w:szCs w:val="20"/>
              </w:rPr>
            </w:pPr>
            <w:r w:rsidRPr="00B57CD1">
              <w:rPr>
                <w:rFonts w:ascii="Arial" w:hAnsi="Arial" w:cs="Arial"/>
                <w:color w:val="FFFFFF"/>
                <w:szCs w:val="20"/>
              </w:rPr>
              <w:t>n</w:t>
            </w:r>
          </w:p>
        </w:tc>
        <w:tc>
          <w:tcPr>
            <w:tcW w:w="737" w:type="dxa"/>
            <w:tcBorders>
              <w:top w:val="nil"/>
              <w:left w:val="nil"/>
              <w:bottom w:val="nil"/>
              <w:right w:val="nil"/>
            </w:tcBorders>
            <w:shd w:val="clear" w:color="000000" w:fill="142E3A"/>
            <w:noWrap/>
            <w:vAlign w:val="center"/>
            <w:hideMark/>
          </w:tcPr>
          <w:p w14:paraId="2D05E0AC" w14:textId="77777777" w:rsidR="00B57CD1" w:rsidRPr="00B57CD1" w:rsidRDefault="00B57CD1" w:rsidP="00B57CD1">
            <w:pPr>
              <w:keepNext/>
              <w:spacing w:before="0" w:after="0" w:line="240" w:lineRule="auto"/>
              <w:jc w:val="center"/>
              <w:rPr>
                <w:rFonts w:ascii="Arial" w:hAnsi="Arial" w:cs="Arial"/>
                <w:color w:val="FFFFFF"/>
                <w:szCs w:val="20"/>
              </w:rPr>
            </w:pPr>
            <w:r w:rsidRPr="00B57CD1">
              <w:rPr>
                <w:rFonts w:ascii="Arial" w:hAnsi="Arial" w:cs="Arial"/>
                <w:color w:val="FFFFFF"/>
                <w:szCs w:val="20"/>
              </w:rPr>
              <w:t>n</w:t>
            </w:r>
          </w:p>
        </w:tc>
        <w:tc>
          <w:tcPr>
            <w:tcW w:w="964" w:type="dxa"/>
            <w:tcBorders>
              <w:top w:val="nil"/>
              <w:left w:val="nil"/>
              <w:bottom w:val="nil"/>
              <w:right w:val="nil"/>
            </w:tcBorders>
            <w:shd w:val="clear" w:color="000000" w:fill="142E3A"/>
            <w:noWrap/>
            <w:vAlign w:val="center"/>
            <w:hideMark/>
          </w:tcPr>
          <w:p w14:paraId="5588E067" w14:textId="77777777" w:rsidR="00B57CD1" w:rsidRPr="00B57CD1" w:rsidRDefault="00B57CD1" w:rsidP="00B57CD1">
            <w:pPr>
              <w:keepNext/>
              <w:spacing w:before="0" w:after="0" w:line="240" w:lineRule="auto"/>
              <w:jc w:val="center"/>
              <w:rPr>
                <w:rFonts w:ascii="Arial" w:hAnsi="Arial" w:cs="Arial"/>
                <w:color w:val="FFFFFF"/>
                <w:szCs w:val="20"/>
              </w:rPr>
            </w:pPr>
            <w:r w:rsidRPr="00B57CD1">
              <w:rPr>
                <w:rFonts w:ascii="Arial" w:hAnsi="Arial" w:cs="Arial"/>
                <w:color w:val="FFFFFF"/>
                <w:szCs w:val="20"/>
              </w:rPr>
              <w:t>%</w:t>
            </w:r>
          </w:p>
        </w:tc>
        <w:tc>
          <w:tcPr>
            <w:tcW w:w="1191" w:type="dxa"/>
            <w:tcBorders>
              <w:top w:val="nil"/>
              <w:left w:val="nil"/>
              <w:bottom w:val="nil"/>
              <w:right w:val="nil"/>
            </w:tcBorders>
            <w:shd w:val="clear" w:color="000000" w:fill="142E3A"/>
            <w:noWrap/>
            <w:vAlign w:val="center"/>
            <w:hideMark/>
          </w:tcPr>
          <w:p w14:paraId="7F15B8EA" w14:textId="77777777" w:rsidR="00B57CD1" w:rsidRPr="00B57CD1" w:rsidRDefault="00B57CD1" w:rsidP="00B57CD1">
            <w:pPr>
              <w:keepNext/>
              <w:spacing w:before="0" w:after="0" w:line="240" w:lineRule="auto"/>
              <w:jc w:val="center"/>
              <w:rPr>
                <w:rFonts w:ascii="Arial" w:hAnsi="Arial" w:cs="Arial"/>
                <w:color w:val="FFFFFF"/>
                <w:szCs w:val="20"/>
              </w:rPr>
            </w:pPr>
            <w:r w:rsidRPr="00B57CD1">
              <w:rPr>
                <w:rFonts w:ascii="Arial" w:hAnsi="Arial" w:cs="Arial"/>
                <w:color w:val="FFFFFF"/>
                <w:szCs w:val="20"/>
              </w:rPr>
              <w:t>%</w:t>
            </w:r>
          </w:p>
        </w:tc>
        <w:tc>
          <w:tcPr>
            <w:tcW w:w="737" w:type="dxa"/>
            <w:tcBorders>
              <w:top w:val="nil"/>
              <w:left w:val="nil"/>
              <w:bottom w:val="nil"/>
              <w:right w:val="nil"/>
            </w:tcBorders>
            <w:shd w:val="clear" w:color="000000" w:fill="142E3A"/>
            <w:noWrap/>
            <w:vAlign w:val="center"/>
            <w:hideMark/>
          </w:tcPr>
          <w:p w14:paraId="7F63DF9E" w14:textId="77777777" w:rsidR="00B57CD1" w:rsidRPr="00B57CD1" w:rsidRDefault="00B57CD1" w:rsidP="00B57CD1">
            <w:pPr>
              <w:keepNext/>
              <w:spacing w:before="0" w:after="0" w:line="240" w:lineRule="auto"/>
              <w:jc w:val="center"/>
              <w:rPr>
                <w:rFonts w:ascii="Arial" w:hAnsi="Arial" w:cs="Arial"/>
                <w:color w:val="FFFFFF"/>
                <w:szCs w:val="20"/>
              </w:rPr>
            </w:pPr>
            <w:r w:rsidRPr="00B57CD1">
              <w:rPr>
                <w:rFonts w:ascii="Arial" w:hAnsi="Arial" w:cs="Arial"/>
                <w:color w:val="FFFFFF"/>
                <w:szCs w:val="20"/>
              </w:rPr>
              <w:t>%</w:t>
            </w:r>
          </w:p>
        </w:tc>
      </w:tr>
      <w:tr w:rsidR="00B57CD1" w:rsidRPr="00B57CD1" w14:paraId="1DB799EA" w14:textId="77777777" w:rsidTr="001266F9">
        <w:trPr>
          <w:trHeight w:val="288"/>
        </w:trPr>
        <w:tc>
          <w:tcPr>
            <w:tcW w:w="2324" w:type="dxa"/>
            <w:tcBorders>
              <w:top w:val="nil"/>
              <w:left w:val="nil"/>
              <w:bottom w:val="nil"/>
              <w:right w:val="nil"/>
            </w:tcBorders>
            <w:shd w:val="clear" w:color="000000" w:fill="F2F2F2"/>
            <w:noWrap/>
            <w:vAlign w:val="center"/>
            <w:hideMark/>
          </w:tcPr>
          <w:p w14:paraId="088B7437"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 </w:t>
            </w:r>
          </w:p>
        </w:tc>
        <w:tc>
          <w:tcPr>
            <w:tcW w:w="964" w:type="dxa"/>
            <w:tcBorders>
              <w:top w:val="nil"/>
              <w:left w:val="nil"/>
              <w:bottom w:val="nil"/>
              <w:right w:val="nil"/>
            </w:tcBorders>
            <w:shd w:val="clear" w:color="000000" w:fill="F2F2F2"/>
            <w:noWrap/>
            <w:vAlign w:val="center"/>
            <w:hideMark/>
          </w:tcPr>
          <w:p w14:paraId="68F62976"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33</w:t>
            </w:r>
          </w:p>
        </w:tc>
        <w:tc>
          <w:tcPr>
            <w:tcW w:w="1191" w:type="dxa"/>
            <w:tcBorders>
              <w:top w:val="nil"/>
              <w:left w:val="nil"/>
              <w:bottom w:val="nil"/>
              <w:right w:val="nil"/>
            </w:tcBorders>
            <w:shd w:val="clear" w:color="000000" w:fill="F2F2F2"/>
            <w:noWrap/>
            <w:vAlign w:val="center"/>
            <w:hideMark/>
          </w:tcPr>
          <w:p w14:paraId="46A178A5"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55</w:t>
            </w:r>
          </w:p>
        </w:tc>
        <w:tc>
          <w:tcPr>
            <w:tcW w:w="737" w:type="dxa"/>
            <w:tcBorders>
              <w:top w:val="nil"/>
              <w:left w:val="nil"/>
              <w:bottom w:val="nil"/>
              <w:right w:val="nil"/>
            </w:tcBorders>
            <w:shd w:val="clear" w:color="000000" w:fill="F2F2F2"/>
            <w:noWrap/>
            <w:vAlign w:val="center"/>
            <w:hideMark/>
          </w:tcPr>
          <w:p w14:paraId="3B9E378B"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88</w:t>
            </w:r>
          </w:p>
        </w:tc>
        <w:tc>
          <w:tcPr>
            <w:tcW w:w="964" w:type="dxa"/>
            <w:tcBorders>
              <w:top w:val="nil"/>
              <w:left w:val="nil"/>
              <w:bottom w:val="nil"/>
              <w:right w:val="nil"/>
            </w:tcBorders>
            <w:shd w:val="clear" w:color="000000" w:fill="F2F2F2"/>
            <w:noWrap/>
            <w:vAlign w:val="center"/>
            <w:hideMark/>
          </w:tcPr>
          <w:p w14:paraId="3FC5B506"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100.0</w:t>
            </w:r>
          </w:p>
        </w:tc>
        <w:tc>
          <w:tcPr>
            <w:tcW w:w="1191" w:type="dxa"/>
            <w:tcBorders>
              <w:top w:val="nil"/>
              <w:left w:val="nil"/>
              <w:bottom w:val="nil"/>
              <w:right w:val="nil"/>
            </w:tcBorders>
            <w:shd w:val="clear" w:color="000000" w:fill="F2F2F2"/>
            <w:noWrap/>
            <w:vAlign w:val="center"/>
            <w:hideMark/>
          </w:tcPr>
          <w:p w14:paraId="1EBE85BE"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100.0</w:t>
            </w:r>
          </w:p>
        </w:tc>
        <w:tc>
          <w:tcPr>
            <w:tcW w:w="737" w:type="dxa"/>
            <w:tcBorders>
              <w:top w:val="nil"/>
              <w:left w:val="nil"/>
              <w:bottom w:val="nil"/>
              <w:right w:val="nil"/>
            </w:tcBorders>
            <w:shd w:val="clear" w:color="000000" w:fill="F2F2F2"/>
            <w:noWrap/>
            <w:vAlign w:val="center"/>
            <w:hideMark/>
          </w:tcPr>
          <w:p w14:paraId="0E1D8658"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100.0</w:t>
            </w:r>
          </w:p>
        </w:tc>
      </w:tr>
      <w:tr w:rsidR="00031521" w:rsidRPr="00B57CD1" w14:paraId="5F4CB8A7" w14:textId="77777777" w:rsidTr="001266F9">
        <w:trPr>
          <w:trHeight w:val="288"/>
        </w:trPr>
        <w:tc>
          <w:tcPr>
            <w:tcW w:w="8108" w:type="dxa"/>
            <w:gridSpan w:val="7"/>
            <w:tcBorders>
              <w:top w:val="nil"/>
              <w:left w:val="nil"/>
              <w:bottom w:val="nil"/>
              <w:right w:val="nil"/>
            </w:tcBorders>
            <w:shd w:val="clear" w:color="000000" w:fill="F2F2F2"/>
            <w:noWrap/>
            <w:vAlign w:val="center"/>
            <w:hideMark/>
          </w:tcPr>
          <w:p w14:paraId="103F1671" w14:textId="22D52735" w:rsidR="00031521" w:rsidRPr="00B57CD1" w:rsidRDefault="00031521" w:rsidP="00B57CD1">
            <w:pPr>
              <w:keepNext/>
              <w:spacing w:before="0" w:after="0" w:line="240" w:lineRule="auto"/>
              <w:rPr>
                <w:rFonts w:ascii="Arial" w:hAnsi="Arial" w:cs="Arial"/>
                <w:color w:val="000000"/>
                <w:szCs w:val="20"/>
              </w:rPr>
            </w:pPr>
            <w:r w:rsidRPr="00B57CD1">
              <w:rPr>
                <w:rFonts w:ascii="Arial" w:hAnsi="Arial" w:cs="Arial"/>
                <w:b/>
                <w:bCs/>
                <w:color w:val="000000"/>
                <w:szCs w:val="20"/>
              </w:rPr>
              <w:t>Year of study</w:t>
            </w:r>
          </w:p>
        </w:tc>
      </w:tr>
      <w:tr w:rsidR="00B57CD1" w:rsidRPr="00B57CD1" w14:paraId="5175AC3A" w14:textId="77777777" w:rsidTr="001266F9">
        <w:trPr>
          <w:trHeight w:val="288"/>
        </w:trPr>
        <w:tc>
          <w:tcPr>
            <w:tcW w:w="2324" w:type="dxa"/>
            <w:tcBorders>
              <w:top w:val="nil"/>
              <w:left w:val="nil"/>
              <w:bottom w:val="nil"/>
              <w:right w:val="nil"/>
            </w:tcBorders>
            <w:shd w:val="clear" w:color="000000" w:fill="F2F2F2"/>
            <w:noWrap/>
            <w:vAlign w:val="center"/>
            <w:hideMark/>
          </w:tcPr>
          <w:p w14:paraId="1D54C313"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First year</w:t>
            </w:r>
          </w:p>
        </w:tc>
        <w:tc>
          <w:tcPr>
            <w:tcW w:w="964" w:type="dxa"/>
            <w:tcBorders>
              <w:top w:val="nil"/>
              <w:left w:val="nil"/>
              <w:bottom w:val="nil"/>
              <w:right w:val="nil"/>
            </w:tcBorders>
            <w:shd w:val="clear" w:color="000000" w:fill="F2F2F2"/>
            <w:noWrap/>
            <w:vAlign w:val="center"/>
            <w:hideMark/>
          </w:tcPr>
          <w:p w14:paraId="57CC72AA"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15</w:t>
            </w:r>
          </w:p>
        </w:tc>
        <w:tc>
          <w:tcPr>
            <w:tcW w:w="1191" w:type="dxa"/>
            <w:tcBorders>
              <w:top w:val="nil"/>
              <w:left w:val="nil"/>
              <w:bottom w:val="nil"/>
              <w:right w:val="nil"/>
            </w:tcBorders>
            <w:shd w:val="clear" w:color="000000" w:fill="F2F2F2"/>
            <w:noWrap/>
            <w:vAlign w:val="center"/>
            <w:hideMark/>
          </w:tcPr>
          <w:p w14:paraId="5957B787"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24</w:t>
            </w:r>
          </w:p>
        </w:tc>
        <w:tc>
          <w:tcPr>
            <w:tcW w:w="737" w:type="dxa"/>
            <w:tcBorders>
              <w:top w:val="nil"/>
              <w:left w:val="nil"/>
              <w:bottom w:val="nil"/>
              <w:right w:val="nil"/>
            </w:tcBorders>
            <w:shd w:val="clear" w:color="000000" w:fill="F2F2F2"/>
            <w:noWrap/>
            <w:vAlign w:val="center"/>
            <w:hideMark/>
          </w:tcPr>
          <w:p w14:paraId="152892BB"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39</w:t>
            </w:r>
          </w:p>
        </w:tc>
        <w:tc>
          <w:tcPr>
            <w:tcW w:w="964" w:type="dxa"/>
            <w:tcBorders>
              <w:top w:val="nil"/>
              <w:left w:val="nil"/>
              <w:bottom w:val="nil"/>
              <w:right w:val="nil"/>
            </w:tcBorders>
            <w:shd w:val="clear" w:color="000000" w:fill="F2F2F2"/>
            <w:noWrap/>
            <w:vAlign w:val="center"/>
            <w:hideMark/>
          </w:tcPr>
          <w:p w14:paraId="5091DDDC"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45.5</w:t>
            </w:r>
          </w:p>
        </w:tc>
        <w:tc>
          <w:tcPr>
            <w:tcW w:w="1191" w:type="dxa"/>
            <w:tcBorders>
              <w:top w:val="nil"/>
              <w:left w:val="nil"/>
              <w:bottom w:val="nil"/>
              <w:right w:val="nil"/>
            </w:tcBorders>
            <w:shd w:val="clear" w:color="000000" w:fill="F2F2F2"/>
            <w:noWrap/>
            <w:vAlign w:val="center"/>
            <w:hideMark/>
          </w:tcPr>
          <w:p w14:paraId="06F9172B"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43.6</w:t>
            </w:r>
          </w:p>
        </w:tc>
        <w:tc>
          <w:tcPr>
            <w:tcW w:w="737" w:type="dxa"/>
            <w:tcBorders>
              <w:top w:val="nil"/>
              <w:left w:val="nil"/>
              <w:bottom w:val="nil"/>
              <w:right w:val="nil"/>
            </w:tcBorders>
            <w:shd w:val="clear" w:color="000000" w:fill="F2F2F2"/>
            <w:noWrap/>
            <w:vAlign w:val="center"/>
            <w:hideMark/>
          </w:tcPr>
          <w:p w14:paraId="1CFA82B9"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44.3</w:t>
            </w:r>
          </w:p>
        </w:tc>
      </w:tr>
      <w:tr w:rsidR="00B57CD1" w:rsidRPr="00B57CD1" w14:paraId="1C5DAD86" w14:textId="77777777" w:rsidTr="001266F9">
        <w:trPr>
          <w:trHeight w:val="288"/>
        </w:trPr>
        <w:tc>
          <w:tcPr>
            <w:tcW w:w="2324" w:type="dxa"/>
            <w:tcBorders>
              <w:top w:val="nil"/>
              <w:left w:val="nil"/>
              <w:bottom w:val="nil"/>
              <w:right w:val="nil"/>
            </w:tcBorders>
            <w:shd w:val="clear" w:color="000000" w:fill="F2F2F2"/>
            <w:noWrap/>
            <w:vAlign w:val="center"/>
            <w:hideMark/>
          </w:tcPr>
          <w:p w14:paraId="2A5D0FAD"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Second year</w:t>
            </w:r>
          </w:p>
        </w:tc>
        <w:tc>
          <w:tcPr>
            <w:tcW w:w="964" w:type="dxa"/>
            <w:tcBorders>
              <w:top w:val="nil"/>
              <w:left w:val="nil"/>
              <w:bottom w:val="nil"/>
              <w:right w:val="nil"/>
            </w:tcBorders>
            <w:shd w:val="clear" w:color="000000" w:fill="F2F2F2"/>
            <w:noWrap/>
            <w:vAlign w:val="center"/>
            <w:hideMark/>
          </w:tcPr>
          <w:p w14:paraId="4F2F3B2F"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10</w:t>
            </w:r>
          </w:p>
        </w:tc>
        <w:tc>
          <w:tcPr>
            <w:tcW w:w="1191" w:type="dxa"/>
            <w:tcBorders>
              <w:top w:val="nil"/>
              <w:left w:val="nil"/>
              <w:bottom w:val="nil"/>
              <w:right w:val="nil"/>
            </w:tcBorders>
            <w:shd w:val="clear" w:color="000000" w:fill="F2F2F2"/>
            <w:noWrap/>
            <w:vAlign w:val="center"/>
            <w:hideMark/>
          </w:tcPr>
          <w:p w14:paraId="61FE6405"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28</w:t>
            </w:r>
          </w:p>
        </w:tc>
        <w:tc>
          <w:tcPr>
            <w:tcW w:w="737" w:type="dxa"/>
            <w:tcBorders>
              <w:top w:val="nil"/>
              <w:left w:val="nil"/>
              <w:bottom w:val="nil"/>
              <w:right w:val="nil"/>
            </w:tcBorders>
            <w:shd w:val="clear" w:color="000000" w:fill="F2F2F2"/>
            <w:noWrap/>
            <w:vAlign w:val="center"/>
            <w:hideMark/>
          </w:tcPr>
          <w:p w14:paraId="77500DDF"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38</w:t>
            </w:r>
          </w:p>
        </w:tc>
        <w:tc>
          <w:tcPr>
            <w:tcW w:w="964" w:type="dxa"/>
            <w:tcBorders>
              <w:top w:val="nil"/>
              <w:left w:val="nil"/>
              <w:bottom w:val="nil"/>
              <w:right w:val="nil"/>
            </w:tcBorders>
            <w:shd w:val="clear" w:color="000000" w:fill="F2F2F2"/>
            <w:noWrap/>
            <w:vAlign w:val="center"/>
            <w:hideMark/>
          </w:tcPr>
          <w:p w14:paraId="55312018"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30.3</w:t>
            </w:r>
          </w:p>
        </w:tc>
        <w:tc>
          <w:tcPr>
            <w:tcW w:w="1191" w:type="dxa"/>
            <w:tcBorders>
              <w:top w:val="nil"/>
              <w:left w:val="nil"/>
              <w:bottom w:val="nil"/>
              <w:right w:val="nil"/>
            </w:tcBorders>
            <w:shd w:val="clear" w:color="000000" w:fill="F2F2F2"/>
            <w:noWrap/>
            <w:vAlign w:val="center"/>
            <w:hideMark/>
          </w:tcPr>
          <w:p w14:paraId="58A90AC4"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50.9</w:t>
            </w:r>
          </w:p>
        </w:tc>
        <w:tc>
          <w:tcPr>
            <w:tcW w:w="737" w:type="dxa"/>
            <w:tcBorders>
              <w:top w:val="nil"/>
              <w:left w:val="nil"/>
              <w:bottom w:val="nil"/>
              <w:right w:val="nil"/>
            </w:tcBorders>
            <w:shd w:val="clear" w:color="000000" w:fill="F2F2F2"/>
            <w:noWrap/>
            <w:vAlign w:val="center"/>
            <w:hideMark/>
          </w:tcPr>
          <w:p w14:paraId="680ED712"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43.2</w:t>
            </w:r>
          </w:p>
        </w:tc>
      </w:tr>
      <w:tr w:rsidR="00B57CD1" w:rsidRPr="00B57CD1" w14:paraId="07A85BB9" w14:textId="77777777" w:rsidTr="001266F9">
        <w:trPr>
          <w:trHeight w:val="288"/>
        </w:trPr>
        <w:tc>
          <w:tcPr>
            <w:tcW w:w="2324" w:type="dxa"/>
            <w:tcBorders>
              <w:top w:val="nil"/>
              <w:left w:val="nil"/>
              <w:bottom w:val="nil"/>
              <w:right w:val="nil"/>
            </w:tcBorders>
            <w:shd w:val="clear" w:color="000000" w:fill="F2F2F2"/>
            <w:noWrap/>
            <w:vAlign w:val="center"/>
            <w:hideMark/>
          </w:tcPr>
          <w:p w14:paraId="50D6BB4E"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Third year</w:t>
            </w:r>
          </w:p>
        </w:tc>
        <w:tc>
          <w:tcPr>
            <w:tcW w:w="964" w:type="dxa"/>
            <w:tcBorders>
              <w:top w:val="nil"/>
              <w:left w:val="nil"/>
              <w:bottom w:val="nil"/>
              <w:right w:val="nil"/>
            </w:tcBorders>
            <w:shd w:val="clear" w:color="000000" w:fill="F2F2F2"/>
            <w:noWrap/>
            <w:vAlign w:val="center"/>
            <w:hideMark/>
          </w:tcPr>
          <w:p w14:paraId="58DC8011"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w:t>
            </w:r>
          </w:p>
        </w:tc>
        <w:tc>
          <w:tcPr>
            <w:tcW w:w="1191" w:type="dxa"/>
            <w:tcBorders>
              <w:top w:val="nil"/>
              <w:left w:val="nil"/>
              <w:bottom w:val="nil"/>
              <w:right w:val="nil"/>
            </w:tcBorders>
            <w:shd w:val="clear" w:color="000000" w:fill="F2F2F2"/>
            <w:noWrap/>
            <w:vAlign w:val="center"/>
            <w:hideMark/>
          </w:tcPr>
          <w:p w14:paraId="1E29F920"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w:t>
            </w:r>
          </w:p>
        </w:tc>
        <w:tc>
          <w:tcPr>
            <w:tcW w:w="737" w:type="dxa"/>
            <w:tcBorders>
              <w:top w:val="nil"/>
              <w:left w:val="nil"/>
              <w:bottom w:val="nil"/>
              <w:right w:val="nil"/>
            </w:tcBorders>
            <w:shd w:val="clear" w:color="000000" w:fill="F2F2F2"/>
            <w:noWrap/>
            <w:vAlign w:val="center"/>
            <w:hideMark/>
          </w:tcPr>
          <w:p w14:paraId="4B46F826"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7</w:t>
            </w:r>
          </w:p>
        </w:tc>
        <w:tc>
          <w:tcPr>
            <w:tcW w:w="964" w:type="dxa"/>
            <w:tcBorders>
              <w:top w:val="nil"/>
              <w:left w:val="nil"/>
              <w:bottom w:val="nil"/>
              <w:right w:val="nil"/>
            </w:tcBorders>
            <w:shd w:val="clear" w:color="000000" w:fill="F2F2F2"/>
            <w:noWrap/>
            <w:vAlign w:val="center"/>
            <w:hideMark/>
          </w:tcPr>
          <w:p w14:paraId="7CAA9421"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12.1</w:t>
            </w:r>
          </w:p>
        </w:tc>
        <w:tc>
          <w:tcPr>
            <w:tcW w:w="1191" w:type="dxa"/>
            <w:tcBorders>
              <w:top w:val="nil"/>
              <w:left w:val="nil"/>
              <w:bottom w:val="nil"/>
              <w:right w:val="nil"/>
            </w:tcBorders>
            <w:shd w:val="clear" w:color="000000" w:fill="F2F2F2"/>
            <w:noWrap/>
            <w:vAlign w:val="center"/>
            <w:hideMark/>
          </w:tcPr>
          <w:p w14:paraId="3701BD62"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5.5</w:t>
            </w:r>
          </w:p>
        </w:tc>
        <w:tc>
          <w:tcPr>
            <w:tcW w:w="737" w:type="dxa"/>
            <w:tcBorders>
              <w:top w:val="nil"/>
              <w:left w:val="nil"/>
              <w:bottom w:val="nil"/>
              <w:right w:val="nil"/>
            </w:tcBorders>
            <w:shd w:val="clear" w:color="000000" w:fill="F2F2F2"/>
            <w:noWrap/>
            <w:vAlign w:val="center"/>
            <w:hideMark/>
          </w:tcPr>
          <w:p w14:paraId="58CB3B22"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8.0</w:t>
            </w:r>
          </w:p>
        </w:tc>
      </w:tr>
      <w:tr w:rsidR="00B57CD1" w:rsidRPr="00B57CD1" w14:paraId="1E1B1526" w14:textId="77777777" w:rsidTr="001266F9">
        <w:trPr>
          <w:trHeight w:val="288"/>
        </w:trPr>
        <w:tc>
          <w:tcPr>
            <w:tcW w:w="2324" w:type="dxa"/>
            <w:tcBorders>
              <w:top w:val="nil"/>
              <w:left w:val="nil"/>
              <w:bottom w:val="nil"/>
              <w:right w:val="nil"/>
            </w:tcBorders>
            <w:shd w:val="clear" w:color="000000" w:fill="F2F2F2"/>
            <w:noWrap/>
            <w:vAlign w:val="center"/>
            <w:hideMark/>
          </w:tcPr>
          <w:p w14:paraId="60D38FE9"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Fourth year</w:t>
            </w:r>
          </w:p>
        </w:tc>
        <w:tc>
          <w:tcPr>
            <w:tcW w:w="964" w:type="dxa"/>
            <w:tcBorders>
              <w:top w:val="nil"/>
              <w:left w:val="nil"/>
              <w:bottom w:val="nil"/>
              <w:right w:val="nil"/>
            </w:tcBorders>
            <w:shd w:val="clear" w:color="000000" w:fill="F2F2F2"/>
            <w:noWrap/>
            <w:vAlign w:val="center"/>
            <w:hideMark/>
          </w:tcPr>
          <w:p w14:paraId="2F44D754"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w:t>
            </w:r>
          </w:p>
        </w:tc>
        <w:tc>
          <w:tcPr>
            <w:tcW w:w="1191" w:type="dxa"/>
            <w:tcBorders>
              <w:top w:val="nil"/>
              <w:left w:val="nil"/>
              <w:bottom w:val="nil"/>
              <w:right w:val="nil"/>
            </w:tcBorders>
            <w:shd w:val="clear" w:color="000000" w:fill="F2F2F2"/>
            <w:noWrap/>
            <w:vAlign w:val="center"/>
            <w:hideMark/>
          </w:tcPr>
          <w:p w14:paraId="7F058AC0"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w:t>
            </w:r>
          </w:p>
        </w:tc>
        <w:tc>
          <w:tcPr>
            <w:tcW w:w="737" w:type="dxa"/>
            <w:tcBorders>
              <w:top w:val="nil"/>
              <w:left w:val="nil"/>
              <w:bottom w:val="nil"/>
              <w:right w:val="nil"/>
            </w:tcBorders>
            <w:shd w:val="clear" w:color="000000" w:fill="F2F2F2"/>
            <w:noWrap/>
            <w:vAlign w:val="center"/>
            <w:hideMark/>
          </w:tcPr>
          <w:p w14:paraId="12A8F4C5"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w:t>
            </w:r>
          </w:p>
        </w:tc>
        <w:tc>
          <w:tcPr>
            <w:tcW w:w="964" w:type="dxa"/>
            <w:tcBorders>
              <w:top w:val="nil"/>
              <w:left w:val="nil"/>
              <w:bottom w:val="nil"/>
              <w:right w:val="nil"/>
            </w:tcBorders>
            <w:shd w:val="clear" w:color="000000" w:fill="F2F2F2"/>
            <w:noWrap/>
            <w:vAlign w:val="center"/>
            <w:hideMark/>
          </w:tcPr>
          <w:p w14:paraId="76C2D758"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9.1</w:t>
            </w:r>
          </w:p>
        </w:tc>
        <w:tc>
          <w:tcPr>
            <w:tcW w:w="1191" w:type="dxa"/>
            <w:tcBorders>
              <w:top w:val="nil"/>
              <w:left w:val="nil"/>
              <w:bottom w:val="nil"/>
              <w:right w:val="nil"/>
            </w:tcBorders>
            <w:shd w:val="clear" w:color="000000" w:fill="F2F2F2"/>
            <w:noWrap/>
            <w:vAlign w:val="center"/>
            <w:hideMark/>
          </w:tcPr>
          <w:p w14:paraId="2BCC4A80"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0.0</w:t>
            </w:r>
          </w:p>
        </w:tc>
        <w:tc>
          <w:tcPr>
            <w:tcW w:w="737" w:type="dxa"/>
            <w:tcBorders>
              <w:top w:val="nil"/>
              <w:left w:val="nil"/>
              <w:bottom w:val="nil"/>
              <w:right w:val="nil"/>
            </w:tcBorders>
            <w:shd w:val="clear" w:color="000000" w:fill="F2F2F2"/>
            <w:noWrap/>
            <w:vAlign w:val="center"/>
            <w:hideMark/>
          </w:tcPr>
          <w:p w14:paraId="5752C9F8"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3.4</w:t>
            </w:r>
          </w:p>
        </w:tc>
      </w:tr>
      <w:tr w:rsidR="00B57CD1" w:rsidRPr="00B57CD1" w14:paraId="42761318" w14:textId="77777777" w:rsidTr="001266F9">
        <w:trPr>
          <w:trHeight w:val="288"/>
        </w:trPr>
        <w:tc>
          <w:tcPr>
            <w:tcW w:w="2324" w:type="dxa"/>
            <w:tcBorders>
              <w:top w:val="nil"/>
              <w:left w:val="nil"/>
              <w:bottom w:val="nil"/>
              <w:right w:val="nil"/>
            </w:tcBorders>
            <w:shd w:val="clear" w:color="000000" w:fill="F2F2F2"/>
            <w:noWrap/>
            <w:vAlign w:val="center"/>
            <w:hideMark/>
          </w:tcPr>
          <w:p w14:paraId="1007156B"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Fifth year or later</w:t>
            </w:r>
          </w:p>
        </w:tc>
        <w:tc>
          <w:tcPr>
            <w:tcW w:w="964" w:type="dxa"/>
            <w:tcBorders>
              <w:top w:val="nil"/>
              <w:left w:val="nil"/>
              <w:bottom w:val="nil"/>
              <w:right w:val="nil"/>
            </w:tcBorders>
            <w:shd w:val="clear" w:color="000000" w:fill="F2F2F2"/>
            <w:noWrap/>
            <w:vAlign w:val="center"/>
            <w:hideMark/>
          </w:tcPr>
          <w:p w14:paraId="7ACD6FB3"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w:t>
            </w:r>
          </w:p>
        </w:tc>
        <w:tc>
          <w:tcPr>
            <w:tcW w:w="1191" w:type="dxa"/>
            <w:tcBorders>
              <w:top w:val="nil"/>
              <w:left w:val="nil"/>
              <w:bottom w:val="nil"/>
              <w:right w:val="nil"/>
            </w:tcBorders>
            <w:shd w:val="clear" w:color="000000" w:fill="F2F2F2"/>
            <w:noWrap/>
            <w:vAlign w:val="center"/>
            <w:hideMark/>
          </w:tcPr>
          <w:p w14:paraId="36433152"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w:t>
            </w:r>
          </w:p>
        </w:tc>
        <w:tc>
          <w:tcPr>
            <w:tcW w:w="737" w:type="dxa"/>
            <w:tcBorders>
              <w:top w:val="nil"/>
              <w:left w:val="nil"/>
              <w:bottom w:val="nil"/>
              <w:right w:val="nil"/>
            </w:tcBorders>
            <w:shd w:val="clear" w:color="000000" w:fill="F2F2F2"/>
            <w:noWrap/>
            <w:vAlign w:val="center"/>
            <w:hideMark/>
          </w:tcPr>
          <w:p w14:paraId="4AC7E40A"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w:t>
            </w:r>
          </w:p>
        </w:tc>
        <w:tc>
          <w:tcPr>
            <w:tcW w:w="964" w:type="dxa"/>
            <w:tcBorders>
              <w:top w:val="nil"/>
              <w:left w:val="nil"/>
              <w:bottom w:val="nil"/>
              <w:right w:val="nil"/>
            </w:tcBorders>
            <w:shd w:val="clear" w:color="000000" w:fill="F2F2F2"/>
            <w:noWrap/>
            <w:vAlign w:val="center"/>
            <w:hideMark/>
          </w:tcPr>
          <w:p w14:paraId="718437E2"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3.0</w:t>
            </w:r>
          </w:p>
        </w:tc>
        <w:tc>
          <w:tcPr>
            <w:tcW w:w="1191" w:type="dxa"/>
            <w:tcBorders>
              <w:top w:val="nil"/>
              <w:left w:val="nil"/>
              <w:bottom w:val="nil"/>
              <w:right w:val="nil"/>
            </w:tcBorders>
            <w:shd w:val="clear" w:color="000000" w:fill="F2F2F2"/>
            <w:noWrap/>
            <w:vAlign w:val="center"/>
            <w:hideMark/>
          </w:tcPr>
          <w:p w14:paraId="7860DAA6"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0.0</w:t>
            </w:r>
          </w:p>
        </w:tc>
        <w:tc>
          <w:tcPr>
            <w:tcW w:w="737" w:type="dxa"/>
            <w:tcBorders>
              <w:top w:val="nil"/>
              <w:left w:val="nil"/>
              <w:bottom w:val="nil"/>
              <w:right w:val="nil"/>
            </w:tcBorders>
            <w:shd w:val="clear" w:color="000000" w:fill="F2F2F2"/>
            <w:noWrap/>
            <w:vAlign w:val="center"/>
            <w:hideMark/>
          </w:tcPr>
          <w:p w14:paraId="36B114C1"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1.1</w:t>
            </w:r>
          </w:p>
        </w:tc>
      </w:tr>
      <w:tr w:rsidR="00031521" w:rsidRPr="00B57CD1" w14:paraId="4C863E7B" w14:textId="08049377" w:rsidTr="001266F9">
        <w:trPr>
          <w:trHeight w:val="288"/>
        </w:trPr>
        <w:tc>
          <w:tcPr>
            <w:tcW w:w="8108" w:type="dxa"/>
            <w:gridSpan w:val="7"/>
            <w:tcBorders>
              <w:top w:val="nil"/>
              <w:left w:val="nil"/>
              <w:bottom w:val="nil"/>
            </w:tcBorders>
            <w:shd w:val="clear" w:color="000000" w:fill="F2F2F2"/>
            <w:noWrap/>
            <w:vAlign w:val="center"/>
            <w:hideMark/>
          </w:tcPr>
          <w:p w14:paraId="3299F088" w14:textId="395EBBAA" w:rsidR="00031521" w:rsidRPr="00B57CD1" w:rsidRDefault="00031521" w:rsidP="00031521">
            <w:pPr>
              <w:keepNext/>
              <w:spacing w:before="0" w:after="0" w:line="240" w:lineRule="auto"/>
              <w:rPr>
                <w:rFonts w:ascii="Times New Roman" w:hAnsi="Times New Roman"/>
                <w:color w:val="auto"/>
                <w:szCs w:val="20"/>
              </w:rPr>
            </w:pPr>
            <w:r w:rsidRPr="00B57CD1">
              <w:rPr>
                <w:rFonts w:ascii="Arial" w:hAnsi="Arial" w:cs="Arial"/>
                <w:b/>
                <w:bCs/>
                <w:color w:val="000000"/>
                <w:szCs w:val="20"/>
              </w:rPr>
              <w:t>Studied economics in year 11 and/or year 12</w:t>
            </w:r>
          </w:p>
        </w:tc>
      </w:tr>
      <w:tr w:rsidR="00B57CD1" w:rsidRPr="00B57CD1" w14:paraId="03081ADE" w14:textId="77777777" w:rsidTr="001266F9">
        <w:trPr>
          <w:trHeight w:val="288"/>
        </w:trPr>
        <w:tc>
          <w:tcPr>
            <w:tcW w:w="2324" w:type="dxa"/>
            <w:tcBorders>
              <w:top w:val="nil"/>
              <w:left w:val="nil"/>
              <w:bottom w:val="nil"/>
              <w:right w:val="nil"/>
            </w:tcBorders>
            <w:shd w:val="clear" w:color="000000" w:fill="F2F2F2"/>
            <w:noWrap/>
            <w:vAlign w:val="center"/>
            <w:hideMark/>
          </w:tcPr>
          <w:p w14:paraId="5517D3EB"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Yes</w:t>
            </w:r>
          </w:p>
        </w:tc>
        <w:tc>
          <w:tcPr>
            <w:tcW w:w="964" w:type="dxa"/>
            <w:tcBorders>
              <w:top w:val="nil"/>
              <w:left w:val="nil"/>
              <w:bottom w:val="nil"/>
              <w:right w:val="nil"/>
            </w:tcBorders>
            <w:shd w:val="clear" w:color="000000" w:fill="F2F2F2"/>
            <w:noWrap/>
            <w:vAlign w:val="center"/>
            <w:hideMark/>
          </w:tcPr>
          <w:p w14:paraId="0E29B30B"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18</w:t>
            </w:r>
          </w:p>
        </w:tc>
        <w:tc>
          <w:tcPr>
            <w:tcW w:w="1191" w:type="dxa"/>
            <w:tcBorders>
              <w:top w:val="nil"/>
              <w:left w:val="nil"/>
              <w:bottom w:val="nil"/>
              <w:right w:val="nil"/>
            </w:tcBorders>
            <w:shd w:val="clear" w:color="000000" w:fill="F2F2F2"/>
            <w:noWrap/>
            <w:vAlign w:val="center"/>
            <w:hideMark/>
          </w:tcPr>
          <w:p w14:paraId="70C66A36"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31</w:t>
            </w:r>
          </w:p>
        </w:tc>
        <w:tc>
          <w:tcPr>
            <w:tcW w:w="737" w:type="dxa"/>
            <w:tcBorders>
              <w:top w:val="nil"/>
              <w:left w:val="nil"/>
              <w:bottom w:val="nil"/>
              <w:right w:val="nil"/>
            </w:tcBorders>
            <w:shd w:val="clear" w:color="000000" w:fill="F2F2F2"/>
            <w:noWrap/>
            <w:vAlign w:val="center"/>
            <w:hideMark/>
          </w:tcPr>
          <w:p w14:paraId="06E582D2"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49</w:t>
            </w:r>
          </w:p>
        </w:tc>
        <w:tc>
          <w:tcPr>
            <w:tcW w:w="964" w:type="dxa"/>
            <w:tcBorders>
              <w:top w:val="nil"/>
              <w:left w:val="nil"/>
              <w:bottom w:val="nil"/>
              <w:right w:val="nil"/>
            </w:tcBorders>
            <w:shd w:val="clear" w:color="000000" w:fill="F2F2F2"/>
            <w:noWrap/>
            <w:vAlign w:val="center"/>
            <w:hideMark/>
          </w:tcPr>
          <w:p w14:paraId="2DD866AA"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54.5</w:t>
            </w:r>
          </w:p>
        </w:tc>
        <w:tc>
          <w:tcPr>
            <w:tcW w:w="1191" w:type="dxa"/>
            <w:tcBorders>
              <w:top w:val="nil"/>
              <w:left w:val="nil"/>
              <w:bottom w:val="nil"/>
              <w:right w:val="nil"/>
            </w:tcBorders>
            <w:shd w:val="clear" w:color="000000" w:fill="F2F2F2"/>
            <w:noWrap/>
            <w:vAlign w:val="center"/>
            <w:hideMark/>
          </w:tcPr>
          <w:p w14:paraId="61E76052"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56.4</w:t>
            </w:r>
          </w:p>
        </w:tc>
        <w:tc>
          <w:tcPr>
            <w:tcW w:w="737" w:type="dxa"/>
            <w:tcBorders>
              <w:top w:val="nil"/>
              <w:left w:val="nil"/>
              <w:bottom w:val="nil"/>
              <w:right w:val="nil"/>
            </w:tcBorders>
            <w:shd w:val="clear" w:color="000000" w:fill="F2F2F2"/>
            <w:noWrap/>
            <w:vAlign w:val="center"/>
            <w:hideMark/>
          </w:tcPr>
          <w:p w14:paraId="04671E75"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55.7</w:t>
            </w:r>
          </w:p>
        </w:tc>
      </w:tr>
      <w:tr w:rsidR="00B57CD1" w:rsidRPr="00B57CD1" w14:paraId="303FE0C4" w14:textId="77777777" w:rsidTr="001266F9">
        <w:trPr>
          <w:trHeight w:val="288"/>
        </w:trPr>
        <w:tc>
          <w:tcPr>
            <w:tcW w:w="2324" w:type="dxa"/>
            <w:tcBorders>
              <w:top w:val="nil"/>
              <w:left w:val="nil"/>
              <w:bottom w:val="nil"/>
              <w:right w:val="nil"/>
            </w:tcBorders>
            <w:shd w:val="clear" w:color="000000" w:fill="F2F2F2"/>
            <w:noWrap/>
            <w:vAlign w:val="center"/>
            <w:hideMark/>
          </w:tcPr>
          <w:p w14:paraId="68FB5824"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No</w:t>
            </w:r>
          </w:p>
        </w:tc>
        <w:tc>
          <w:tcPr>
            <w:tcW w:w="964" w:type="dxa"/>
            <w:tcBorders>
              <w:top w:val="nil"/>
              <w:left w:val="nil"/>
              <w:bottom w:val="nil"/>
              <w:right w:val="nil"/>
            </w:tcBorders>
            <w:shd w:val="clear" w:color="000000" w:fill="F2F2F2"/>
            <w:noWrap/>
            <w:vAlign w:val="center"/>
            <w:hideMark/>
          </w:tcPr>
          <w:p w14:paraId="0D713E57"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15</w:t>
            </w:r>
          </w:p>
        </w:tc>
        <w:tc>
          <w:tcPr>
            <w:tcW w:w="1191" w:type="dxa"/>
            <w:tcBorders>
              <w:top w:val="nil"/>
              <w:left w:val="nil"/>
              <w:bottom w:val="nil"/>
              <w:right w:val="nil"/>
            </w:tcBorders>
            <w:shd w:val="clear" w:color="000000" w:fill="F2F2F2"/>
            <w:noWrap/>
            <w:vAlign w:val="center"/>
            <w:hideMark/>
          </w:tcPr>
          <w:p w14:paraId="4C71513E"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24</w:t>
            </w:r>
          </w:p>
        </w:tc>
        <w:tc>
          <w:tcPr>
            <w:tcW w:w="737" w:type="dxa"/>
            <w:tcBorders>
              <w:top w:val="nil"/>
              <w:left w:val="nil"/>
              <w:bottom w:val="nil"/>
              <w:right w:val="nil"/>
            </w:tcBorders>
            <w:shd w:val="clear" w:color="000000" w:fill="F2F2F2"/>
            <w:noWrap/>
            <w:vAlign w:val="center"/>
            <w:hideMark/>
          </w:tcPr>
          <w:p w14:paraId="324695DC"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39</w:t>
            </w:r>
          </w:p>
        </w:tc>
        <w:tc>
          <w:tcPr>
            <w:tcW w:w="964" w:type="dxa"/>
            <w:tcBorders>
              <w:top w:val="nil"/>
              <w:left w:val="nil"/>
              <w:bottom w:val="nil"/>
              <w:right w:val="nil"/>
            </w:tcBorders>
            <w:shd w:val="clear" w:color="000000" w:fill="F2F2F2"/>
            <w:noWrap/>
            <w:vAlign w:val="center"/>
            <w:hideMark/>
          </w:tcPr>
          <w:p w14:paraId="58EFE6B2"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45.5</w:t>
            </w:r>
          </w:p>
        </w:tc>
        <w:tc>
          <w:tcPr>
            <w:tcW w:w="1191" w:type="dxa"/>
            <w:tcBorders>
              <w:top w:val="nil"/>
              <w:left w:val="nil"/>
              <w:bottom w:val="nil"/>
              <w:right w:val="nil"/>
            </w:tcBorders>
            <w:shd w:val="clear" w:color="000000" w:fill="F2F2F2"/>
            <w:noWrap/>
            <w:vAlign w:val="center"/>
            <w:hideMark/>
          </w:tcPr>
          <w:p w14:paraId="06722956"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43.6</w:t>
            </w:r>
          </w:p>
        </w:tc>
        <w:tc>
          <w:tcPr>
            <w:tcW w:w="737" w:type="dxa"/>
            <w:tcBorders>
              <w:top w:val="nil"/>
              <w:left w:val="nil"/>
              <w:bottom w:val="nil"/>
              <w:right w:val="nil"/>
            </w:tcBorders>
            <w:shd w:val="clear" w:color="000000" w:fill="F2F2F2"/>
            <w:noWrap/>
            <w:vAlign w:val="center"/>
            <w:hideMark/>
          </w:tcPr>
          <w:p w14:paraId="64A88695"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44.3</w:t>
            </w:r>
          </w:p>
        </w:tc>
      </w:tr>
      <w:tr w:rsidR="00031521" w:rsidRPr="00B57CD1" w14:paraId="71D3ED38" w14:textId="19FBF5A8" w:rsidTr="001266F9">
        <w:trPr>
          <w:trHeight w:val="288"/>
        </w:trPr>
        <w:tc>
          <w:tcPr>
            <w:tcW w:w="8108" w:type="dxa"/>
            <w:gridSpan w:val="7"/>
            <w:tcBorders>
              <w:top w:val="nil"/>
              <w:left w:val="nil"/>
              <w:bottom w:val="nil"/>
            </w:tcBorders>
            <w:shd w:val="clear" w:color="000000" w:fill="F2F2F2"/>
            <w:noWrap/>
            <w:vAlign w:val="center"/>
            <w:hideMark/>
          </w:tcPr>
          <w:p w14:paraId="720BF3AD" w14:textId="0AB560ED" w:rsidR="00031521" w:rsidRPr="00B57CD1" w:rsidRDefault="00031521" w:rsidP="00031521">
            <w:pPr>
              <w:keepNext/>
              <w:spacing w:before="0" w:after="0" w:line="240" w:lineRule="auto"/>
              <w:rPr>
                <w:rFonts w:ascii="Times New Roman" w:hAnsi="Times New Roman"/>
                <w:color w:val="auto"/>
                <w:szCs w:val="20"/>
              </w:rPr>
            </w:pPr>
            <w:r w:rsidRPr="00B57CD1">
              <w:rPr>
                <w:rFonts w:ascii="Arial" w:hAnsi="Arial" w:cs="Arial"/>
                <w:b/>
                <w:bCs/>
                <w:color w:val="000000"/>
                <w:szCs w:val="20"/>
              </w:rPr>
              <w:t>Currently studying full-time or part-time?</w:t>
            </w:r>
          </w:p>
        </w:tc>
      </w:tr>
      <w:tr w:rsidR="00B57CD1" w:rsidRPr="00B57CD1" w14:paraId="06624FEA" w14:textId="77777777" w:rsidTr="001266F9">
        <w:trPr>
          <w:trHeight w:val="288"/>
        </w:trPr>
        <w:tc>
          <w:tcPr>
            <w:tcW w:w="2324" w:type="dxa"/>
            <w:tcBorders>
              <w:top w:val="nil"/>
              <w:left w:val="nil"/>
              <w:bottom w:val="nil"/>
              <w:right w:val="nil"/>
            </w:tcBorders>
            <w:shd w:val="clear" w:color="000000" w:fill="F2F2F2"/>
            <w:noWrap/>
            <w:vAlign w:val="center"/>
            <w:hideMark/>
          </w:tcPr>
          <w:p w14:paraId="6A4065B8"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Full-time</w:t>
            </w:r>
          </w:p>
        </w:tc>
        <w:tc>
          <w:tcPr>
            <w:tcW w:w="964" w:type="dxa"/>
            <w:tcBorders>
              <w:top w:val="nil"/>
              <w:left w:val="nil"/>
              <w:bottom w:val="nil"/>
              <w:right w:val="nil"/>
            </w:tcBorders>
            <w:shd w:val="clear" w:color="000000" w:fill="F2F2F2"/>
            <w:noWrap/>
            <w:vAlign w:val="center"/>
            <w:hideMark/>
          </w:tcPr>
          <w:p w14:paraId="438B35A9"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31</w:t>
            </w:r>
          </w:p>
        </w:tc>
        <w:tc>
          <w:tcPr>
            <w:tcW w:w="1191" w:type="dxa"/>
            <w:tcBorders>
              <w:top w:val="nil"/>
              <w:left w:val="nil"/>
              <w:bottom w:val="nil"/>
              <w:right w:val="nil"/>
            </w:tcBorders>
            <w:shd w:val="clear" w:color="000000" w:fill="F2F2F2"/>
            <w:noWrap/>
            <w:vAlign w:val="center"/>
            <w:hideMark/>
          </w:tcPr>
          <w:p w14:paraId="4E966ADC"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54</w:t>
            </w:r>
          </w:p>
        </w:tc>
        <w:tc>
          <w:tcPr>
            <w:tcW w:w="737" w:type="dxa"/>
            <w:tcBorders>
              <w:top w:val="nil"/>
              <w:left w:val="nil"/>
              <w:bottom w:val="nil"/>
              <w:right w:val="nil"/>
            </w:tcBorders>
            <w:shd w:val="clear" w:color="000000" w:fill="F2F2F2"/>
            <w:noWrap/>
            <w:vAlign w:val="center"/>
            <w:hideMark/>
          </w:tcPr>
          <w:p w14:paraId="7B8E6B49"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85</w:t>
            </w:r>
          </w:p>
        </w:tc>
        <w:tc>
          <w:tcPr>
            <w:tcW w:w="964" w:type="dxa"/>
            <w:tcBorders>
              <w:top w:val="nil"/>
              <w:left w:val="nil"/>
              <w:bottom w:val="nil"/>
              <w:right w:val="nil"/>
            </w:tcBorders>
            <w:shd w:val="clear" w:color="000000" w:fill="F2F2F2"/>
            <w:noWrap/>
            <w:vAlign w:val="center"/>
            <w:hideMark/>
          </w:tcPr>
          <w:p w14:paraId="21B6C8E8"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93.9</w:t>
            </w:r>
          </w:p>
        </w:tc>
        <w:tc>
          <w:tcPr>
            <w:tcW w:w="1191" w:type="dxa"/>
            <w:tcBorders>
              <w:top w:val="nil"/>
              <w:left w:val="nil"/>
              <w:bottom w:val="nil"/>
              <w:right w:val="nil"/>
            </w:tcBorders>
            <w:shd w:val="clear" w:color="000000" w:fill="F2F2F2"/>
            <w:noWrap/>
            <w:vAlign w:val="center"/>
            <w:hideMark/>
          </w:tcPr>
          <w:p w14:paraId="7C4629A5"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98.2</w:t>
            </w:r>
          </w:p>
        </w:tc>
        <w:tc>
          <w:tcPr>
            <w:tcW w:w="737" w:type="dxa"/>
            <w:tcBorders>
              <w:top w:val="nil"/>
              <w:left w:val="nil"/>
              <w:bottom w:val="nil"/>
              <w:right w:val="nil"/>
            </w:tcBorders>
            <w:shd w:val="clear" w:color="000000" w:fill="F2F2F2"/>
            <w:noWrap/>
            <w:vAlign w:val="center"/>
            <w:hideMark/>
          </w:tcPr>
          <w:p w14:paraId="2AB89614"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96.6</w:t>
            </w:r>
          </w:p>
        </w:tc>
      </w:tr>
      <w:tr w:rsidR="00B57CD1" w:rsidRPr="00B57CD1" w14:paraId="55EF27D0" w14:textId="77777777" w:rsidTr="001266F9">
        <w:trPr>
          <w:trHeight w:val="288"/>
        </w:trPr>
        <w:tc>
          <w:tcPr>
            <w:tcW w:w="2324" w:type="dxa"/>
            <w:tcBorders>
              <w:top w:val="nil"/>
              <w:left w:val="nil"/>
              <w:bottom w:val="nil"/>
              <w:right w:val="nil"/>
            </w:tcBorders>
            <w:shd w:val="clear" w:color="000000" w:fill="F2F2F2"/>
            <w:noWrap/>
            <w:vAlign w:val="center"/>
            <w:hideMark/>
          </w:tcPr>
          <w:p w14:paraId="04A084E6"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Part-time</w:t>
            </w:r>
          </w:p>
        </w:tc>
        <w:tc>
          <w:tcPr>
            <w:tcW w:w="964" w:type="dxa"/>
            <w:tcBorders>
              <w:top w:val="nil"/>
              <w:left w:val="nil"/>
              <w:bottom w:val="nil"/>
              <w:right w:val="nil"/>
            </w:tcBorders>
            <w:shd w:val="clear" w:color="000000" w:fill="F2F2F2"/>
            <w:noWrap/>
            <w:vAlign w:val="center"/>
            <w:hideMark/>
          </w:tcPr>
          <w:p w14:paraId="1D172A92"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2</w:t>
            </w:r>
          </w:p>
        </w:tc>
        <w:tc>
          <w:tcPr>
            <w:tcW w:w="1191" w:type="dxa"/>
            <w:tcBorders>
              <w:top w:val="nil"/>
              <w:left w:val="nil"/>
              <w:bottom w:val="nil"/>
              <w:right w:val="nil"/>
            </w:tcBorders>
            <w:shd w:val="clear" w:color="000000" w:fill="F2F2F2"/>
            <w:noWrap/>
            <w:vAlign w:val="center"/>
            <w:hideMark/>
          </w:tcPr>
          <w:p w14:paraId="1CC8F3AA"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1</w:t>
            </w:r>
          </w:p>
        </w:tc>
        <w:tc>
          <w:tcPr>
            <w:tcW w:w="737" w:type="dxa"/>
            <w:tcBorders>
              <w:top w:val="nil"/>
              <w:left w:val="nil"/>
              <w:bottom w:val="nil"/>
              <w:right w:val="nil"/>
            </w:tcBorders>
            <w:shd w:val="clear" w:color="000000" w:fill="F2F2F2"/>
            <w:noWrap/>
            <w:vAlign w:val="center"/>
            <w:hideMark/>
          </w:tcPr>
          <w:p w14:paraId="64388551"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3</w:t>
            </w:r>
          </w:p>
        </w:tc>
        <w:tc>
          <w:tcPr>
            <w:tcW w:w="964" w:type="dxa"/>
            <w:tcBorders>
              <w:top w:val="nil"/>
              <w:left w:val="nil"/>
              <w:bottom w:val="nil"/>
              <w:right w:val="nil"/>
            </w:tcBorders>
            <w:shd w:val="clear" w:color="000000" w:fill="F2F2F2"/>
            <w:noWrap/>
            <w:vAlign w:val="center"/>
            <w:hideMark/>
          </w:tcPr>
          <w:p w14:paraId="675F55FB"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6.1</w:t>
            </w:r>
          </w:p>
        </w:tc>
        <w:tc>
          <w:tcPr>
            <w:tcW w:w="1191" w:type="dxa"/>
            <w:tcBorders>
              <w:top w:val="nil"/>
              <w:left w:val="nil"/>
              <w:bottom w:val="nil"/>
              <w:right w:val="nil"/>
            </w:tcBorders>
            <w:shd w:val="clear" w:color="000000" w:fill="F2F2F2"/>
            <w:noWrap/>
            <w:vAlign w:val="center"/>
            <w:hideMark/>
          </w:tcPr>
          <w:p w14:paraId="4F726B0E"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1.8</w:t>
            </w:r>
          </w:p>
        </w:tc>
        <w:tc>
          <w:tcPr>
            <w:tcW w:w="737" w:type="dxa"/>
            <w:tcBorders>
              <w:top w:val="nil"/>
              <w:left w:val="nil"/>
              <w:bottom w:val="nil"/>
              <w:right w:val="nil"/>
            </w:tcBorders>
            <w:shd w:val="clear" w:color="000000" w:fill="F2F2F2"/>
            <w:noWrap/>
            <w:vAlign w:val="center"/>
            <w:hideMark/>
          </w:tcPr>
          <w:p w14:paraId="7381CF00"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3.4</w:t>
            </w:r>
          </w:p>
        </w:tc>
      </w:tr>
      <w:tr w:rsidR="00031521" w:rsidRPr="00B57CD1" w14:paraId="7A837843" w14:textId="23754FE9" w:rsidTr="001266F9">
        <w:trPr>
          <w:trHeight w:val="288"/>
        </w:trPr>
        <w:tc>
          <w:tcPr>
            <w:tcW w:w="8108" w:type="dxa"/>
            <w:gridSpan w:val="7"/>
            <w:tcBorders>
              <w:top w:val="nil"/>
              <w:left w:val="nil"/>
              <w:bottom w:val="nil"/>
            </w:tcBorders>
            <w:shd w:val="clear" w:color="000000" w:fill="F2F2F2"/>
            <w:noWrap/>
            <w:vAlign w:val="center"/>
            <w:hideMark/>
          </w:tcPr>
          <w:p w14:paraId="66875BE8" w14:textId="4D293A69" w:rsidR="00031521" w:rsidRPr="00B57CD1" w:rsidRDefault="00031521" w:rsidP="00031521">
            <w:pPr>
              <w:keepNext/>
              <w:spacing w:before="0" w:after="0" w:line="240" w:lineRule="auto"/>
              <w:rPr>
                <w:rFonts w:ascii="Times New Roman" w:hAnsi="Times New Roman"/>
                <w:color w:val="auto"/>
                <w:szCs w:val="20"/>
              </w:rPr>
            </w:pPr>
            <w:r w:rsidRPr="00B57CD1">
              <w:rPr>
                <w:rFonts w:ascii="Arial" w:hAnsi="Arial" w:cs="Arial"/>
                <w:b/>
                <w:bCs/>
                <w:color w:val="000000"/>
                <w:szCs w:val="20"/>
              </w:rPr>
              <w:t>Mother or father's highest qualification (whichever is highest)</w:t>
            </w:r>
          </w:p>
        </w:tc>
      </w:tr>
      <w:tr w:rsidR="00B57CD1" w:rsidRPr="00B57CD1" w14:paraId="71816C25" w14:textId="77777777" w:rsidTr="001266F9">
        <w:trPr>
          <w:trHeight w:val="288"/>
        </w:trPr>
        <w:tc>
          <w:tcPr>
            <w:tcW w:w="2324" w:type="dxa"/>
            <w:tcBorders>
              <w:top w:val="nil"/>
              <w:left w:val="nil"/>
              <w:bottom w:val="nil"/>
              <w:right w:val="nil"/>
            </w:tcBorders>
            <w:shd w:val="clear" w:color="000000" w:fill="F2F2F2"/>
            <w:noWrap/>
            <w:vAlign w:val="center"/>
            <w:hideMark/>
          </w:tcPr>
          <w:p w14:paraId="20A9A9BD"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Postgraduate degree</w:t>
            </w:r>
          </w:p>
        </w:tc>
        <w:tc>
          <w:tcPr>
            <w:tcW w:w="964" w:type="dxa"/>
            <w:tcBorders>
              <w:top w:val="nil"/>
              <w:left w:val="nil"/>
              <w:bottom w:val="nil"/>
              <w:right w:val="nil"/>
            </w:tcBorders>
            <w:shd w:val="clear" w:color="000000" w:fill="F2F2F2"/>
            <w:noWrap/>
            <w:vAlign w:val="center"/>
            <w:hideMark/>
          </w:tcPr>
          <w:p w14:paraId="27E17F5E"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11</w:t>
            </w:r>
          </w:p>
        </w:tc>
        <w:tc>
          <w:tcPr>
            <w:tcW w:w="1191" w:type="dxa"/>
            <w:tcBorders>
              <w:top w:val="nil"/>
              <w:left w:val="nil"/>
              <w:bottom w:val="nil"/>
              <w:right w:val="nil"/>
            </w:tcBorders>
            <w:shd w:val="clear" w:color="000000" w:fill="F2F2F2"/>
            <w:noWrap/>
            <w:vAlign w:val="center"/>
            <w:hideMark/>
          </w:tcPr>
          <w:p w14:paraId="10E00C79"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25</w:t>
            </w:r>
          </w:p>
        </w:tc>
        <w:tc>
          <w:tcPr>
            <w:tcW w:w="737" w:type="dxa"/>
            <w:tcBorders>
              <w:top w:val="nil"/>
              <w:left w:val="nil"/>
              <w:bottom w:val="nil"/>
              <w:right w:val="nil"/>
            </w:tcBorders>
            <w:shd w:val="clear" w:color="000000" w:fill="F2F2F2"/>
            <w:noWrap/>
            <w:vAlign w:val="center"/>
            <w:hideMark/>
          </w:tcPr>
          <w:p w14:paraId="7E4B30D4"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36</w:t>
            </w:r>
          </w:p>
        </w:tc>
        <w:tc>
          <w:tcPr>
            <w:tcW w:w="964" w:type="dxa"/>
            <w:tcBorders>
              <w:top w:val="nil"/>
              <w:left w:val="nil"/>
              <w:bottom w:val="nil"/>
              <w:right w:val="nil"/>
            </w:tcBorders>
            <w:shd w:val="clear" w:color="000000" w:fill="F2F2F2"/>
            <w:noWrap/>
            <w:vAlign w:val="center"/>
            <w:hideMark/>
          </w:tcPr>
          <w:p w14:paraId="259D4208"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33.3</w:t>
            </w:r>
          </w:p>
        </w:tc>
        <w:tc>
          <w:tcPr>
            <w:tcW w:w="1191" w:type="dxa"/>
            <w:tcBorders>
              <w:top w:val="nil"/>
              <w:left w:val="nil"/>
              <w:bottom w:val="nil"/>
              <w:right w:val="nil"/>
            </w:tcBorders>
            <w:shd w:val="clear" w:color="000000" w:fill="F2F2F2"/>
            <w:noWrap/>
            <w:vAlign w:val="center"/>
            <w:hideMark/>
          </w:tcPr>
          <w:p w14:paraId="1CFB010E"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45.5</w:t>
            </w:r>
          </w:p>
        </w:tc>
        <w:tc>
          <w:tcPr>
            <w:tcW w:w="737" w:type="dxa"/>
            <w:tcBorders>
              <w:top w:val="nil"/>
              <w:left w:val="nil"/>
              <w:bottom w:val="nil"/>
              <w:right w:val="nil"/>
            </w:tcBorders>
            <w:shd w:val="clear" w:color="000000" w:fill="F2F2F2"/>
            <w:noWrap/>
            <w:vAlign w:val="center"/>
            <w:hideMark/>
          </w:tcPr>
          <w:p w14:paraId="646428E3"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40.9</w:t>
            </w:r>
          </w:p>
        </w:tc>
      </w:tr>
      <w:tr w:rsidR="00B57CD1" w:rsidRPr="00B57CD1" w14:paraId="7B6B9E72" w14:textId="77777777" w:rsidTr="001266F9">
        <w:trPr>
          <w:trHeight w:val="288"/>
        </w:trPr>
        <w:tc>
          <w:tcPr>
            <w:tcW w:w="2324" w:type="dxa"/>
            <w:tcBorders>
              <w:top w:val="nil"/>
              <w:left w:val="nil"/>
              <w:bottom w:val="nil"/>
              <w:right w:val="nil"/>
            </w:tcBorders>
            <w:shd w:val="clear" w:color="000000" w:fill="F2F2F2"/>
            <w:noWrap/>
            <w:vAlign w:val="center"/>
            <w:hideMark/>
          </w:tcPr>
          <w:p w14:paraId="0D1EC5EC"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Bachelor's degree</w:t>
            </w:r>
          </w:p>
        </w:tc>
        <w:tc>
          <w:tcPr>
            <w:tcW w:w="964" w:type="dxa"/>
            <w:tcBorders>
              <w:top w:val="nil"/>
              <w:left w:val="nil"/>
              <w:bottom w:val="nil"/>
              <w:right w:val="nil"/>
            </w:tcBorders>
            <w:shd w:val="clear" w:color="000000" w:fill="F2F2F2"/>
            <w:noWrap/>
            <w:vAlign w:val="center"/>
            <w:hideMark/>
          </w:tcPr>
          <w:p w14:paraId="709BB996"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18</w:t>
            </w:r>
          </w:p>
        </w:tc>
        <w:tc>
          <w:tcPr>
            <w:tcW w:w="1191" w:type="dxa"/>
            <w:tcBorders>
              <w:top w:val="nil"/>
              <w:left w:val="nil"/>
              <w:bottom w:val="nil"/>
              <w:right w:val="nil"/>
            </w:tcBorders>
            <w:shd w:val="clear" w:color="000000" w:fill="F2F2F2"/>
            <w:noWrap/>
            <w:vAlign w:val="center"/>
            <w:hideMark/>
          </w:tcPr>
          <w:p w14:paraId="212B9AF1"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25</w:t>
            </w:r>
          </w:p>
        </w:tc>
        <w:tc>
          <w:tcPr>
            <w:tcW w:w="737" w:type="dxa"/>
            <w:tcBorders>
              <w:top w:val="nil"/>
              <w:left w:val="nil"/>
              <w:bottom w:val="nil"/>
              <w:right w:val="nil"/>
            </w:tcBorders>
            <w:shd w:val="clear" w:color="000000" w:fill="F2F2F2"/>
            <w:noWrap/>
            <w:vAlign w:val="center"/>
            <w:hideMark/>
          </w:tcPr>
          <w:p w14:paraId="20E3D550"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43</w:t>
            </w:r>
          </w:p>
        </w:tc>
        <w:tc>
          <w:tcPr>
            <w:tcW w:w="964" w:type="dxa"/>
            <w:tcBorders>
              <w:top w:val="nil"/>
              <w:left w:val="nil"/>
              <w:bottom w:val="nil"/>
              <w:right w:val="nil"/>
            </w:tcBorders>
            <w:shd w:val="clear" w:color="000000" w:fill="F2F2F2"/>
            <w:noWrap/>
            <w:vAlign w:val="center"/>
            <w:hideMark/>
          </w:tcPr>
          <w:p w14:paraId="5F7B15A8"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54.5</w:t>
            </w:r>
          </w:p>
        </w:tc>
        <w:tc>
          <w:tcPr>
            <w:tcW w:w="1191" w:type="dxa"/>
            <w:tcBorders>
              <w:top w:val="nil"/>
              <w:left w:val="nil"/>
              <w:bottom w:val="nil"/>
              <w:right w:val="nil"/>
            </w:tcBorders>
            <w:shd w:val="clear" w:color="000000" w:fill="F2F2F2"/>
            <w:noWrap/>
            <w:vAlign w:val="center"/>
            <w:hideMark/>
          </w:tcPr>
          <w:p w14:paraId="0FFAC5B2"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45.5</w:t>
            </w:r>
          </w:p>
        </w:tc>
        <w:tc>
          <w:tcPr>
            <w:tcW w:w="737" w:type="dxa"/>
            <w:tcBorders>
              <w:top w:val="nil"/>
              <w:left w:val="nil"/>
              <w:bottom w:val="nil"/>
              <w:right w:val="nil"/>
            </w:tcBorders>
            <w:shd w:val="clear" w:color="000000" w:fill="F2F2F2"/>
            <w:noWrap/>
            <w:vAlign w:val="center"/>
            <w:hideMark/>
          </w:tcPr>
          <w:p w14:paraId="227EF437"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48.9</w:t>
            </w:r>
          </w:p>
        </w:tc>
      </w:tr>
      <w:tr w:rsidR="00B57CD1" w:rsidRPr="00B57CD1" w14:paraId="05D7CE4E" w14:textId="77777777" w:rsidTr="001266F9">
        <w:trPr>
          <w:trHeight w:val="288"/>
        </w:trPr>
        <w:tc>
          <w:tcPr>
            <w:tcW w:w="2324" w:type="dxa"/>
            <w:tcBorders>
              <w:top w:val="nil"/>
              <w:left w:val="nil"/>
              <w:bottom w:val="nil"/>
              <w:right w:val="nil"/>
            </w:tcBorders>
            <w:shd w:val="clear" w:color="000000" w:fill="F2F2F2"/>
            <w:noWrap/>
            <w:vAlign w:val="center"/>
            <w:hideMark/>
          </w:tcPr>
          <w:p w14:paraId="6AAA6BA8"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Completed Year 12</w:t>
            </w:r>
          </w:p>
        </w:tc>
        <w:tc>
          <w:tcPr>
            <w:tcW w:w="964" w:type="dxa"/>
            <w:tcBorders>
              <w:top w:val="nil"/>
              <w:left w:val="nil"/>
              <w:bottom w:val="nil"/>
              <w:right w:val="nil"/>
            </w:tcBorders>
            <w:shd w:val="clear" w:color="000000" w:fill="F2F2F2"/>
            <w:noWrap/>
            <w:vAlign w:val="center"/>
            <w:hideMark/>
          </w:tcPr>
          <w:p w14:paraId="26F0E9C5"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3</w:t>
            </w:r>
          </w:p>
        </w:tc>
        <w:tc>
          <w:tcPr>
            <w:tcW w:w="1191" w:type="dxa"/>
            <w:tcBorders>
              <w:top w:val="nil"/>
              <w:left w:val="nil"/>
              <w:bottom w:val="nil"/>
              <w:right w:val="nil"/>
            </w:tcBorders>
            <w:shd w:val="clear" w:color="000000" w:fill="F2F2F2"/>
            <w:noWrap/>
            <w:vAlign w:val="center"/>
            <w:hideMark/>
          </w:tcPr>
          <w:p w14:paraId="0344E6F6"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4</w:t>
            </w:r>
          </w:p>
        </w:tc>
        <w:tc>
          <w:tcPr>
            <w:tcW w:w="737" w:type="dxa"/>
            <w:tcBorders>
              <w:top w:val="nil"/>
              <w:left w:val="nil"/>
              <w:bottom w:val="nil"/>
              <w:right w:val="nil"/>
            </w:tcBorders>
            <w:shd w:val="clear" w:color="000000" w:fill="F2F2F2"/>
            <w:noWrap/>
            <w:vAlign w:val="center"/>
            <w:hideMark/>
          </w:tcPr>
          <w:p w14:paraId="055D2E48"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7</w:t>
            </w:r>
          </w:p>
        </w:tc>
        <w:tc>
          <w:tcPr>
            <w:tcW w:w="964" w:type="dxa"/>
            <w:tcBorders>
              <w:top w:val="nil"/>
              <w:left w:val="nil"/>
              <w:bottom w:val="nil"/>
              <w:right w:val="nil"/>
            </w:tcBorders>
            <w:shd w:val="clear" w:color="000000" w:fill="F2F2F2"/>
            <w:noWrap/>
            <w:vAlign w:val="center"/>
            <w:hideMark/>
          </w:tcPr>
          <w:p w14:paraId="62C53B80"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9.1</w:t>
            </w:r>
          </w:p>
        </w:tc>
        <w:tc>
          <w:tcPr>
            <w:tcW w:w="1191" w:type="dxa"/>
            <w:tcBorders>
              <w:top w:val="nil"/>
              <w:left w:val="nil"/>
              <w:bottom w:val="nil"/>
              <w:right w:val="nil"/>
            </w:tcBorders>
            <w:shd w:val="clear" w:color="000000" w:fill="F2F2F2"/>
            <w:noWrap/>
            <w:vAlign w:val="center"/>
            <w:hideMark/>
          </w:tcPr>
          <w:p w14:paraId="438888F0"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7.3</w:t>
            </w:r>
          </w:p>
        </w:tc>
        <w:tc>
          <w:tcPr>
            <w:tcW w:w="737" w:type="dxa"/>
            <w:tcBorders>
              <w:top w:val="nil"/>
              <w:left w:val="nil"/>
              <w:bottom w:val="nil"/>
              <w:right w:val="nil"/>
            </w:tcBorders>
            <w:shd w:val="clear" w:color="000000" w:fill="F2F2F2"/>
            <w:noWrap/>
            <w:vAlign w:val="center"/>
            <w:hideMark/>
          </w:tcPr>
          <w:p w14:paraId="67FA3BDF"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8.0</w:t>
            </w:r>
          </w:p>
        </w:tc>
      </w:tr>
      <w:tr w:rsidR="00B57CD1" w:rsidRPr="00B57CD1" w14:paraId="1F55AF29" w14:textId="77777777" w:rsidTr="001266F9">
        <w:trPr>
          <w:trHeight w:val="528"/>
        </w:trPr>
        <w:tc>
          <w:tcPr>
            <w:tcW w:w="2324" w:type="dxa"/>
            <w:tcBorders>
              <w:top w:val="nil"/>
              <w:left w:val="nil"/>
              <w:bottom w:val="nil"/>
              <w:right w:val="nil"/>
            </w:tcBorders>
            <w:shd w:val="clear" w:color="000000" w:fill="F2F2F2"/>
            <w:vAlign w:val="center"/>
            <w:hideMark/>
          </w:tcPr>
          <w:p w14:paraId="43123637"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Completed high school (but not to Year 12)</w:t>
            </w:r>
          </w:p>
        </w:tc>
        <w:tc>
          <w:tcPr>
            <w:tcW w:w="964" w:type="dxa"/>
            <w:tcBorders>
              <w:top w:val="nil"/>
              <w:left w:val="nil"/>
              <w:bottom w:val="nil"/>
              <w:right w:val="nil"/>
            </w:tcBorders>
            <w:shd w:val="clear" w:color="000000" w:fill="F2F2F2"/>
            <w:noWrap/>
            <w:vAlign w:val="center"/>
            <w:hideMark/>
          </w:tcPr>
          <w:p w14:paraId="2CB6B872"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1</w:t>
            </w:r>
          </w:p>
        </w:tc>
        <w:tc>
          <w:tcPr>
            <w:tcW w:w="1191" w:type="dxa"/>
            <w:tcBorders>
              <w:top w:val="nil"/>
              <w:left w:val="nil"/>
              <w:bottom w:val="nil"/>
              <w:right w:val="nil"/>
            </w:tcBorders>
            <w:shd w:val="clear" w:color="000000" w:fill="F2F2F2"/>
            <w:noWrap/>
            <w:vAlign w:val="center"/>
            <w:hideMark/>
          </w:tcPr>
          <w:p w14:paraId="78CEA66E"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1</w:t>
            </w:r>
          </w:p>
        </w:tc>
        <w:tc>
          <w:tcPr>
            <w:tcW w:w="737" w:type="dxa"/>
            <w:tcBorders>
              <w:top w:val="nil"/>
              <w:left w:val="nil"/>
              <w:bottom w:val="nil"/>
              <w:right w:val="nil"/>
            </w:tcBorders>
            <w:shd w:val="clear" w:color="000000" w:fill="F2F2F2"/>
            <w:noWrap/>
            <w:vAlign w:val="center"/>
            <w:hideMark/>
          </w:tcPr>
          <w:p w14:paraId="2AD3D2EE"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2</w:t>
            </w:r>
          </w:p>
        </w:tc>
        <w:tc>
          <w:tcPr>
            <w:tcW w:w="964" w:type="dxa"/>
            <w:tcBorders>
              <w:top w:val="nil"/>
              <w:left w:val="nil"/>
              <w:bottom w:val="nil"/>
              <w:right w:val="nil"/>
            </w:tcBorders>
            <w:shd w:val="clear" w:color="000000" w:fill="F2F2F2"/>
            <w:noWrap/>
            <w:vAlign w:val="center"/>
            <w:hideMark/>
          </w:tcPr>
          <w:p w14:paraId="1B4FCFCD"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3.0</w:t>
            </w:r>
          </w:p>
        </w:tc>
        <w:tc>
          <w:tcPr>
            <w:tcW w:w="1191" w:type="dxa"/>
            <w:tcBorders>
              <w:top w:val="nil"/>
              <w:left w:val="nil"/>
              <w:bottom w:val="nil"/>
              <w:right w:val="nil"/>
            </w:tcBorders>
            <w:shd w:val="clear" w:color="000000" w:fill="F2F2F2"/>
            <w:noWrap/>
            <w:vAlign w:val="center"/>
            <w:hideMark/>
          </w:tcPr>
          <w:p w14:paraId="5FE3AF0E"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1.8</w:t>
            </w:r>
          </w:p>
        </w:tc>
        <w:tc>
          <w:tcPr>
            <w:tcW w:w="737" w:type="dxa"/>
            <w:tcBorders>
              <w:top w:val="nil"/>
              <w:left w:val="nil"/>
              <w:bottom w:val="nil"/>
              <w:right w:val="nil"/>
            </w:tcBorders>
            <w:shd w:val="clear" w:color="000000" w:fill="F2F2F2"/>
            <w:noWrap/>
            <w:vAlign w:val="center"/>
            <w:hideMark/>
          </w:tcPr>
          <w:p w14:paraId="3CBFA625" w14:textId="77777777" w:rsidR="00B57CD1" w:rsidRPr="00B57CD1" w:rsidRDefault="00B57CD1" w:rsidP="00031521">
            <w:pPr>
              <w:keepNext/>
              <w:spacing w:before="0" w:after="0" w:line="240" w:lineRule="auto"/>
              <w:jc w:val="right"/>
              <w:rPr>
                <w:rFonts w:ascii="Arial" w:hAnsi="Arial" w:cs="Arial"/>
                <w:color w:val="000000"/>
                <w:szCs w:val="20"/>
              </w:rPr>
            </w:pPr>
            <w:r w:rsidRPr="00B57CD1">
              <w:rPr>
                <w:rFonts w:ascii="Arial" w:hAnsi="Arial" w:cs="Arial"/>
                <w:color w:val="000000"/>
                <w:szCs w:val="20"/>
              </w:rPr>
              <w:t>2.3</w:t>
            </w:r>
          </w:p>
        </w:tc>
      </w:tr>
      <w:tr w:rsidR="00031521" w:rsidRPr="00B57CD1" w14:paraId="64536ECE" w14:textId="04EEC99D" w:rsidTr="001266F9">
        <w:trPr>
          <w:trHeight w:val="288"/>
        </w:trPr>
        <w:tc>
          <w:tcPr>
            <w:tcW w:w="8108" w:type="dxa"/>
            <w:gridSpan w:val="7"/>
            <w:tcBorders>
              <w:top w:val="nil"/>
              <w:left w:val="nil"/>
              <w:bottom w:val="nil"/>
            </w:tcBorders>
            <w:shd w:val="clear" w:color="000000" w:fill="F2F2F2"/>
            <w:noWrap/>
            <w:vAlign w:val="center"/>
            <w:hideMark/>
          </w:tcPr>
          <w:p w14:paraId="57B92CC7" w14:textId="53E838E0" w:rsidR="00031521" w:rsidRPr="00B57CD1" w:rsidRDefault="00031521" w:rsidP="00031521">
            <w:pPr>
              <w:keepNext/>
              <w:spacing w:before="0" w:after="0" w:line="240" w:lineRule="auto"/>
              <w:rPr>
                <w:rFonts w:ascii="Times New Roman" w:hAnsi="Times New Roman"/>
                <w:color w:val="auto"/>
                <w:szCs w:val="20"/>
              </w:rPr>
            </w:pPr>
            <w:r w:rsidRPr="00B57CD1">
              <w:rPr>
                <w:rFonts w:ascii="Arial" w:hAnsi="Arial" w:cs="Arial"/>
                <w:b/>
                <w:bCs/>
                <w:color w:val="000000"/>
                <w:szCs w:val="20"/>
              </w:rPr>
              <w:t>Type of school when you completed year 12</w:t>
            </w:r>
          </w:p>
        </w:tc>
      </w:tr>
      <w:tr w:rsidR="00B57CD1" w:rsidRPr="00B57CD1" w14:paraId="665526B6" w14:textId="77777777" w:rsidTr="001266F9">
        <w:trPr>
          <w:trHeight w:val="288"/>
        </w:trPr>
        <w:tc>
          <w:tcPr>
            <w:tcW w:w="2324" w:type="dxa"/>
            <w:tcBorders>
              <w:top w:val="nil"/>
              <w:left w:val="nil"/>
              <w:bottom w:val="nil"/>
              <w:right w:val="nil"/>
            </w:tcBorders>
            <w:shd w:val="clear" w:color="000000" w:fill="F2F2F2"/>
            <w:noWrap/>
            <w:vAlign w:val="center"/>
            <w:hideMark/>
          </w:tcPr>
          <w:p w14:paraId="6FCEC1C7"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Catholic</w:t>
            </w:r>
          </w:p>
        </w:tc>
        <w:tc>
          <w:tcPr>
            <w:tcW w:w="964" w:type="dxa"/>
            <w:tcBorders>
              <w:top w:val="nil"/>
              <w:left w:val="nil"/>
              <w:bottom w:val="nil"/>
              <w:right w:val="nil"/>
            </w:tcBorders>
            <w:shd w:val="clear" w:color="000000" w:fill="F2F2F2"/>
            <w:noWrap/>
            <w:vAlign w:val="center"/>
            <w:hideMark/>
          </w:tcPr>
          <w:p w14:paraId="69ECF38A"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w:t>
            </w:r>
          </w:p>
        </w:tc>
        <w:tc>
          <w:tcPr>
            <w:tcW w:w="1191" w:type="dxa"/>
            <w:tcBorders>
              <w:top w:val="nil"/>
              <w:left w:val="nil"/>
              <w:bottom w:val="nil"/>
              <w:right w:val="nil"/>
            </w:tcBorders>
            <w:shd w:val="clear" w:color="000000" w:fill="F2F2F2"/>
            <w:noWrap/>
            <w:vAlign w:val="center"/>
            <w:hideMark/>
          </w:tcPr>
          <w:p w14:paraId="4247E5E6"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w:t>
            </w:r>
          </w:p>
        </w:tc>
        <w:tc>
          <w:tcPr>
            <w:tcW w:w="737" w:type="dxa"/>
            <w:tcBorders>
              <w:top w:val="nil"/>
              <w:left w:val="nil"/>
              <w:bottom w:val="nil"/>
              <w:right w:val="nil"/>
            </w:tcBorders>
            <w:shd w:val="clear" w:color="000000" w:fill="F2F2F2"/>
            <w:noWrap/>
            <w:vAlign w:val="center"/>
            <w:hideMark/>
          </w:tcPr>
          <w:p w14:paraId="5B4B908E"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8</w:t>
            </w:r>
          </w:p>
        </w:tc>
        <w:tc>
          <w:tcPr>
            <w:tcW w:w="964" w:type="dxa"/>
            <w:tcBorders>
              <w:top w:val="nil"/>
              <w:left w:val="nil"/>
              <w:bottom w:val="nil"/>
              <w:right w:val="nil"/>
            </w:tcBorders>
            <w:shd w:val="clear" w:color="000000" w:fill="F2F2F2"/>
            <w:noWrap/>
            <w:vAlign w:val="center"/>
            <w:hideMark/>
          </w:tcPr>
          <w:p w14:paraId="7CF575EB"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9.1</w:t>
            </w:r>
          </w:p>
        </w:tc>
        <w:tc>
          <w:tcPr>
            <w:tcW w:w="1191" w:type="dxa"/>
            <w:tcBorders>
              <w:top w:val="nil"/>
              <w:left w:val="nil"/>
              <w:bottom w:val="nil"/>
              <w:right w:val="nil"/>
            </w:tcBorders>
            <w:shd w:val="clear" w:color="000000" w:fill="F2F2F2"/>
            <w:noWrap/>
            <w:vAlign w:val="center"/>
            <w:hideMark/>
          </w:tcPr>
          <w:p w14:paraId="6FB9AC82"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9.1</w:t>
            </w:r>
          </w:p>
        </w:tc>
        <w:tc>
          <w:tcPr>
            <w:tcW w:w="737" w:type="dxa"/>
            <w:tcBorders>
              <w:top w:val="nil"/>
              <w:left w:val="nil"/>
              <w:bottom w:val="nil"/>
              <w:right w:val="nil"/>
            </w:tcBorders>
            <w:shd w:val="clear" w:color="000000" w:fill="F2F2F2"/>
            <w:noWrap/>
            <w:vAlign w:val="center"/>
            <w:hideMark/>
          </w:tcPr>
          <w:p w14:paraId="411BE60C"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9.1</w:t>
            </w:r>
          </w:p>
        </w:tc>
      </w:tr>
      <w:tr w:rsidR="00B57CD1" w:rsidRPr="00B57CD1" w14:paraId="3168775E" w14:textId="77777777" w:rsidTr="001266F9">
        <w:trPr>
          <w:trHeight w:val="288"/>
        </w:trPr>
        <w:tc>
          <w:tcPr>
            <w:tcW w:w="2324" w:type="dxa"/>
            <w:tcBorders>
              <w:top w:val="nil"/>
              <w:left w:val="nil"/>
              <w:bottom w:val="nil"/>
              <w:right w:val="nil"/>
            </w:tcBorders>
            <w:shd w:val="clear" w:color="000000" w:fill="F2F2F2"/>
            <w:noWrap/>
            <w:vAlign w:val="center"/>
            <w:hideMark/>
          </w:tcPr>
          <w:p w14:paraId="6BBAF17A"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Independent</w:t>
            </w:r>
          </w:p>
        </w:tc>
        <w:tc>
          <w:tcPr>
            <w:tcW w:w="964" w:type="dxa"/>
            <w:tcBorders>
              <w:top w:val="nil"/>
              <w:left w:val="nil"/>
              <w:bottom w:val="nil"/>
              <w:right w:val="nil"/>
            </w:tcBorders>
            <w:shd w:val="clear" w:color="000000" w:fill="F2F2F2"/>
            <w:noWrap/>
            <w:vAlign w:val="center"/>
            <w:hideMark/>
          </w:tcPr>
          <w:p w14:paraId="7DCEBB98"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16</w:t>
            </w:r>
          </w:p>
        </w:tc>
        <w:tc>
          <w:tcPr>
            <w:tcW w:w="1191" w:type="dxa"/>
            <w:tcBorders>
              <w:top w:val="nil"/>
              <w:left w:val="nil"/>
              <w:bottom w:val="nil"/>
              <w:right w:val="nil"/>
            </w:tcBorders>
            <w:shd w:val="clear" w:color="000000" w:fill="F2F2F2"/>
            <w:noWrap/>
            <w:vAlign w:val="center"/>
            <w:hideMark/>
          </w:tcPr>
          <w:p w14:paraId="7EFFB42B"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21</w:t>
            </w:r>
          </w:p>
        </w:tc>
        <w:tc>
          <w:tcPr>
            <w:tcW w:w="737" w:type="dxa"/>
            <w:tcBorders>
              <w:top w:val="nil"/>
              <w:left w:val="nil"/>
              <w:bottom w:val="nil"/>
              <w:right w:val="nil"/>
            </w:tcBorders>
            <w:shd w:val="clear" w:color="000000" w:fill="F2F2F2"/>
            <w:noWrap/>
            <w:vAlign w:val="center"/>
            <w:hideMark/>
          </w:tcPr>
          <w:p w14:paraId="32AFE2DD"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37</w:t>
            </w:r>
          </w:p>
        </w:tc>
        <w:tc>
          <w:tcPr>
            <w:tcW w:w="964" w:type="dxa"/>
            <w:tcBorders>
              <w:top w:val="nil"/>
              <w:left w:val="nil"/>
              <w:bottom w:val="nil"/>
              <w:right w:val="nil"/>
            </w:tcBorders>
            <w:shd w:val="clear" w:color="000000" w:fill="F2F2F2"/>
            <w:noWrap/>
            <w:vAlign w:val="center"/>
            <w:hideMark/>
          </w:tcPr>
          <w:p w14:paraId="209EFAE6"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48.5</w:t>
            </w:r>
          </w:p>
        </w:tc>
        <w:tc>
          <w:tcPr>
            <w:tcW w:w="1191" w:type="dxa"/>
            <w:tcBorders>
              <w:top w:val="nil"/>
              <w:left w:val="nil"/>
              <w:bottom w:val="nil"/>
              <w:right w:val="nil"/>
            </w:tcBorders>
            <w:shd w:val="clear" w:color="000000" w:fill="F2F2F2"/>
            <w:noWrap/>
            <w:vAlign w:val="center"/>
            <w:hideMark/>
          </w:tcPr>
          <w:p w14:paraId="0E0C0F64"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38.2</w:t>
            </w:r>
          </w:p>
        </w:tc>
        <w:tc>
          <w:tcPr>
            <w:tcW w:w="737" w:type="dxa"/>
            <w:tcBorders>
              <w:top w:val="nil"/>
              <w:left w:val="nil"/>
              <w:bottom w:val="nil"/>
              <w:right w:val="nil"/>
            </w:tcBorders>
            <w:shd w:val="clear" w:color="000000" w:fill="F2F2F2"/>
            <w:noWrap/>
            <w:vAlign w:val="center"/>
            <w:hideMark/>
          </w:tcPr>
          <w:p w14:paraId="7FB72DE4"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42.0</w:t>
            </w:r>
          </w:p>
        </w:tc>
      </w:tr>
      <w:tr w:rsidR="00B57CD1" w:rsidRPr="00B57CD1" w14:paraId="7E069D5B" w14:textId="77777777" w:rsidTr="001266F9">
        <w:trPr>
          <w:trHeight w:val="288"/>
        </w:trPr>
        <w:tc>
          <w:tcPr>
            <w:tcW w:w="2324" w:type="dxa"/>
            <w:tcBorders>
              <w:top w:val="nil"/>
              <w:left w:val="nil"/>
              <w:bottom w:val="nil"/>
              <w:right w:val="nil"/>
            </w:tcBorders>
            <w:shd w:val="clear" w:color="000000" w:fill="F2F2F2"/>
            <w:noWrap/>
            <w:vAlign w:val="center"/>
            <w:hideMark/>
          </w:tcPr>
          <w:p w14:paraId="0FB82E96" w14:textId="77777777" w:rsidR="00B57CD1" w:rsidRPr="00B57CD1" w:rsidRDefault="00B57CD1" w:rsidP="00EE3AFD">
            <w:pPr>
              <w:keepNext/>
              <w:spacing w:before="0" w:after="0" w:line="240" w:lineRule="auto"/>
              <w:rPr>
                <w:rFonts w:ascii="Arial" w:hAnsi="Arial" w:cs="Arial"/>
                <w:color w:val="000000"/>
                <w:szCs w:val="20"/>
              </w:rPr>
            </w:pPr>
            <w:r w:rsidRPr="00B57CD1">
              <w:rPr>
                <w:rFonts w:ascii="Arial" w:hAnsi="Arial" w:cs="Arial"/>
                <w:color w:val="000000"/>
                <w:szCs w:val="20"/>
              </w:rPr>
              <w:t>Public</w:t>
            </w:r>
          </w:p>
        </w:tc>
        <w:tc>
          <w:tcPr>
            <w:tcW w:w="964" w:type="dxa"/>
            <w:tcBorders>
              <w:top w:val="nil"/>
              <w:left w:val="nil"/>
              <w:bottom w:val="nil"/>
              <w:right w:val="nil"/>
            </w:tcBorders>
            <w:shd w:val="clear" w:color="000000" w:fill="F2F2F2"/>
            <w:noWrap/>
            <w:vAlign w:val="center"/>
            <w:hideMark/>
          </w:tcPr>
          <w:p w14:paraId="27DFF760" w14:textId="77777777" w:rsidR="00B57CD1" w:rsidRPr="00B57CD1" w:rsidRDefault="00B57CD1" w:rsidP="00EE3AFD">
            <w:pPr>
              <w:keepNext/>
              <w:spacing w:before="0" w:after="0" w:line="240" w:lineRule="auto"/>
              <w:jc w:val="right"/>
              <w:rPr>
                <w:rFonts w:ascii="Arial" w:hAnsi="Arial" w:cs="Arial"/>
                <w:color w:val="000000"/>
                <w:szCs w:val="20"/>
              </w:rPr>
            </w:pPr>
            <w:r w:rsidRPr="00B57CD1">
              <w:rPr>
                <w:rFonts w:ascii="Arial" w:hAnsi="Arial" w:cs="Arial"/>
                <w:color w:val="000000"/>
                <w:szCs w:val="20"/>
              </w:rPr>
              <w:t>14</w:t>
            </w:r>
          </w:p>
        </w:tc>
        <w:tc>
          <w:tcPr>
            <w:tcW w:w="1191" w:type="dxa"/>
            <w:tcBorders>
              <w:top w:val="nil"/>
              <w:left w:val="nil"/>
              <w:bottom w:val="nil"/>
              <w:right w:val="nil"/>
            </w:tcBorders>
            <w:shd w:val="clear" w:color="000000" w:fill="F2F2F2"/>
            <w:noWrap/>
            <w:vAlign w:val="center"/>
            <w:hideMark/>
          </w:tcPr>
          <w:p w14:paraId="5621F145" w14:textId="77777777" w:rsidR="00B57CD1" w:rsidRPr="00B57CD1" w:rsidRDefault="00B57CD1" w:rsidP="00EE3AFD">
            <w:pPr>
              <w:keepNext/>
              <w:spacing w:before="0" w:after="0" w:line="240" w:lineRule="auto"/>
              <w:jc w:val="right"/>
              <w:rPr>
                <w:rFonts w:ascii="Arial" w:hAnsi="Arial" w:cs="Arial"/>
                <w:color w:val="000000"/>
                <w:szCs w:val="20"/>
              </w:rPr>
            </w:pPr>
            <w:r w:rsidRPr="00B57CD1">
              <w:rPr>
                <w:rFonts w:ascii="Arial" w:hAnsi="Arial" w:cs="Arial"/>
                <w:color w:val="000000"/>
                <w:szCs w:val="20"/>
              </w:rPr>
              <w:t>29</w:t>
            </w:r>
          </w:p>
        </w:tc>
        <w:tc>
          <w:tcPr>
            <w:tcW w:w="737" w:type="dxa"/>
            <w:tcBorders>
              <w:top w:val="nil"/>
              <w:left w:val="nil"/>
              <w:bottom w:val="nil"/>
              <w:right w:val="nil"/>
            </w:tcBorders>
            <w:shd w:val="clear" w:color="000000" w:fill="F2F2F2"/>
            <w:noWrap/>
            <w:vAlign w:val="center"/>
            <w:hideMark/>
          </w:tcPr>
          <w:p w14:paraId="6F31C446" w14:textId="77777777" w:rsidR="00B57CD1" w:rsidRPr="00B57CD1" w:rsidRDefault="00B57CD1" w:rsidP="00EE3AFD">
            <w:pPr>
              <w:keepNext/>
              <w:spacing w:before="0" w:after="0" w:line="240" w:lineRule="auto"/>
              <w:jc w:val="right"/>
              <w:rPr>
                <w:rFonts w:ascii="Arial" w:hAnsi="Arial" w:cs="Arial"/>
                <w:color w:val="000000"/>
                <w:szCs w:val="20"/>
              </w:rPr>
            </w:pPr>
            <w:r w:rsidRPr="00B57CD1">
              <w:rPr>
                <w:rFonts w:ascii="Arial" w:hAnsi="Arial" w:cs="Arial"/>
                <w:color w:val="000000"/>
                <w:szCs w:val="20"/>
              </w:rPr>
              <w:t>43</w:t>
            </w:r>
          </w:p>
        </w:tc>
        <w:tc>
          <w:tcPr>
            <w:tcW w:w="964" w:type="dxa"/>
            <w:tcBorders>
              <w:top w:val="nil"/>
              <w:left w:val="nil"/>
              <w:bottom w:val="nil"/>
              <w:right w:val="nil"/>
            </w:tcBorders>
            <w:shd w:val="clear" w:color="000000" w:fill="F2F2F2"/>
            <w:noWrap/>
            <w:vAlign w:val="center"/>
            <w:hideMark/>
          </w:tcPr>
          <w:p w14:paraId="634393F5" w14:textId="77777777" w:rsidR="00B57CD1" w:rsidRPr="00B57CD1" w:rsidRDefault="00B57CD1" w:rsidP="00EE3AFD">
            <w:pPr>
              <w:keepNext/>
              <w:spacing w:before="0" w:after="0" w:line="240" w:lineRule="auto"/>
              <w:jc w:val="right"/>
              <w:rPr>
                <w:rFonts w:ascii="Arial" w:hAnsi="Arial" w:cs="Arial"/>
                <w:color w:val="000000"/>
                <w:szCs w:val="20"/>
              </w:rPr>
            </w:pPr>
            <w:r w:rsidRPr="00B57CD1">
              <w:rPr>
                <w:rFonts w:ascii="Arial" w:hAnsi="Arial" w:cs="Arial"/>
                <w:color w:val="000000"/>
                <w:szCs w:val="20"/>
              </w:rPr>
              <w:t>42.4</w:t>
            </w:r>
          </w:p>
        </w:tc>
        <w:tc>
          <w:tcPr>
            <w:tcW w:w="1191" w:type="dxa"/>
            <w:tcBorders>
              <w:top w:val="nil"/>
              <w:left w:val="nil"/>
              <w:bottom w:val="nil"/>
              <w:right w:val="nil"/>
            </w:tcBorders>
            <w:shd w:val="clear" w:color="000000" w:fill="F2F2F2"/>
            <w:noWrap/>
            <w:vAlign w:val="center"/>
            <w:hideMark/>
          </w:tcPr>
          <w:p w14:paraId="329018D0" w14:textId="77777777" w:rsidR="00B57CD1" w:rsidRPr="00B57CD1" w:rsidRDefault="00B57CD1" w:rsidP="00EE3AFD">
            <w:pPr>
              <w:keepNext/>
              <w:spacing w:before="0" w:after="0" w:line="240" w:lineRule="auto"/>
              <w:jc w:val="right"/>
              <w:rPr>
                <w:rFonts w:ascii="Arial" w:hAnsi="Arial" w:cs="Arial"/>
                <w:color w:val="000000"/>
                <w:szCs w:val="20"/>
              </w:rPr>
            </w:pPr>
            <w:r w:rsidRPr="00B57CD1">
              <w:rPr>
                <w:rFonts w:ascii="Arial" w:hAnsi="Arial" w:cs="Arial"/>
                <w:color w:val="000000"/>
                <w:szCs w:val="20"/>
              </w:rPr>
              <w:t>52.7</w:t>
            </w:r>
          </w:p>
        </w:tc>
        <w:tc>
          <w:tcPr>
            <w:tcW w:w="737" w:type="dxa"/>
            <w:tcBorders>
              <w:top w:val="nil"/>
              <w:left w:val="nil"/>
              <w:bottom w:val="nil"/>
              <w:right w:val="nil"/>
            </w:tcBorders>
            <w:shd w:val="clear" w:color="000000" w:fill="F2F2F2"/>
            <w:noWrap/>
            <w:vAlign w:val="center"/>
            <w:hideMark/>
          </w:tcPr>
          <w:p w14:paraId="5D14B23C" w14:textId="77777777" w:rsidR="00B57CD1" w:rsidRPr="00B57CD1" w:rsidRDefault="00B57CD1" w:rsidP="00EE3AFD">
            <w:pPr>
              <w:keepNext/>
              <w:spacing w:before="0" w:after="0" w:line="240" w:lineRule="auto"/>
              <w:jc w:val="right"/>
              <w:rPr>
                <w:rFonts w:ascii="Arial" w:hAnsi="Arial" w:cs="Arial"/>
                <w:color w:val="000000"/>
                <w:szCs w:val="20"/>
              </w:rPr>
            </w:pPr>
            <w:r w:rsidRPr="00B57CD1">
              <w:rPr>
                <w:rFonts w:ascii="Arial" w:hAnsi="Arial" w:cs="Arial"/>
                <w:color w:val="000000"/>
                <w:szCs w:val="20"/>
              </w:rPr>
              <w:t>48.9</w:t>
            </w:r>
          </w:p>
        </w:tc>
      </w:tr>
      <w:tr w:rsidR="00EE3AFD" w:rsidRPr="00EE3AFD" w14:paraId="6B5904D4" w14:textId="77777777" w:rsidTr="001266F9">
        <w:trPr>
          <w:trHeight w:val="288"/>
        </w:trPr>
        <w:tc>
          <w:tcPr>
            <w:tcW w:w="8108" w:type="dxa"/>
            <w:gridSpan w:val="7"/>
            <w:tcBorders>
              <w:top w:val="nil"/>
              <w:left w:val="nil"/>
              <w:bottom w:val="nil"/>
              <w:right w:val="nil"/>
            </w:tcBorders>
            <w:shd w:val="clear" w:color="000000" w:fill="F2F2F2"/>
            <w:noWrap/>
            <w:vAlign w:val="center"/>
            <w:hideMark/>
          </w:tcPr>
          <w:p w14:paraId="557B0419" w14:textId="21316B3E" w:rsidR="00EE3AFD" w:rsidRPr="00EE3AFD" w:rsidRDefault="00EE3AFD" w:rsidP="00EE3AFD">
            <w:pPr>
              <w:keepNext/>
              <w:spacing w:before="0" w:after="0" w:line="240" w:lineRule="auto"/>
              <w:rPr>
                <w:rFonts w:ascii="Arial" w:hAnsi="Arial" w:cs="Arial"/>
                <w:b/>
                <w:bCs/>
                <w:color w:val="000000"/>
                <w:szCs w:val="20"/>
              </w:rPr>
            </w:pPr>
            <w:r w:rsidRPr="00EE3AFD">
              <w:rPr>
                <w:rFonts w:ascii="Arial" w:hAnsi="Arial" w:cs="Arial"/>
                <w:b/>
                <w:bCs/>
                <w:color w:val="000000"/>
                <w:szCs w:val="20"/>
              </w:rPr>
              <w:t>Level of paid work </w:t>
            </w:r>
          </w:p>
        </w:tc>
      </w:tr>
      <w:tr w:rsidR="00EE3AFD" w:rsidRPr="00EE3AFD" w14:paraId="54F792FD" w14:textId="77777777" w:rsidTr="001266F9">
        <w:trPr>
          <w:trHeight w:val="288"/>
        </w:trPr>
        <w:tc>
          <w:tcPr>
            <w:tcW w:w="2324" w:type="dxa"/>
            <w:tcBorders>
              <w:top w:val="nil"/>
              <w:left w:val="nil"/>
              <w:bottom w:val="nil"/>
              <w:right w:val="nil"/>
            </w:tcBorders>
            <w:shd w:val="clear" w:color="000000" w:fill="F2F2F2"/>
            <w:noWrap/>
            <w:vAlign w:val="center"/>
            <w:hideMark/>
          </w:tcPr>
          <w:p w14:paraId="511B195F" w14:textId="77777777" w:rsidR="00EE3AFD" w:rsidRPr="00EE3AFD" w:rsidRDefault="00EE3AFD" w:rsidP="00EE3AFD">
            <w:pPr>
              <w:keepNext/>
              <w:spacing w:before="0" w:after="0" w:line="240" w:lineRule="auto"/>
              <w:rPr>
                <w:rFonts w:ascii="Arial" w:hAnsi="Arial" w:cs="Arial"/>
                <w:color w:val="000000"/>
                <w:szCs w:val="20"/>
              </w:rPr>
            </w:pPr>
            <w:r w:rsidRPr="00EE3AFD">
              <w:rPr>
                <w:rFonts w:ascii="Arial" w:hAnsi="Arial" w:cs="Arial"/>
                <w:color w:val="000000"/>
                <w:szCs w:val="20"/>
              </w:rPr>
              <w:t>Not working</w:t>
            </w:r>
          </w:p>
        </w:tc>
        <w:tc>
          <w:tcPr>
            <w:tcW w:w="964" w:type="dxa"/>
            <w:tcBorders>
              <w:top w:val="nil"/>
              <w:left w:val="nil"/>
              <w:bottom w:val="nil"/>
              <w:right w:val="nil"/>
            </w:tcBorders>
            <w:shd w:val="clear" w:color="000000" w:fill="F2F2F2"/>
            <w:noWrap/>
            <w:vAlign w:val="center"/>
            <w:hideMark/>
          </w:tcPr>
          <w:p w14:paraId="17A94222" w14:textId="77777777" w:rsidR="00EE3AFD" w:rsidRPr="00EE3AFD" w:rsidRDefault="00EE3AFD" w:rsidP="00EE3AFD">
            <w:pPr>
              <w:keepNext/>
              <w:spacing w:before="0" w:after="0" w:line="240" w:lineRule="auto"/>
              <w:jc w:val="right"/>
              <w:rPr>
                <w:rFonts w:ascii="Arial" w:hAnsi="Arial" w:cs="Arial"/>
                <w:color w:val="000000"/>
                <w:szCs w:val="20"/>
              </w:rPr>
            </w:pPr>
            <w:r w:rsidRPr="00EE3AFD">
              <w:rPr>
                <w:rFonts w:ascii="Arial" w:hAnsi="Arial" w:cs="Arial"/>
                <w:color w:val="000000"/>
                <w:szCs w:val="20"/>
              </w:rPr>
              <w:t>13</w:t>
            </w:r>
          </w:p>
        </w:tc>
        <w:tc>
          <w:tcPr>
            <w:tcW w:w="1191" w:type="dxa"/>
            <w:tcBorders>
              <w:top w:val="nil"/>
              <w:left w:val="nil"/>
              <w:bottom w:val="nil"/>
              <w:right w:val="nil"/>
            </w:tcBorders>
            <w:shd w:val="clear" w:color="000000" w:fill="F2F2F2"/>
            <w:noWrap/>
            <w:vAlign w:val="center"/>
            <w:hideMark/>
          </w:tcPr>
          <w:p w14:paraId="535AC60D" w14:textId="77777777" w:rsidR="00EE3AFD" w:rsidRPr="00EE3AFD" w:rsidRDefault="00EE3AFD" w:rsidP="00EE3AFD">
            <w:pPr>
              <w:keepNext/>
              <w:spacing w:before="0" w:after="0" w:line="240" w:lineRule="auto"/>
              <w:jc w:val="right"/>
              <w:rPr>
                <w:rFonts w:ascii="Arial" w:hAnsi="Arial" w:cs="Arial"/>
                <w:color w:val="000000"/>
                <w:szCs w:val="20"/>
              </w:rPr>
            </w:pPr>
            <w:r w:rsidRPr="00EE3AFD">
              <w:rPr>
                <w:rFonts w:ascii="Arial" w:hAnsi="Arial" w:cs="Arial"/>
                <w:color w:val="000000"/>
                <w:szCs w:val="20"/>
              </w:rPr>
              <w:t>19</w:t>
            </w:r>
          </w:p>
        </w:tc>
        <w:tc>
          <w:tcPr>
            <w:tcW w:w="737" w:type="dxa"/>
            <w:tcBorders>
              <w:top w:val="nil"/>
              <w:left w:val="nil"/>
              <w:bottom w:val="nil"/>
              <w:right w:val="nil"/>
            </w:tcBorders>
            <w:shd w:val="clear" w:color="000000" w:fill="F2F2F2"/>
            <w:noWrap/>
            <w:vAlign w:val="center"/>
            <w:hideMark/>
          </w:tcPr>
          <w:p w14:paraId="5C6CC74C" w14:textId="77777777" w:rsidR="00EE3AFD" w:rsidRPr="00EE3AFD" w:rsidRDefault="00EE3AFD" w:rsidP="00EE3AFD">
            <w:pPr>
              <w:keepNext/>
              <w:spacing w:before="0" w:after="0" w:line="240" w:lineRule="auto"/>
              <w:jc w:val="right"/>
              <w:rPr>
                <w:rFonts w:ascii="Arial" w:hAnsi="Arial" w:cs="Arial"/>
                <w:color w:val="000000"/>
                <w:szCs w:val="20"/>
              </w:rPr>
            </w:pPr>
            <w:r w:rsidRPr="00EE3AFD">
              <w:rPr>
                <w:rFonts w:ascii="Arial" w:hAnsi="Arial" w:cs="Arial"/>
                <w:color w:val="000000"/>
                <w:szCs w:val="20"/>
              </w:rPr>
              <w:t>32</w:t>
            </w:r>
          </w:p>
        </w:tc>
        <w:tc>
          <w:tcPr>
            <w:tcW w:w="964" w:type="dxa"/>
            <w:tcBorders>
              <w:top w:val="nil"/>
              <w:left w:val="nil"/>
              <w:bottom w:val="nil"/>
              <w:right w:val="nil"/>
            </w:tcBorders>
            <w:shd w:val="clear" w:color="000000" w:fill="F2F2F2"/>
            <w:noWrap/>
            <w:vAlign w:val="center"/>
            <w:hideMark/>
          </w:tcPr>
          <w:p w14:paraId="5426A1FF" w14:textId="77777777" w:rsidR="00EE3AFD" w:rsidRPr="00EE3AFD" w:rsidRDefault="00EE3AFD" w:rsidP="00EE3AFD">
            <w:pPr>
              <w:keepNext/>
              <w:spacing w:before="0" w:after="0" w:line="240" w:lineRule="auto"/>
              <w:jc w:val="right"/>
              <w:rPr>
                <w:rFonts w:ascii="Arial" w:hAnsi="Arial" w:cs="Arial"/>
                <w:color w:val="000000"/>
                <w:szCs w:val="20"/>
              </w:rPr>
            </w:pPr>
            <w:r w:rsidRPr="00EE3AFD">
              <w:rPr>
                <w:rFonts w:ascii="Arial" w:hAnsi="Arial" w:cs="Arial"/>
                <w:color w:val="000000"/>
                <w:szCs w:val="20"/>
              </w:rPr>
              <w:t>39.4</w:t>
            </w:r>
          </w:p>
        </w:tc>
        <w:tc>
          <w:tcPr>
            <w:tcW w:w="1191" w:type="dxa"/>
            <w:tcBorders>
              <w:top w:val="nil"/>
              <w:left w:val="nil"/>
              <w:bottom w:val="nil"/>
              <w:right w:val="nil"/>
            </w:tcBorders>
            <w:shd w:val="clear" w:color="000000" w:fill="F2F2F2"/>
            <w:noWrap/>
            <w:vAlign w:val="center"/>
            <w:hideMark/>
          </w:tcPr>
          <w:p w14:paraId="6921A959" w14:textId="77777777" w:rsidR="00EE3AFD" w:rsidRPr="00EE3AFD" w:rsidRDefault="00EE3AFD" w:rsidP="00EE3AFD">
            <w:pPr>
              <w:keepNext/>
              <w:spacing w:before="0" w:after="0" w:line="240" w:lineRule="auto"/>
              <w:jc w:val="right"/>
              <w:rPr>
                <w:rFonts w:ascii="Arial" w:hAnsi="Arial" w:cs="Arial"/>
                <w:color w:val="000000"/>
                <w:szCs w:val="20"/>
              </w:rPr>
            </w:pPr>
            <w:r w:rsidRPr="00EE3AFD">
              <w:rPr>
                <w:rFonts w:ascii="Arial" w:hAnsi="Arial" w:cs="Arial"/>
                <w:color w:val="000000"/>
                <w:szCs w:val="20"/>
              </w:rPr>
              <w:t>34.5</w:t>
            </w:r>
          </w:p>
        </w:tc>
        <w:tc>
          <w:tcPr>
            <w:tcW w:w="737" w:type="dxa"/>
            <w:tcBorders>
              <w:top w:val="nil"/>
              <w:left w:val="nil"/>
              <w:bottom w:val="nil"/>
              <w:right w:val="nil"/>
            </w:tcBorders>
            <w:shd w:val="clear" w:color="000000" w:fill="F2F2F2"/>
            <w:noWrap/>
            <w:vAlign w:val="center"/>
            <w:hideMark/>
          </w:tcPr>
          <w:p w14:paraId="4B6AA2E2" w14:textId="77777777" w:rsidR="00EE3AFD" w:rsidRPr="00EE3AFD" w:rsidRDefault="00EE3AFD" w:rsidP="00EE3AFD">
            <w:pPr>
              <w:keepNext/>
              <w:spacing w:before="0" w:after="0" w:line="240" w:lineRule="auto"/>
              <w:jc w:val="right"/>
              <w:rPr>
                <w:rFonts w:ascii="Arial" w:hAnsi="Arial" w:cs="Arial"/>
                <w:color w:val="000000"/>
                <w:szCs w:val="20"/>
              </w:rPr>
            </w:pPr>
            <w:r w:rsidRPr="00EE3AFD">
              <w:rPr>
                <w:rFonts w:ascii="Arial" w:hAnsi="Arial" w:cs="Arial"/>
                <w:color w:val="000000"/>
                <w:szCs w:val="20"/>
              </w:rPr>
              <w:t>36.4</w:t>
            </w:r>
          </w:p>
        </w:tc>
      </w:tr>
      <w:tr w:rsidR="00EE3AFD" w:rsidRPr="00EE3AFD" w14:paraId="0F0024E7" w14:textId="77777777" w:rsidTr="001266F9">
        <w:trPr>
          <w:trHeight w:val="288"/>
        </w:trPr>
        <w:tc>
          <w:tcPr>
            <w:tcW w:w="2324" w:type="dxa"/>
            <w:tcBorders>
              <w:top w:val="nil"/>
              <w:left w:val="nil"/>
              <w:bottom w:val="nil"/>
              <w:right w:val="nil"/>
            </w:tcBorders>
            <w:shd w:val="clear" w:color="000000" w:fill="F2F2F2"/>
            <w:noWrap/>
            <w:vAlign w:val="center"/>
            <w:hideMark/>
          </w:tcPr>
          <w:p w14:paraId="38CEDA6A" w14:textId="77777777" w:rsidR="00EE3AFD" w:rsidRPr="00EE3AFD" w:rsidRDefault="00EE3AFD" w:rsidP="00EE3AFD">
            <w:pPr>
              <w:keepNext/>
              <w:spacing w:before="0" w:after="0" w:line="240" w:lineRule="auto"/>
              <w:rPr>
                <w:rFonts w:ascii="Arial" w:hAnsi="Arial" w:cs="Arial"/>
                <w:color w:val="000000"/>
                <w:szCs w:val="20"/>
              </w:rPr>
            </w:pPr>
            <w:r w:rsidRPr="00EE3AFD">
              <w:rPr>
                <w:rFonts w:ascii="Arial" w:hAnsi="Arial" w:cs="Arial"/>
                <w:color w:val="000000"/>
                <w:szCs w:val="20"/>
              </w:rPr>
              <w:t>Part-time work</w:t>
            </w:r>
          </w:p>
        </w:tc>
        <w:tc>
          <w:tcPr>
            <w:tcW w:w="964" w:type="dxa"/>
            <w:tcBorders>
              <w:top w:val="nil"/>
              <w:left w:val="nil"/>
              <w:bottom w:val="nil"/>
              <w:right w:val="nil"/>
            </w:tcBorders>
            <w:shd w:val="clear" w:color="000000" w:fill="F2F2F2"/>
            <w:noWrap/>
            <w:vAlign w:val="center"/>
            <w:hideMark/>
          </w:tcPr>
          <w:p w14:paraId="729DDA90" w14:textId="77777777" w:rsidR="00EE3AFD" w:rsidRPr="00EE3AFD" w:rsidRDefault="00EE3AFD" w:rsidP="00EE3AFD">
            <w:pPr>
              <w:keepNext/>
              <w:spacing w:before="0" w:after="0" w:line="240" w:lineRule="auto"/>
              <w:jc w:val="right"/>
              <w:rPr>
                <w:rFonts w:ascii="Arial" w:hAnsi="Arial" w:cs="Arial"/>
                <w:color w:val="000000"/>
                <w:szCs w:val="20"/>
              </w:rPr>
            </w:pPr>
            <w:r w:rsidRPr="00EE3AFD">
              <w:rPr>
                <w:rFonts w:ascii="Arial" w:hAnsi="Arial" w:cs="Arial"/>
                <w:color w:val="000000"/>
                <w:szCs w:val="20"/>
              </w:rPr>
              <w:t>18</w:t>
            </w:r>
          </w:p>
        </w:tc>
        <w:tc>
          <w:tcPr>
            <w:tcW w:w="1191" w:type="dxa"/>
            <w:tcBorders>
              <w:top w:val="nil"/>
              <w:left w:val="nil"/>
              <w:bottom w:val="nil"/>
              <w:right w:val="nil"/>
            </w:tcBorders>
            <w:shd w:val="clear" w:color="000000" w:fill="F2F2F2"/>
            <w:noWrap/>
            <w:vAlign w:val="center"/>
            <w:hideMark/>
          </w:tcPr>
          <w:p w14:paraId="2CD6C026" w14:textId="77777777" w:rsidR="00EE3AFD" w:rsidRPr="00EE3AFD" w:rsidRDefault="00EE3AFD" w:rsidP="00EE3AFD">
            <w:pPr>
              <w:keepNext/>
              <w:spacing w:before="0" w:after="0" w:line="240" w:lineRule="auto"/>
              <w:jc w:val="right"/>
              <w:rPr>
                <w:rFonts w:ascii="Arial" w:hAnsi="Arial" w:cs="Arial"/>
                <w:color w:val="000000"/>
                <w:szCs w:val="20"/>
              </w:rPr>
            </w:pPr>
            <w:r w:rsidRPr="00EE3AFD">
              <w:rPr>
                <w:rFonts w:ascii="Arial" w:hAnsi="Arial" w:cs="Arial"/>
                <w:color w:val="000000"/>
                <w:szCs w:val="20"/>
              </w:rPr>
              <w:t>34</w:t>
            </w:r>
          </w:p>
        </w:tc>
        <w:tc>
          <w:tcPr>
            <w:tcW w:w="737" w:type="dxa"/>
            <w:tcBorders>
              <w:top w:val="nil"/>
              <w:left w:val="nil"/>
              <w:bottom w:val="nil"/>
              <w:right w:val="nil"/>
            </w:tcBorders>
            <w:shd w:val="clear" w:color="000000" w:fill="F2F2F2"/>
            <w:noWrap/>
            <w:vAlign w:val="center"/>
            <w:hideMark/>
          </w:tcPr>
          <w:p w14:paraId="459632C4" w14:textId="77777777" w:rsidR="00EE3AFD" w:rsidRPr="00EE3AFD" w:rsidRDefault="00EE3AFD" w:rsidP="00EE3AFD">
            <w:pPr>
              <w:keepNext/>
              <w:spacing w:before="0" w:after="0" w:line="240" w:lineRule="auto"/>
              <w:jc w:val="right"/>
              <w:rPr>
                <w:rFonts w:ascii="Arial" w:hAnsi="Arial" w:cs="Arial"/>
                <w:color w:val="000000"/>
                <w:szCs w:val="20"/>
              </w:rPr>
            </w:pPr>
            <w:r w:rsidRPr="00EE3AFD">
              <w:rPr>
                <w:rFonts w:ascii="Arial" w:hAnsi="Arial" w:cs="Arial"/>
                <w:color w:val="000000"/>
                <w:szCs w:val="20"/>
              </w:rPr>
              <w:t>52</w:t>
            </w:r>
          </w:p>
        </w:tc>
        <w:tc>
          <w:tcPr>
            <w:tcW w:w="964" w:type="dxa"/>
            <w:tcBorders>
              <w:top w:val="nil"/>
              <w:left w:val="nil"/>
              <w:bottom w:val="nil"/>
              <w:right w:val="nil"/>
            </w:tcBorders>
            <w:shd w:val="clear" w:color="000000" w:fill="F2F2F2"/>
            <w:noWrap/>
            <w:vAlign w:val="center"/>
            <w:hideMark/>
          </w:tcPr>
          <w:p w14:paraId="2E26758D" w14:textId="77777777" w:rsidR="00EE3AFD" w:rsidRPr="00EE3AFD" w:rsidRDefault="00EE3AFD" w:rsidP="00EE3AFD">
            <w:pPr>
              <w:keepNext/>
              <w:spacing w:before="0" w:after="0" w:line="240" w:lineRule="auto"/>
              <w:jc w:val="right"/>
              <w:rPr>
                <w:rFonts w:ascii="Arial" w:hAnsi="Arial" w:cs="Arial"/>
                <w:color w:val="000000"/>
                <w:szCs w:val="20"/>
              </w:rPr>
            </w:pPr>
            <w:r w:rsidRPr="00EE3AFD">
              <w:rPr>
                <w:rFonts w:ascii="Arial" w:hAnsi="Arial" w:cs="Arial"/>
                <w:color w:val="000000"/>
                <w:szCs w:val="20"/>
              </w:rPr>
              <w:t>54.5</w:t>
            </w:r>
          </w:p>
        </w:tc>
        <w:tc>
          <w:tcPr>
            <w:tcW w:w="1191" w:type="dxa"/>
            <w:tcBorders>
              <w:top w:val="nil"/>
              <w:left w:val="nil"/>
              <w:bottom w:val="nil"/>
              <w:right w:val="nil"/>
            </w:tcBorders>
            <w:shd w:val="clear" w:color="000000" w:fill="F2F2F2"/>
            <w:noWrap/>
            <w:vAlign w:val="center"/>
            <w:hideMark/>
          </w:tcPr>
          <w:p w14:paraId="14786EBA" w14:textId="77777777" w:rsidR="00EE3AFD" w:rsidRPr="00EE3AFD" w:rsidRDefault="00EE3AFD" w:rsidP="00EE3AFD">
            <w:pPr>
              <w:keepNext/>
              <w:spacing w:before="0" w:after="0" w:line="240" w:lineRule="auto"/>
              <w:jc w:val="right"/>
              <w:rPr>
                <w:rFonts w:ascii="Arial" w:hAnsi="Arial" w:cs="Arial"/>
                <w:color w:val="000000"/>
                <w:szCs w:val="20"/>
              </w:rPr>
            </w:pPr>
            <w:r w:rsidRPr="00EE3AFD">
              <w:rPr>
                <w:rFonts w:ascii="Arial" w:hAnsi="Arial" w:cs="Arial"/>
                <w:color w:val="000000"/>
                <w:szCs w:val="20"/>
              </w:rPr>
              <w:t>61.8</w:t>
            </w:r>
          </w:p>
        </w:tc>
        <w:tc>
          <w:tcPr>
            <w:tcW w:w="737" w:type="dxa"/>
            <w:tcBorders>
              <w:top w:val="nil"/>
              <w:left w:val="nil"/>
              <w:bottom w:val="nil"/>
              <w:right w:val="nil"/>
            </w:tcBorders>
            <w:shd w:val="clear" w:color="000000" w:fill="F2F2F2"/>
            <w:noWrap/>
            <w:vAlign w:val="center"/>
            <w:hideMark/>
          </w:tcPr>
          <w:p w14:paraId="6B3C9A81" w14:textId="77777777" w:rsidR="00EE3AFD" w:rsidRPr="00EE3AFD" w:rsidRDefault="00EE3AFD" w:rsidP="00EE3AFD">
            <w:pPr>
              <w:keepNext/>
              <w:spacing w:before="0" w:after="0" w:line="240" w:lineRule="auto"/>
              <w:jc w:val="right"/>
              <w:rPr>
                <w:rFonts w:ascii="Arial" w:hAnsi="Arial" w:cs="Arial"/>
                <w:color w:val="000000"/>
                <w:szCs w:val="20"/>
              </w:rPr>
            </w:pPr>
            <w:r w:rsidRPr="00EE3AFD">
              <w:rPr>
                <w:rFonts w:ascii="Arial" w:hAnsi="Arial" w:cs="Arial"/>
                <w:color w:val="000000"/>
                <w:szCs w:val="20"/>
              </w:rPr>
              <w:t>59.1</w:t>
            </w:r>
          </w:p>
        </w:tc>
      </w:tr>
      <w:tr w:rsidR="00EE3AFD" w:rsidRPr="00EE3AFD" w14:paraId="42AD273B" w14:textId="77777777" w:rsidTr="001266F9">
        <w:trPr>
          <w:trHeight w:val="288"/>
        </w:trPr>
        <w:tc>
          <w:tcPr>
            <w:tcW w:w="2324" w:type="dxa"/>
            <w:tcBorders>
              <w:top w:val="nil"/>
              <w:left w:val="nil"/>
              <w:bottom w:val="nil"/>
              <w:right w:val="nil"/>
            </w:tcBorders>
            <w:shd w:val="clear" w:color="000000" w:fill="F2F2F2"/>
            <w:noWrap/>
            <w:vAlign w:val="center"/>
            <w:hideMark/>
          </w:tcPr>
          <w:p w14:paraId="139463E6" w14:textId="77777777" w:rsidR="00EE3AFD" w:rsidRPr="00EE3AFD" w:rsidRDefault="00EE3AFD" w:rsidP="00EE3AFD">
            <w:pPr>
              <w:spacing w:before="0" w:after="0" w:line="240" w:lineRule="auto"/>
              <w:rPr>
                <w:rFonts w:ascii="Arial" w:hAnsi="Arial" w:cs="Arial"/>
                <w:color w:val="000000"/>
                <w:szCs w:val="20"/>
              </w:rPr>
            </w:pPr>
            <w:r w:rsidRPr="00EE3AFD">
              <w:rPr>
                <w:rFonts w:ascii="Arial" w:hAnsi="Arial" w:cs="Arial"/>
                <w:color w:val="000000"/>
                <w:szCs w:val="20"/>
              </w:rPr>
              <w:t>Full-time work</w:t>
            </w:r>
          </w:p>
        </w:tc>
        <w:tc>
          <w:tcPr>
            <w:tcW w:w="964" w:type="dxa"/>
            <w:tcBorders>
              <w:top w:val="nil"/>
              <w:left w:val="nil"/>
              <w:bottom w:val="nil"/>
              <w:right w:val="nil"/>
            </w:tcBorders>
            <w:shd w:val="clear" w:color="000000" w:fill="F2F2F2"/>
            <w:noWrap/>
            <w:vAlign w:val="center"/>
            <w:hideMark/>
          </w:tcPr>
          <w:p w14:paraId="3EC927F3" w14:textId="77777777" w:rsidR="00EE3AFD" w:rsidRPr="00EE3AFD" w:rsidRDefault="00EE3AFD" w:rsidP="00EE3AFD">
            <w:pPr>
              <w:spacing w:before="0" w:after="0" w:line="240" w:lineRule="auto"/>
              <w:jc w:val="right"/>
              <w:rPr>
                <w:rFonts w:ascii="Arial" w:hAnsi="Arial" w:cs="Arial"/>
                <w:color w:val="000000"/>
                <w:szCs w:val="20"/>
              </w:rPr>
            </w:pPr>
            <w:r w:rsidRPr="00EE3AFD">
              <w:rPr>
                <w:rFonts w:ascii="Arial" w:hAnsi="Arial" w:cs="Arial"/>
                <w:color w:val="000000"/>
                <w:szCs w:val="20"/>
              </w:rPr>
              <w:t>2</w:t>
            </w:r>
          </w:p>
        </w:tc>
        <w:tc>
          <w:tcPr>
            <w:tcW w:w="1191" w:type="dxa"/>
            <w:tcBorders>
              <w:top w:val="nil"/>
              <w:left w:val="nil"/>
              <w:bottom w:val="nil"/>
              <w:right w:val="nil"/>
            </w:tcBorders>
            <w:shd w:val="clear" w:color="000000" w:fill="F2F2F2"/>
            <w:noWrap/>
            <w:vAlign w:val="center"/>
            <w:hideMark/>
          </w:tcPr>
          <w:p w14:paraId="460E745C" w14:textId="77777777" w:rsidR="00EE3AFD" w:rsidRPr="00EE3AFD" w:rsidRDefault="00EE3AFD" w:rsidP="00EE3AFD">
            <w:pPr>
              <w:spacing w:before="0" w:after="0" w:line="240" w:lineRule="auto"/>
              <w:jc w:val="right"/>
              <w:rPr>
                <w:rFonts w:ascii="Arial" w:hAnsi="Arial" w:cs="Arial"/>
                <w:color w:val="000000"/>
                <w:szCs w:val="20"/>
              </w:rPr>
            </w:pPr>
            <w:r w:rsidRPr="00EE3AFD">
              <w:rPr>
                <w:rFonts w:ascii="Arial" w:hAnsi="Arial" w:cs="Arial"/>
                <w:color w:val="000000"/>
                <w:szCs w:val="20"/>
              </w:rPr>
              <w:t>2</w:t>
            </w:r>
          </w:p>
        </w:tc>
        <w:tc>
          <w:tcPr>
            <w:tcW w:w="737" w:type="dxa"/>
            <w:tcBorders>
              <w:top w:val="nil"/>
              <w:left w:val="nil"/>
              <w:bottom w:val="nil"/>
              <w:right w:val="nil"/>
            </w:tcBorders>
            <w:shd w:val="clear" w:color="000000" w:fill="F2F2F2"/>
            <w:noWrap/>
            <w:vAlign w:val="center"/>
            <w:hideMark/>
          </w:tcPr>
          <w:p w14:paraId="3392DA85" w14:textId="77777777" w:rsidR="00EE3AFD" w:rsidRPr="00EE3AFD" w:rsidRDefault="00EE3AFD" w:rsidP="00EE3AFD">
            <w:pPr>
              <w:spacing w:before="0" w:after="0" w:line="240" w:lineRule="auto"/>
              <w:jc w:val="right"/>
              <w:rPr>
                <w:rFonts w:ascii="Arial" w:hAnsi="Arial" w:cs="Arial"/>
                <w:color w:val="000000"/>
                <w:szCs w:val="20"/>
              </w:rPr>
            </w:pPr>
            <w:r w:rsidRPr="00EE3AFD">
              <w:rPr>
                <w:rFonts w:ascii="Arial" w:hAnsi="Arial" w:cs="Arial"/>
                <w:color w:val="000000"/>
                <w:szCs w:val="20"/>
              </w:rPr>
              <w:t>4</w:t>
            </w:r>
          </w:p>
        </w:tc>
        <w:tc>
          <w:tcPr>
            <w:tcW w:w="964" w:type="dxa"/>
            <w:tcBorders>
              <w:top w:val="nil"/>
              <w:left w:val="nil"/>
              <w:bottom w:val="nil"/>
              <w:right w:val="nil"/>
            </w:tcBorders>
            <w:shd w:val="clear" w:color="000000" w:fill="F2F2F2"/>
            <w:noWrap/>
            <w:vAlign w:val="center"/>
            <w:hideMark/>
          </w:tcPr>
          <w:p w14:paraId="23D5E5C7" w14:textId="77777777" w:rsidR="00EE3AFD" w:rsidRPr="00EE3AFD" w:rsidRDefault="00EE3AFD" w:rsidP="00EE3AFD">
            <w:pPr>
              <w:spacing w:before="0" w:after="0" w:line="240" w:lineRule="auto"/>
              <w:jc w:val="right"/>
              <w:rPr>
                <w:rFonts w:ascii="Arial" w:hAnsi="Arial" w:cs="Arial"/>
                <w:color w:val="000000"/>
                <w:szCs w:val="20"/>
              </w:rPr>
            </w:pPr>
            <w:r w:rsidRPr="00EE3AFD">
              <w:rPr>
                <w:rFonts w:ascii="Arial" w:hAnsi="Arial" w:cs="Arial"/>
                <w:color w:val="000000"/>
                <w:szCs w:val="20"/>
              </w:rPr>
              <w:t>6.1</w:t>
            </w:r>
          </w:p>
        </w:tc>
        <w:tc>
          <w:tcPr>
            <w:tcW w:w="1191" w:type="dxa"/>
            <w:tcBorders>
              <w:top w:val="nil"/>
              <w:left w:val="nil"/>
              <w:bottom w:val="nil"/>
              <w:right w:val="nil"/>
            </w:tcBorders>
            <w:shd w:val="clear" w:color="000000" w:fill="F2F2F2"/>
            <w:noWrap/>
            <w:vAlign w:val="center"/>
            <w:hideMark/>
          </w:tcPr>
          <w:p w14:paraId="5FDCC561" w14:textId="77777777" w:rsidR="00EE3AFD" w:rsidRPr="00EE3AFD" w:rsidRDefault="00EE3AFD" w:rsidP="00EE3AFD">
            <w:pPr>
              <w:spacing w:before="0" w:after="0" w:line="240" w:lineRule="auto"/>
              <w:jc w:val="right"/>
              <w:rPr>
                <w:rFonts w:ascii="Arial" w:hAnsi="Arial" w:cs="Arial"/>
                <w:color w:val="000000"/>
                <w:szCs w:val="20"/>
              </w:rPr>
            </w:pPr>
            <w:r w:rsidRPr="00EE3AFD">
              <w:rPr>
                <w:rFonts w:ascii="Arial" w:hAnsi="Arial" w:cs="Arial"/>
                <w:color w:val="000000"/>
                <w:szCs w:val="20"/>
              </w:rPr>
              <w:t>3.6</w:t>
            </w:r>
          </w:p>
        </w:tc>
        <w:tc>
          <w:tcPr>
            <w:tcW w:w="737" w:type="dxa"/>
            <w:tcBorders>
              <w:top w:val="nil"/>
              <w:left w:val="nil"/>
              <w:bottom w:val="nil"/>
              <w:right w:val="nil"/>
            </w:tcBorders>
            <w:shd w:val="clear" w:color="000000" w:fill="F2F2F2"/>
            <w:noWrap/>
            <w:vAlign w:val="center"/>
            <w:hideMark/>
          </w:tcPr>
          <w:p w14:paraId="338CFC05" w14:textId="77777777" w:rsidR="00EE3AFD" w:rsidRPr="00EE3AFD" w:rsidRDefault="00EE3AFD" w:rsidP="00EE3AFD">
            <w:pPr>
              <w:spacing w:before="0" w:after="0" w:line="240" w:lineRule="auto"/>
              <w:jc w:val="right"/>
              <w:rPr>
                <w:rFonts w:ascii="Arial" w:hAnsi="Arial" w:cs="Arial"/>
                <w:color w:val="000000"/>
                <w:szCs w:val="20"/>
              </w:rPr>
            </w:pPr>
            <w:r w:rsidRPr="00EE3AFD">
              <w:rPr>
                <w:rFonts w:ascii="Arial" w:hAnsi="Arial" w:cs="Arial"/>
                <w:color w:val="000000"/>
                <w:szCs w:val="20"/>
              </w:rPr>
              <w:t>4.5</w:t>
            </w:r>
          </w:p>
        </w:tc>
      </w:tr>
      <w:tr w:rsidR="001266F9" w:rsidRPr="00B57CD1" w14:paraId="64D84DC8" w14:textId="77777777" w:rsidTr="001266F9">
        <w:trPr>
          <w:trHeight w:val="288"/>
        </w:trPr>
        <w:tc>
          <w:tcPr>
            <w:tcW w:w="8108" w:type="dxa"/>
            <w:gridSpan w:val="7"/>
            <w:tcBorders>
              <w:top w:val="nil"/>
              <w:left w:val="nil"/>
              <w:bottom w:val="nil"/>
              <w:right w:val="nil"/>
            </w:tcBorders>
            <w:shd w:val="clear" w:color="000000" w:fill="F2F2F2"/>
            <w:noWrap/>
            <w:vAlign w:val="center"/>
            <w:hideMark/>
          </w:tcPr>
          <w:p w14:paraId="531EEF89" w14:textId="77777777" w:rsidR="001266F9" w:rsidRPr="00B57CD1" w:rsidRDefault="001266F9" w:rsidP="001266F9">
            <w:pPr>
              <w:keepNext/>
              <w:spacing w:before="0" w:after="0" w:line="240" w:lineRule="auto"/>
              <w:rPr>
                <w:rFonts w:ascii="Arial" w:hAnsi="Arial" w:cs="Arial"/>
                <w:color w:val="000000"/>
                <w:szCs w:val="20"/>
              </w:rPr>
            </w:pPr>
            <w:r>
              <w:rPr>
                <w:rFonts w:ascii="Arial" w:hAnsi="Arial" w:cs="Arial"/>
                <w:b/>
                <w:bCs/>
                <w:color w:val="000000"/>
                <w:szCs w:val="20"/>
              </w:rPr>
              <w:t>Undergraduate?</w:t>
            </w:r>
          </w:p>
        </w:tc>
      </w:tr>
      <w:tr w:rsidR="001266F9" w:rsidRPr="00EE3AFD" w14:paraId="3C2C4710" w14:textId="77777777" w:rsidTr="001266F9">
        <w:trPr>
          <w:trHeight w:val="288"/>
        </w:trPr>
        <w:tc>
          <w:tcPr>
            <w:tcW w:w="2324" w:type="dxa"/>
            <w:tcBorders>
              <w:top w:val="nil"/>
              <w:left w:val="nil"/>
              <w:bottom w:val="nil"/>
              <w:right w:val="nil"/>
            </w:tcBorders>
            <w:shd w:val="clear" w:color="000000" w:fill="F2F2F2"/>
            <w:noWrap/>
            <w:vAlign w:val="center"/>
            <w:hideMark/>
          </w:tcPr>
          <w:p w14:paraId="239D62FA" w14:textId="70F173BC" w:rsidR="001266F9" w:rsidRPr="00EE3AFD" w:rsidRDefault="001266F9" w:rsidP="001266F9">
            <w:pPr>
              <w:keepNext/>
              <w:spacing w:before="0" w:after="0" w:line="240" w:lineRule="auto"/>
              <w:rPr>
                <w:rFonts w:ascii="Arial" w:hAnsi="Arial" w:cs="Arial"/>
                <w:color w:val="000000"/>
                <w:szCs w:val="20"/>
              </w:rPr>
            </w:pPr>
            <w:r>
              <w:rPr>
                <w:rFonts w:ascii="Arial" w:hAnsi="Arial" w:cs="Arial"/>
                <w:color w:val="000000"/>
                <w:szCs w:val="20"/>
              </w:rPr>
              <w:t>Undergraduate</w:t>
            </w:r>
          </w:p>
        </w:tc>
        <w:tc>
          <w:tcPr>
            <w:tcW w:w="964" w:type="dxa"/>
            <w:tcBorders>
              <w:top w:val="nil"/>
              <w:left w:val="nil"/>
              <w:bottom w:val="nil"/>
              <w:right w:val="nil"/>
            </w:tcBorders>
            <w:shd w:val="clear" w:color="000000" w:fill="F2F2F2"/>
            <w:noWrap/>
            <w:vAlign w:val="center"/>
            <w:hideMark/>
          </w:tcPr>
          <w:p w14:paraId="67EAC7BE" w14:textId="5926327B" w:rsidR="001266F9" w:rsidRPr="00EE3AFD" w:rsidRDefault="001266F9" w:rsidP="001266F9">
            <w:pPr>
              <w:keepNext/>
              <w:spacing w:before="0" w:after="0" w:line="240" w:lineRule="auto"/>
              <w:jc w:val="right"/>
              <w:rPr>
                <w:rFonts w:ascii="Arial" w:hAnsi="Arial" w:cs="Arial"/>
                <w:color w:val="000000"/>
                <w:szCs w:val="20"/>
              </w:rPr>
            </w:pPr>
            <w:r>
              <w:rPr>
                <w:rFonts w:ascii="Arial" w:hAnsi="Arial" w:cs="Arial"/>
                <w:color w:val="000000"/>
                <w:szCs w:val="20"/>
              </w:rPr>
              <w:t>27</w:t>
            </w:r>
          </w:p>
        </w:tc>
        <w:tc>
          <w:tcPr>
            <w:tcW w:w="1191" w:type="dxa"/>
            <w:tcBorders>
              <w:top w:val="nil"/>
              <w:left w:val="nil"/>
              <w:bottom w:val="nil"/>
              <w:right w:val="nil"/>
            </w:tcBorders>
            <w:shd w:val="clear" w:color="000000" w:fill="F2F2F2"/>
            <w:noWrap/>
            <w:vAlign w:val="center"/>
            <w:hideMark/>
          </w:tcPr>
          <w:p w14:paraId="34FDA355" w14:textId="1AA509E3" w:rsidR="001266F9" w:rsidRPr="00EE3AFD" w:rsidRDefault="001266F9" w:rsidP="001266F9">
            <w:pPr>
              <w:keepNext/>
              <w:spacing w:before="0" w:after="0" w:line="240" w:lineRule="auto"/>
              <w:jc w:val="right"/>
              <w:rPr>
                <w:rFonts w:ascii="Arial" w:hAnsi="Arial" w:cs="Arial"/>
                <w:color w:val="000000"/>
                <w:szCs w:val="20"/>
              </w:rPr>
            </w:pPr>
            <w:r>
              <w:rPr>
                <w:rFonts w:ascii="Arial" w:hAnsi="Arial" w:cs="Arial"/>
                <w:color w:val="000000"/>
                <w:szCs w:val="20"/>
              </w:rPr>
              <w:t>40</w:t>
            </w:r>
          </w:p>
        </w:tc>
        <w:tc>
          <w:tcPr>
            <w:tcW w:w="737" w:type="dxa"/>
            <w:tcBorders>
              <w:top w:val="nil"/>
              <w:left w:val="nil"/>
              <w:bottom w:val="nil"/>
              <w:right w:val="nil"/>
            </w:tcBorders>
            <w:shd w:val="clear" w:color="000000" w:fill="F2F2F2"/>
            <w:noWrap/>
            <w:vAlign w:val="center"/>
            <w:hideMark/>
          </w:tcPr>
          <w:p w14:paraId="016FCF85" w14:textId="6818D25B" w:rsidR="001266F9" w:rsidRPr="00EE3AFD" w:rsidRDefault="001266F9" w:rsidP="001266F9">
            <w:pPr>
              <w:keepNext/>
              <w:spacing w:before="0" w:after="0" w:line="240" w:lineRule="auto"/>
              <w:jc w:val="right"/>
              <w:rPr>
                <w:rFonts w:ascii="Arial" w:hAnsi="Arial" w:cs="Arial"/>
                <w:color w:val="000000"/>
                <w:szCs w:val="20"/>
              </w:rPr>
            </w:pPr>
            <w:r>
              <w:rPr>
                <w:rFonts w:ascii="Arial" w:hAnsi="Arial" w:cs="Arial"/>
                <w:color w:val="000000"/>
                <w:szCs w:val="20"/>
              </w:rPr>
              <w:t>67</w:t>
            </w:r>
          </w:p>
        </w:tc>
        <w:tc>
          <w:tcPr>
            <w:tcW w:w="964" w:type="dxa"/>
            <w:tcBorders>
              <w:top w:val="nil"/>
              <w:left w:val="nil"/>
              <w:bottom w:val="nil"/>
              <w:right w:val="nil"/>
            </w:tcBorders>
            <w:shd w:val="clear" w:color="000000" w:fill="F2F2F2"/>
            <w:noWrap/>
            <w:vAlign w:val="center"/>
            <w:hideMark/>
          </w:tcPr>
          <w:p w14:paraId="3978DA6A" w14:textId="1EFC7462" w:rsidR="001266F9" w:rsidRPr="00EE3AFD" w:rsidRDefault="001266F9" w:rsidP="001266F9">
            <w:pPr>
              <w:keepNext/>
              <w:spacing w:before="0" w:after="0" w:line="240" w:lineRule="auto"/>
              <w:jc w:val="right"/>
              <w:rPr>
                <w:rFonts w:ascii="Arial" w:hAnsi="Arial" w:cs="Arial"/>
                <w:color w:val="000000"/>
                <w:szCs w:val="20"/>
              </w:rPr>
            </w:pPr>
            <w:r>
              <w:rPr>
                <w:rFonts w:ascii="Arial" w:hAnsi="Arial" w:cs="Arial"/>
                <w:color w:val="000000"/>
                <w:szCs w:val="20"/>
              </w:rPr>
              <w:t>81.8</w:t>
            </w:r>
          </w:p>
        </w:tc>
        <w:tc>
          <w:tcPr>
            <w:tcW w:w="1191" w:type="dxa"/>
            <w:tcBorders>
              <w:top w:val="nil"/>
              <w:left w:val="nil"/>
              <w:bottom w:val="nil"/>
              <w:right w:val="nil"/>
            </w:tcBorders>
            <w:shd w:val="clear" w:color="000000" w:fill="F2F2F2"/>
            <w:noWrap/>
            <w:vAlign w:val="center"/>
            <w:hideMark/>
          </w:tcPr>
          <w:p w14:paraId="6C5FD7B8" w14:textId="4A27B28E" w:rsidR="001266F9" w:rsidRPr="00EE3AFD" w:rsidRDefault="001266F9" w:rsidP="001266F9">
            <w:pPr>
              <w:keepNext/>
              <w:spacing w:before="0" w:after="0" w:line="240" w:lineRule="auto"/>
              <w:jc w:val="right"/>
              <w:rPr>
                <w:rFonts w:ascii="Arial" w:hAnsi="Arial" w:cs="Arial"/>
                <w:color w:val="000000"/>
                <w:szCs w:val="20"/>
              </w:rPr>
            </w:pPr>
            <w:r>
              <w:rPr>
                <w:rFonts w:ascii="Arial" w:hAnsi="Arial" w:cs="Arial"/>
                <w:color w:val="000000"/>
                <w:szCs w:val="20"/>
              </w:rPr>
              <w:t>72.7</w:t>
            </w:r>
          </w:p>
        </w:tc>
        <w:tc>
          <w:tcPr>
            <w:tcW w:w="737" w:type="dxa"/>
            <w:tcBorders>
              <w:top w:val="nil"/>
              <w:left w:val="nil"/>
              <w:bottom w:val="nil"/>
              <w:right w:val="nil"/>
            </w:tcBorders>
            <w:shd w:val="clear" w:color="000000" w:fill="F2F2F2"/>
            <w:noWrap/>
            <w:vAlign w:val="center"/>
            <w:hideMark/>
          </w:tcPr>
          <w:p w14:paraId="33E39086" w14:textId="306D6CBE" w:rsidR="001266F9" w:rsidRPr="00EE3AFD" w:rsidRDefault="001266F9" w:rsidP="001266F9">
            <w:pPr>
              <w:keepNext/>
              <w:spacing w:before="0" w:after="0" w:line="240" w:lineRule="auto"/>
              <w:jc w:val="right"/>
              <w:rPr>
                <w:rFonts w:ascii="Arial" w:hAnsi="Arial" w:cs="Arial"/>
                <w:color w:val="000000"/>
                <w:szCs w:val="20"/>
              </w:rPr>
            </w:pPr>
            <w:r>
              <w:rPr>
                <w:rFonts w:ascii="Arial" w:hAnsi="Arial" w:cs="Arial"/>
                <w:color w:val="000000"/>
                <w:szCs w:val="20"/>
              </w:rPr>
              <w:t>76.1</w:t>
            </w:r>
          </w:p>
        </w:tc>
      </w:tr>
      <w:tr w:rsidR="001266F9" w:rsidRPr="00EE3AFD" w14:paraId="4B39A305" w14:textId="77777777" w:rsidTr="001266F9">
        <w:trPr>
          <w:trHeight w:val="288"/>
        </w:trPr>
        <w:tc>
          <w:tcPr>
            <w:tcW w:w="2324" w:type="dxa"/>
            <w:tcBorders>
              <w:top w:val="nil"/>
              <w:left w:val="nil"/>
              <w:bottom w:val="nil"/>
              <w:right w:val="nil"/>
            </w:tcBorders>
            <w:shd w:val="clear" w:color="000000" w:fill="F2F2F2"/>
            <w:noWrap/>
            <w:vAlign w:val="center"/>
            <w:hideMark/>
          </w:tcPr>
          <w:p w14:paraId="09AEF740" w14:textId="15D1E5E6" w:rsidR="001266F9" w:rsidRPr="00EE3AFD" w:rsidRDefault="001266F9" w:rsidP="001266F9">
            <w:pPr>
              <w:keepNext/>
              <w:spacing w:before="0" w:after="0" w:line="240" w:lineRule="auto"/>
              <w:rPr>
                <w:rFonts w:ascii="Arial" w:hAnsi="Arial" w:cs="Arial"/>
                <w:color w:val="000000"/>
                <w:szCs w:val="20"/>
              </w:rPr>
            </w:pPr>
            <w:r>
              <w:rPr>
                <w:rFonts w:ascii="Arial" w:hAnsi="Arial" w:cs="Arial"/>
                <w:color w:val="000000"/>
                <w:szCs w:val="20"/>
              </w:rPr>
              <w:t>Postgraduate</w:t>
            </w:r>
          </w:p>
        </w:tc>
        <w:tc>
          <w:tcPr>
            <w:tcW w:w="964" w:type="dxa"/>
            <w:tcBorders>
              <w:top w:val="nil"/>
              <w:left w:val="nil"/>
              <w:bottom w:val="nil"/>
              <w:right w:val="nil"/>
            </w:tcBorders>
            <w:shd w:val="clear" w:color="000000" w:fill="F2F2F2"/>
            <w:noWrap/>
            <w:vAlign w:val="center"/>
            <w:hideMark/>
          </w:tcPr>
          <w:p w14:paraId="184FFBD7" w14:textId="66CC5494" w:rsidR="001266F9" w:rsidRPr="00EE3AFD" w:rsidRDefault="001266F9" w:rsidP="001266F9">
            <w:pPr>
              <w:keepNext/>
              <w:spacing w:before="0" w:after="0" w:line="240" w:lineRule="auto"/>
              <w:jc w:val="right"/>
              <w:rPr>
                <w:rFonts w:ascii="Arial" w:hAnsi="Arial" w:cs="Arial"/>
                <w:color w:val="000000"/>
                <w:szCs w:val="20"/>
              </w:rPr>
            </w:pPr>
            <w:r>
              <w:rPr>
                <w:rFonts w:ascii="Arial" w:hAnsi="Arial" w:cs="Arial"/>
                <w:color w:val="000000"/>
                <w:szCs w:val="20"/>
              </w:rPr>
              <w:t>6</w:t>
            </w:r>
          </w:p>
        </w:tc>
        <w:tc>
          <w:tcPr>
            <w:tcW w:w="1191" w:type="dxa"/>
            <w:tcBorders>
              <w:top w:val="nil"/>
              <w:left w:val="nil"/>
              <w:bottom w:val="nil"/>
              <w:right w:val="nil"/>
            </w:tcBorders>
            <w:shd w:val="clear" w:color="000000" w:fill="F2F2F2"/>
            <w:noWrap/>
            <w:vAlign w:val="center"/>
            <w:hideMark/>
          </w:tcPr>
          <w:p w14:paraId="4F7D1350" w14:textId="6AFF9570" w:rsidR="001266F9" w:rsidRPr="00EE3AFD" w:rsidRDefault="001266F9" w:rsidP="001266F9">
            <w:pPr>
              <w:keepNext/>
              <w:spacing w:before="0" w:after="0" w:line="240" w:lineRule="auto"/>
              <w:jc w:val="right"/>
              <w:rPr>
                <w:rFonts w:ascii="Arial" w:hAnsi="Arial" w:cs="Arial"/>
                <w:color w:val="000000"/>
                <w:szCs w:val="20"/>
              </w:rPr>
            </w:pPr>
            <w:r>
              <w:rPr>
                <w:rFonts w:ascii="Arial" w:hAnsi="Arial" w:cs="Arial"/>
                <w:color w:val="000000"/>
                <w:szCs w:val="20"/>
              </w:rPr>
              <w:t>13</w:t>
            </w:r>
          </w:p>
        </w:tc>
        <w:tc>
          <w:tcPr>
            <w:tcW w:w="737" w:type="dxa"/>
            <w:tcBorders>
              <w:top w:val="nil"/>
              <w:left w:val="nil"/>
              <w:bottom w:val="nil"/>
              <w:right w:val="nil"/>
            </w:tcBorders>
            <w:shd w:val="clear" w:color="000000" w:fill="F2F2F2"/>
            <w:noWrap/>
            <w:vAlign w:val="center"/>
            <w:hideMark/>
          </w:tcPr>
          <w:p w14:paraId="0C5AC459" w14:textId="3C94C1A6" w:rsidR="001266F9" w:rsidRPr="00EE3AFD" w:rsidRDefault="001266F9" w:rsidP="001266F9">
            <w:pPr>
              <w:keepNext/>
              <w:spacing w:before="0" w:after="0" w:line="240" w:lineRule="auto"/>
              <w:jc w:val="right"/>
              <w:rPr>
                <w:rFonts w:ascii="Arial" w:hAnsi="Arial" w:cs="Arial"/>
                <w:color w:val="000000"/>
                <w:szCs w:val="20"/>
              </w:rPr>
            </w:pPr>
            <w:r>
              <w:rPr>
                <w:rFonts w:ascii="Arial" w:hAnsi="Arial" w:cs="Arial"/>
                <w:color w:val="000000"/>
                <w:szCs w:val="20"/>
              </w:rPr>
              <w:t>19</w:t>
            </w:r>
          </w:p>
        </w:tc>
        <w:tc>
          <w:tcPr>
            <w:tcW w:w="964" w:type="dxa"/>
            <w:tcBorders>
              <w:top w:val="nil"/>
              <w:left w:val="nil"/>
              <w:bottom w:val="nil"/>
              <w:right w:val="nil"/>
            </w:tcBorders>
            <w:shd w:val="clear" w:color="000000" w:fill="F2F2F2"/>
            <w:noWrap/>
            <w:vAlign w:val="center"/>
            <w:hideMark/>
          </w:tcPr>
          <w:p w14:paraId="112B4D79" w14:textId="7294A4A8" w:rsidR="001266F9" w:rsidRPr="00EE3AFD" w:rsidRDefault="001266F9" w:rsidP="001266F9">
            <w:pPr>
              <w:keepNext/>
              <w:spacing w:before="0" w:after="0" w:line="240" w:lineRule="auto"/>
              <w:jc w:val="right"/>
              <w:rPr>
                <w:rFonts w:ascii="Arial" w:hAnsi="Arial" w:cs="Arial"/>
                <w:color w:val="000000"/>
                <w:szCs w:val="20"/>
              </w:rPr>
            </w:pPr>
            <w:r>
              <w:rPr>
                <w:rFonts w:ascii="Arial" w:hAnsi="Arial" w:cs="Arial"/>
                <w:color w:val="000000"/>
                <w:szCs w:val="20"/>
              </w:rPr>
              <w:t>18.2</w:t>
            </w:r>
          </w:p>
        </w:tc>
        <w:tc>
          <w:tcPr>
            <w:tcW w:w="1191" w:type="dxa"/>
            <w:tcBorders>
              <w:top w:val="nil"/>
              <w:left w:val="nil"/>
              <w:bottom w:val="nil"/>
              <w:right w:val="nil"/>
            </w:tcBorders>
            <w:shd w:val="clear" w:color="000000" w:fill="F2F2F2"/>
            <w:noWrap/>
            <w:vAlign w:val="center"/>
            <w:hideMark/>
          </w:tcPr>
          <w:p w14:paraId="4547C4D8" w14:textId="2F03F3A8" w:rsidR="001266F9" w:rsidRPr="00EE3AFD" w:rsidRDefault="001266F9" w:rsidP="001266F9">
            <w:pPr>
              <w:keepNext/>
              <w:spacing w:before="0" w:after="0" w:line="240" w:lineRule="auto"/>
              <w:jc w:val="right"/>
              <w:rPr>
                <w:rFonts w:ascii="Arial" w:hAnsi="Arial" w:cs="Arial"/>
                <w:color w:val="000000"/>
                <w:szCs w:val="20"/>
              </w:rPr>
            </w:pPr>
            <w:r>
              <w:rPr>
                <w:rFonts w:ascii="Arial" w:hAnsi="Arial" w:cs="Arial"/>
                <w:color w:val="000000"/>
                <w:szCs w:val="20"/>
              </w:rPr>
              <w:t>23.6</w:t>
            </w:r>
          </w:p>
        </w:tc>
        <w:tc>
          <w:tcPr>
            <w:tcW w:w="737" w:type="dxa"/>
            <w:tcBorders>
              <w:top w:val="nil"/>
              <w:left w:val="nil"/>
              <w:bottom w:val="nil"/>
              <w:right w:val="nil"/>
            </w:tcBorders>
            <w:shd w:val="clear" w:color="000000" w:fill="F2F2F2"/>
            <w:noWrap/>
            <w:vAlign w:val="center"/>
            <w:hideMark/>
          </w:tcPr>
          <w:p w14:paraId="6D575A8C" w14:textId="56AF1553" w:rsidR="001266F9" w:rsidRPr="00EE3AFD" w:rsidRDefault="001266F9" w:rsidP="001266F9">
            <w:pPr>
              <w:keepNext/>
              <w:spacing w:before="0" w:after="0" w:line="240" w:lineRule="auto"/>
              <w:jc w:val="right"/>
              <w:rPr>
                <w:rFonts w:ascii="Arial" w:hAnsi="Arial" w:cs="Arial"/>
                <w:color w:val="000000"/>
                <w:szCs w:val="20"/>
              </w:rPr>
            </w:pPr>
            <w:r>
              <w:rPr>
                <w:rFonts w:ascii="Arial" w:hAnsi="Arial" w:cs="Arial"/>
                <w:color w:val="000000"/>
                <w:szCs w:val="20"/>
              </w:rPr>
              <w:t>21.6</w:t>
            </w:r>
          </w:p>
        </w:tc>
      </w:tr>
      <w:tr w:rsidR="001266F9" w:rsidRPr="00EE3AFD" w14:paraId="013489CD" w14:textId="77777777" w:rsidTr="001266F9">
        <w:trPr>
          <w:trHeight w:val="288"/>
        </w:trPr>
        <w:tc>
          <w:tcPr>
            <w:tcW w:w="2324" w:type="dxa"/>
            <w:tcBorders>
              <w:top w:val="nil"/>
              <w:left w:val="nil"/>
              <w:bottom w:val="nil"/>
              <w:right w:val="nil"/>
            </w:tcBorders>
            <w:shd w:val="clear" w:color="000000" w:fill="F2F2F2"/>
            <w:noWrap/>
            <w:vAlign w:val="center"/>
            <w:hideMark/>
          </w:tcPr>
          <w:p w14:paraId="7D2FE1E3" w14:textId="3D508FF2" w:rsidR="001266F9" w:rsidRPr="00EE3AFD" w:rsidRDefault="001266F9" w:rsidP="001266F9">
            <w:pPr>
              <w:spacing w:before="0" w:after="0" w:line="240" w:lineRule="auto"/>
              <w:rPr>
                <w:rFonts w:ascii="Arial" w:hAnsi="Arial" w:cs="Arial"/>
                <w:color w:val="000000"/>
                <w:szCs w:val="20"/>
              </w:rPr>
            </w:pPr>
            <w:r>
              <w:rPr>
                <w:rFonts w:ascii="Arial" w:hAnsi="Arial" w:cs="Arial"/>
                <w:color w:val="000000"/>
                <w:szCs w:val="20"/>
              </w:rPr>
              <w:t>Missing</w:t>
            </w:r>
          </w:p>
        </w:tc>
        <w:tc>
          <w:tcPr>
            <w:tcW w:w="964" w:type="dxa"/>
            <w:tcBorders>
              <w:top w:val="nil"/>
              <w:left w:val="nil"/>
              <w:bottom w:val="nil"/>
              <w:right w:val="nil"/>
            </w:tcBorders>
            <w:shd w:val="clear" w:color="000000" w:fill="F2F2F2"/>
            <w:noWrap/>
            <w:vAlign w:val="center"/>
            <w:hideMark/>
          </w:tcPr>
          <w:p w14:paraId="30F9B0F6" w14:textId="7C6EB8E6" w:rsidR="001266F9" w:rsidRPr="00EE3AFD" w:rsidRDefault="001266F9" w:rsidP="001266F9">
            <w:pPr>
              <w:spacing w:before="0" w:after="0" w:line="240" w:lineRule="auto"/>
              <w:jc w:val="right"/>
              <w:rPr>
                <w:rFonts w:ascii="Arial" w:hAnsi="Arial" w:cs="Arial"/>
                <w:color w:val="000000"/>
                <w:szCs w:val="20"/>
              </w:rPr>
            </w:pPr>
            <w:r>
              <w:rPr>
                <w:rFonts w:ascii="Arial" w:hAnsi="Arial" w:cs="Arial"/>
                <w:color w:val="000000"/>
                <w:szCs w:val="20"/>
              </w:rPr>
              <w:t>0</w:t>
            </w:r>
          </w:p>
        </w:tc>
        <w:tc>
          <w:tcPr>
            <w:tcW w:w="1191" w:type="dxa"/>
            <w:tcBorders>
              <w:top w:val="nil"/>
              <w:left w:val="nil"/>
              <w:bottom w:val="nil"/>
              <w:right w:val="nil"/>
            </w:tcBorders>
            <w:shd w:val="clear" w:color="000000" w:fill="F2F2F2"/>
            <w:noWrap/>
            <w:vAlign w:val="center"/>
            <w:hideMark/>
          </w:tcPr>
          <w:p w14:paraId="76068BA1" w14:textId="3C54DFC7" w:rsidR="001266F9" w:rsidRPr="00EE3AFD" w:rsidRDefault="001266F9" w:rsidP="001266F9">
            <w:pPr>
              <w:spacing w:before="0" w:after="0" w:line="240" w:lineRule="auto"/>
              <w:jc w:val="right"/>
              <w:rPr>
                <w:rFonts w:ascii="Arial" w:hAnsi="Arial" w:cs="Arial"/>
                <w:color w:val="000000"/>
                <w:szCs w:val="20"/>
              </w:rPr>
            </w:pPr>
            <w:r>
              <w:rPr>
                <w:rFonts w:ascii="Arial" w:hAnsi="Arial" w:cs="Arial"/>
                <w:color w:val="000000"/>
                <w:szCs w:val="20"/>
              </w:rPr>
              <w:t>2</w:t>
            </w:r>
          </w:p>
        </w:tc>
        <w:tc>
          <w:tcPr>
            <w:tcW w:w="737" w:type="dxa"/>
            <w:tcBorders>
              <w:top w:val="nil"/>
              <w:left w:val="nil"/>
              <w:bottom w:val="nil"/>
              <w:right w:val="nil"/>
            </w:tcBorders>
            <w:shd w:val="clear" w:color="000000" w:fill="F2F2F2"/>
            <w:noWrap/>
            <w:vAlign w:val="center"/>
            <w:hideMark/>
          </w:tcPr>
          <w:p w14:paraId="74279D84" w14:textId="373B1EB5" w:rsidR="001266F9" w:rsidRPr="00EE3AFD" w:rsidRDefault="001266F9" w:rsidP="001266F9">
            <w:pPr>
              <w:spacing w:before="0" w:after="0" w:line="240" w:lineRule="auto"/>
              <w:jc w:val="right"/>
              <w:rPr>
                <w:rFonts w:ascii="Arial" w:hAnsi="Arial" w:cs="Arial"/>
                <w:color w:val="000000"/>
                <w:szCs w:val="20"/>
              </w:rPr>
            </w:pPr>
            <w:r>
              <w:rPr>
                <w:rFonts w:ascii="Arial" w:hAnsi="Arial" w:cs="Arial"/>
                <w:color w:val="000000"/>
                <w:szCs w:val="20"/>
              </w:rPr>
              <w:t>2</w:t>
            </w:r>
          </w:p>
        </w:tc>
        <w:tc>
          <w:tcPr>
            <w:tcW w:w="964" w:type="dxa"/>
            <w:tcBorders>
              <w:top w:val="nil"/>
              <w:left w:val="nil"/>
              <w:bottom w:val="nil"/>
              <w:right w:val="nil"/>
            </w:tcBorders>
            <w:shd w:val="clear" w:color="000000" w:fill="F2F2F2"/>
            <w:noWrap/>
            <w:vAlign w:val="center"/>
            <w:hideMark/>
          </w:tcPr>
          <w:p w14:paraId="2ED2BEE0" w14:textId="48A624A1" w:rsidR="001266F9" w:rsidRPr="00EE3AFD" w:rsidRDefault="001266F9" w:rsidP="001266F9">
            <w:pPr>
              <w:spacing w:before="0" w:after="0" w:line="240" w:lineRule="auto"/>
              <w:jc w:val="right"/>
              <w:rPr>
                <w:rFonts w:ascii="Arial" w:hAnsi="Arial" w:cs="Arial"/>
                <w:color w:val="000000"/>
                <w:szCs w:val="20"/>
              </w:rPr>
            </w:pPr>
            <w:r>
              <w:rPr>
                <w:rFonts w:ascii="Arial" w:hAnsi="Arial" w:cs="Arial"/>
                <w:color w:val="000000"/>
                <w:szCs w:val="20"/>
              </w:rPr>
              <w:t>0.0</w:t>
            </w:r>
          </w:p>
        </w:tc>
        <w:tc>
          <w:tcPr>
            <w:tcW w:w="1191" w:type="dxa"/>
            <w:tcBorders>
              <w:top w:val="nil"/>
              <w:left w:val="nil"/>
              <w:bottom w:val="nil"/>
              <w:right w:val="nil"/>
            </w:tcBorders>
            <w:shd w:val="clear" w:color="000000" w:fill="F2F2F2"/>
            <w:noWrap/>
            <w:vAlign w:val="center"/>
            <w:hideMark/>
          </w:tcPr>
          <w:p w14:paraId="65F15CD5" w14:textId="02AD8992" w:rsidR="001266F9" w:rsidRPr="00EE3AFD" w:rsidRDefault="001266F9" w:rsidP="001266F9">
            <w:pPr>
              <w:spacing w:before="0" w:after="0" w:line="240" w:lineRule="auto"/>
              <w:jc w:val="right"/>
              <w:rPr>
                <w:rFonts w:ascii="Arial" w:hAnsi="Arial" w:cs="Arial"/>
                <w:color w:val="000000"/>
                <w:szCs w:val="20"/>
              </w:rPr>
            </w:pPr>
            <w:r>
              <w:rPr>
                <w:rFonts w:ascii="Arial" w:hAnsi="Arial" w:cs="Arial"/>
                <w:color w:val="000000"/>
                <w:szCs w:val="20"/>
              </w:rPr>
              <w:t>3.6</w:t>
            </w:r>
          </w:p>
        </w:tc>
        <w:tc>
          <w:tcPr>
            <w:tcW w:w="737" w:type="dxa"/>
            <w:tcBorders>
              <w:top w:val="nil"/>
              <w:left w:val="nil"/>
              <w:bottom w:val="nil"/>
              <w:right w:val="nil"/>
            </w:tcBorders>
            <w:shd w:val="clear" w:color="000000" w:fill="F2F2F2"/>
            <w:noWrap/>
            <w:vAlign w:val="center"/>
            <w:hideMark/>
          </w:tcPr>
          <w:p w14:paraId="77833FD3" w14:textId="67979589" w:rsidR="001266F9" w:rsidRPr="00EE3AFD" w:rsidRDefault="001266F9" w:rsidP="001266F9">
            <w:pPr>
              <w:spacing w:before="0" w:after="0" w:line="240" w:lineRule="auto"/>
              <w:jc w:val="right"/>
              <w:rPr>
                <w:rFonts w:ascii="Arial" w:hAnsi="Arial" w:cs="Arial"/>
                <w:color w:val="000000"/>
                <w:szCs w:val="20"/>
              </w:rPr>
            </w:pPr>
            <w:r>
              <w:rPr>
                <w:rFonts w:ascii="Arial" w:hAnsi="Arial" w:cs="Arial"/>
                <w:color w:val="000000"/>
                <w:szCs w:val="20"/>
              </w:rPr>
              <w:t>2.3</w:t>
            </w:r>
          </w:p>
        </w:tc>
      </w:tr>
    </w:tbl>
    <w:p w14:paraId="2F59D3E5" w14:textId="30EEB906" w:rsidR="000F3E99" w:rsidRDefault="000F3E99" w:rsidP="00CB1E33"/>
    <w:p w14:paraId="762E578E" w14:textId="1809DB46" w:rsidR="00B57CD1" w:rsidRDefault="00BF743C" w:rsidP="00BF743C">
      <w:pPr>
        <w:pStyle w:val="FigureHeading"/>
        <w:numPr>
          <w:ilvl w:val="0"/>
          <w:numId w:val="0"/>
        </w:numPr>
        <w:ind w:left="1430" w:hanging="720"/>
      </w:pPr>
      <w:r>
        <w:t xml:space="preserve">Figure 26: </w:t>
      </w:r>
      <w:r w:rsidR="000F3E99">
        <w:t>L</w:t>
      </w:r>
      <w:r w:rsidR="00B57CD1">
        <w:t xml:space="preserve">ikelihood </w:t>
      </w:r>
      <w:r w:rsidR="000F3E99">
        <w:t xml:space="preserve">of </w:t>
      </w:r>
      <w:r w:rsidR="00B57CD1">
        <w:t>continu</w:t>
      </w:r>
      <w:r w:rsidR="000F3E99">
        <w:t>ing</w:t>
      </w:r>
      <w:r w:rsidR="00B57CD1">
        <w:t xml:space="preserve"> with economics</w:t>
      </w:r>
      <w:r w:rsidR="000F3E99">
        <w:t xml:space="preserve"> at baseline</w:t>
      </w:r>
    </w:p>
    <w:tbl>
      <w:tblPr>
        <w:tblW w:w="8222" w:type="dxa"/>
        <w:tblLook w:val="04A0" w:firstRow="1" w:lastRow="0" w:firstColumn="1" w:lastColumn="0" w:noHBand="0" w:noVBand="1"/>
        <w:tblCaption w:val="Figure 26: Likelihood of continuing with economics at baseline"/>
      </w:tblPr>
      <w:tblGrid>
        <w:gridCol w:w="2438"/>
        <w:gridCol w:w="964"/>
        <w:gridCol w:w="1191"/>
        <w:gridCol w:w="737"/>
        <w:gridCol w:w="964"/>
        <w:gridCol w:w="1191"/>
        <w:gridCol w:w="737"/>
      </w:tblGrid>
      <w:tr w:rsidR="00B57CD1" w:rsidRPr="00B57CD1" w14:paraId="3DFABD6C" w14:textId="77777777" w:rsidTr="00731CEB">
        <w:trPr>
          <w:trHeight w:val="288"/>
          <w:tblHeader/>
        </w:trPr>
        <w:tc>
          <w:tcPr>
            <w:tcW w:w="2438" w:type="dxa"/>
            <w:tcBorders>
              <w:top w:val="nil"/>
              <w:left w:val="nil"/>
              <w:bottom w:val="nil"/>
              <w:right w:val="nil"/>
            </w:tcBorders>
            <w:shd w:val="clear" w:color="000000" w:fill="142E3A"/>
            <w:noWrap/>
            <w:vAlign w:val="center"/>
            <w:hideMark/>
          </w:tcPr>
          <w:p w14:paraId="3F3298D4" w14:textId="77777777" w:rsidR="00B57CD1" w:rsidRPr="00B57CD1" w:rsidRDefault="00B57CD1" w:rsidP="00B57CD1">
            <w:pPr>
              <w:keepNext/>
              <w:spacing w:before="0" w:after="0" w:line="240" w:lineRule="auto"/>
              <w:rPr>
                <w:rFonts w:ascii="Arial" w:hAnsi="Arial" w:cs="Arial"/>
                <w:b/>
                <w:bCs/>
                <w:color w:val="FFFFFF"/>
                <w:szCs w:val="20"/>
              </w:rPr>
            </w:pPr>
            <w:r w:rsidRPr="00B57CD1">
              <w:rPr>
                <w:rFonts w:ascii="Arial" w:hAnsi="Arial" w:cs="Arial"/>
                <w:b/>
                <w:bCs/>
                <w:color w:val="FFFFFF"/>
                <w:szCs w:val="20"/>
              </w:rPr>
              <w:t> </w:t>
            </w:r>
          </w:p>
        </w:tc>
        <w:tc>
          <w:tcPr>
            <w:tcW w:w="964" w:type="dxa"/>
            <w:tcBorders>
              <w:top w:val="nil"/>
              <w:left w:val="nil"/>
              <w:bottom w:val="nil"/>
              <w:right w:val="nil"/>
            </w:tcBorders>
            <w:shd w:val="clear" w:color="000000" w:fill="142E3A"/>
            <w:noWrap/>
            <w:vAlign w:val="center"/>
            <w:hideMark/>
          </w:tcPr>
          <w:p w14:paraId="131DD3B6" w14:textId="77777777" w:rsidR="00B57CD1" w:rsidRPr="00B57CD1" w:rsidRDefault="00B57CD1" w:rsidP="00B57CD1">
            <w:pPr>
              <w:keepNext/>
              <w:spacing w:before="0" w:after="0" w:line="240" w:lineRule="auto"/>
              <w:jc w:val="center"/>
              <w:rPr>
                <w:rFonts w:ascii="Arial" w:hAnsi="Arial" w:cs="Arial"/>
                <w:b/>
                <w:bCs/>
                <w:color w:val="FFFFFF"/>
                <w:szCs w:val="20"/>
              </w:rPr>
            </w:pPr>
            <w:r w:rsidRPr="00B57CD1">
              <w:rPr>
                <w:rFonts w:ascii="Arial" w:hAnsi="Arial" w:cs="Arial"/>
                <w:b/>
                <w:bCs/>
                <w:color w:val="FFFFFF"/>
                <w:szCs w:val="20"/>
              </w:rPr>
              <w:t>Control</w:t>
            </w:r>
          </w:p>
        </w:tc>
        <w:tc>
          <w:tcPr>
            <w:tcW w:w="1191" w:type="dxa"/>
            <w:tcBorders>
              <w:top w:val="nil"/>
              <w:left w:val="nil"/>
              <w:bottom w:val="nil"/>
              <w:right w:val="nil"/>
            </w:tcBorders>
            <w:shd w:val="clear" w:color="000000" w:fill="142E3A"/>
            <w:noWrap/>
            <w:vAlign w:val="center"/>
            <w:hideMark/>
          </w:tcPr>
          <w:p w14:paraId="7A4FA6A9" w14:textId="77777777" w:rsidR="00B57CD1" w:rsidRPr="00B57CD1" w:rsidRDefault="00B57CD1" w:rsidP="00B57CD1">
            <w:pPr>
              <w:keepNext/>
              <w:spacing w:before="0" w:after="0" w:line="240" w:lineRule="auto"/>
              <w:jc w:val="center"/>
              <w:rPr>
                <w:rFonts w:ascii="Arial" w:hAnsi="Arial" w:cs="Arial"/>
                <w:b/>
                <w:bCs/>
                <w:color w:val="FFFFFF"/>
                <w:szCs w:val="20"/>
              </w:rPr>
            </w:pPr>
            <w:r w:rsidRPr="00B57CD1">
              <w:rPr>
                <w:rFonts w:ascii="Arial" w:hAnsi="Arial" w:cs="Arial"/>
                <w:b/>
                <w:bCs/>
                <w:color w:val="FFFFFF"/>
                <w:szCs w:val="20"/>
              </w:rPr>
              <w:t>Treatment</w:t>
            </w:r>
          </w:p>
        </w:tc>
        <w:tc>
          <w:tcPr>
            <w:tcW w:w="737" w:type="dxa"/>
            <w:tcBorders>
              <w:top w:val="nil"/>
              <w:left w:val="nil"/>
              <w:bottom w:val="nil"/>
              <w:right w:val="nil"/>
            </w:tcBorders>
            <w:shd w:val="clear" w:color="000000" w:fill="142E3A"/>
            <w:noWrap/>
            <w:vAlign w:val="center"/>
            <w:hideMark/>
          </w:tcPr>
          <w:p w14:paraId="5CB98E6A" w14:textId="77777777" w:rsidR="00B57CD1" w:rsidRPr="00B57CD1" w:rsidRDefault="00B57CD1" w:rsidP="00B57CD1">
            <w:pPr>
              <w:keepNext/>
              <w:spacing w:before="0" w:after="0" w:line="240" w:lineRule="auto"/>
              <w:jc w:val="center"/>
              <w:rPr>
                <w:rFonts w:ascii="Arial" w:hAnsi="Arial" w:cs="Arial"/>
                <w:b/>
                <w:bCs/>
                <w:color w:val="FFFFFF"/>
                <w:szCs w:val="20"/>
              </w:rPr>
            </w:pPr>
            <w:r w:rsidRPr="00B57CD1">
              <w:rPr>
                <w:rFonts w:ascii="Arial" w:hAnsi="Arial" w:cs="Arial"/>
                <w:b/>
                <w:bCs/>
                <w:color w:val="FFFFFF"/>
                <w:szCs w:val="20"/>
              </w:rPr>
              <w:t>All</w:t>
            </w:r>
          </w:p>
        </w:tc>
        <w:tc>
          <w:tcPr>
            <w:tcW w:w="964" w:type="dxa"/>
            <w:tcBorders>
              <w:top w:val="nil"/>
              <w:left w:val="nil"/>
              <w:bottom w:val="nil"/>
              <w:right w:val="nil"/>
            </w:tcBorders>
            <w:shd w:val="clear" w:color="000000" w:fill="142E3A"/>
            <w:noWrap/>
            <w:vAlign w:val="center"/>
            <w:hideMark/>
          </w:tcPr>
          <w:p w14:paraId="55995D6F" w14:textId="77777777" w:rsidR="00B57CD1" w:rsidRPr="00B57CD1" w:rsidRDefault="00B57CD1" w:rsidP="00B57CD1">
            <w:pPr>
              <w:keepNext/>
              <w:spacing w:before="0" w:after="0" w:line="240" w:lineRule="auto"/>
              <w:jc w:val="center"/>
              <w:rPr>
                <w:rFonts w:ascii="Arial" w:hAnsi="Arial" w:cs="Arial"/>
                <w:b/>
                <w:bCs/>
                <w:color w:val="FFFFFF"/>
                <w:szCs w:val="20"/>
              </w:rPr>
            </w:pPr>
            <w:r w:rsidRPr="00B57CD1">
              <w:rPr>
                <w:rFonts w:ascii="Arial" w:hAnsi="Arial" w:cs="Arial"/>
                <w:b/>
                <w:bCs/>
                <w:color w:val="FFFFFF"/>
                <w:szCs w:val="20"/>
              </w:rPr>
              <w:t>Control</w:t>
            </w:r>
          </w:p>
        </w:tc>
        <w:tc>
          <w:tcPr>
            <w:tcW w:w="1191" w:type="dxa"/>
            <w:tcBorders>
              <w:top w:val="nil"/>
              <w:left w:val="nil"/>
              <w:bottom w:val="nil"/>
              <w:right w:val="nil"/>
            </w:tcBorders>
            <w:shd w:val="clear" w:color="000000" w:fill="142E3A"/>
            <w:noWrap/>
            <w:vAlign w:val="center"/>
            <w:hideMark/>
          </w:tcPr>
          <w:p w14:paraId="77A25EDC" w14:textId="77777777" w:rsidR="00B57CD1" w:rsidRPr="00B57CD1" w:rsidRDefault="00B57CD1" w:rsidP="00B57CD1">
            <w:pPr>
              <w:keepNext/>
              <w:spacing w:before="0" w:after="0" w:line="240" w:lineRule="auto"/>
              <w:jc w:val="center"/>
              <w:rPr>
                <w:rFonts w:ascii="Arial" w:hAnsi="Arial" w:cs="Arial"/>
                <w:b/>
                <w:bCs/>
                <w:color w:val="FFFFFF"/>
                <w:szCs w:val="20"/>
              </w:rPr>
            </w:pPr>
            <w:r w:rsidRPr="00B57CD1">
              <w:rPr>
                <w:rFonts w:ascii="Arial" w:hAnsi="Arial" w:cs="Arial"/>
                <w:b/>
                <w:bCs/>
                <w:color w:val="FFFFFF"/>
                <w:szCs w:val="20"/>
              </w:rPr>
              <w:t>Treatment</w:t>
            </w:r>
          </w:p>
        </w:tc>
        <w:tc>
          <w:tcPr>
            <w:tcW w:w="737" w:type="dxa"/>
            <w:tcBorders>
              <w:top w:val="nil"/>
              <w:left w:val="nil"/>
              <w:bottom w:val="nil"/>
              <w:right w:val="nil"/>
            </w:tcBorders>
            <w:shd w:val="clear" w:color="000000" w:fill="142E3A"/>
            <w:noWrap/>
            <w:vAlign w:val="center"/>
            <w:hideMark/>
          </w:tcPr>
          <w:p w14:paraId="2B1E2193" w14:textId="77777777" w:rsidR="00B57CD1" w:rsidRPr="00B57CD1" w:rsidRDefault="00B57CD1" w:rsidP="00B57CD1">
            <w:pPr>
              <w:keepNext/>
              <w:spacing w:before="0" w:after="0" w:line="240" w:lineRule="auto"/>
              <w:jc w:val="center"/>
              <w:rPr>
                <w:rFonts w:ascii="Arial" w:hAnsi="Arial" w:cs="Arial"/>
                <w:b/>
                <w:bCs/>
                <w:color w:val="FFFFFF"/>
                <w:szCs w:val="20"/>
              </w:rPr>
            </w:pPr>
            <w:r w:rsidRPr="00B57CD1">
              <w:rPr>
                <w:rFonts w:ascii="Arial" w:hAnsi="Arial" w:cs="Arial"/>
                <w:b/>
                <w:bCs/>
                <w:color w:val="FFFFFF"/>
                <w:szCs w:val="20"/>
              </w:rPr>
              <w:t>All</w:t>
            </w:r>
          </w:p>
        </w:tc>
      </w:tr>
      <w:tr w:rsidR="00B57CD1" w:rsidRPr="00B57CD1" w14:paraId="2E3DFE2C" w14:textId="77777777" w:rsidTr="00731CEB">
        <w:trPr>
          <w:trHeight w:val="288"/>
          <w:tblHeader/>
        </w:trPr>
        <w:tc>
          <w:tcPr>
            <w:tcW w:w="2438" w:type="dxa"/>
            <w:tcBorders>
              <w:top w:val="nil"/>
              <w:left w:val="nil"/>
              <w:bottom w:val="nil"/>
              <w:right w:val="nil"/>
            </w:tcBorders>
            <w:shd w:val="clear" w:color="000000" w:fill="142E3A"/>
            <w:noWrap/>
            <w:vAlign w:val="center"/>
            <w:hideMark/>
          </w:tcPr>
          <w:p w14:paraId="5741BAD7" w14:textId="77777777" w:rsidR="00B57CD1" w:rsidRPr="00B57CD1" w:rsidRDefault="00B57CD1" w:rsidP="00B57CD1">
            <w:pPr>
              <w:keepNext/>
              <w:spacing w:before="0" w:after="0" w:line="240" w:lineRule="auto"/>
              <w:rPr>
                <w:rFonts w:ascii="Arial" w:hAnsi="Arial" w:cs="Arial"/>
                <w:color w:val="FFFFFF"/>
                <w:szCs w:val="20"/>
              </w:rPr>
            </w:pPr>
            <w:r w:rsidRPr="00B57CD1">
              <w:rPr>
                <w:rFonts w:ascii="Arial" w:hAnsi="Arial" w:cs="Arial"/>
                <w:color w:val="FFFFFF"/>
                <w:szCs w:val="20"/>
              </w:rPr>
              <w:t> </w:t>
            </w:r>
          </w:p>
        </w:tc>
        <w:tc>
          <w:tcPr>
            <w:tcW w:w="964" w:type="dxa"/>
            <w:tcBorders>
              <w:top w:val="nil"/>
              <w:left w:val="nil"/>
              <w:bottom w:val="nil"/>
              <w:right w:val="nil"/>
            </w:tcBorders>
            <w:shd w:val="clear" w:color="000000" w:fill="142E3A"/>
            <w:noWrap/>
            <w:vAlign w:val="center"/>
            <w:hideMark/>
          </w:tcPr>
          <w:p w14:paraId="0FA9A572" w14:textId="77777777" w:rsidR="00B57CD1" w:rsidRPr="00B57CD1" w:rsidRDefault="00B57CD1" w:rsidP="00B57CD1">
            <w:pPr>
              <w:keepNext/>
              <w:spacing w:before="0" w:after="0" w:line="240" w:lineRule="auto"/>
              <w:jc w:val="center"/>
              <w:rPr>
                <w:rFonts w:ascii="Arial" w:hAnsi="Arial" w:cs="Arial"/>
                <w:color w:val="FFFFFF"/>
                <w:szCs w:val="20"/>
              </w:rPr>
            </w:pPr>
            <w:r w:rsidRPr="00B57CD1">
              <w:rPr>
                <w:rFonts w:ascii="Arial" w:hAnsi="Arial" w:cs="Arial"/>
                <w:color w:val="FFFFFF"/>
                <w:szCs w:val="20"/>
              </w:rPr>
              <w:t>n</w:t>
            </w:r>
          </w:p>
        </w:tc>
        <w:tc>
          <w:tcPr>
            <w:tcW w:w="1191" w:type="dxa"/>
            <w:tcBorders>
              <w:top w:val="nil"/>
              <w:left w:val="nil"/>
              <w:bottom w:val="nil"/>
              <w:right w:val="nil"/>
            </w:tcBorders>
            <w:shd w:val="clear" w:color="000000" w:fill="142E3A"/>
            <w:noWrap/>
            <w:vAlign w:val="center"/>
            <w:hideMark/>
          </w:tcPr>
          <w:p w14:paraId="7A3CC9FF" w14:textId="77777777" w:rsidR="00B57CD1" w:rsidRPr="00B57CD1" w:rsidRDefault="00B57CD1" w:rsidP="00B57CD1">
            <w:pPr>
              <w:keepNext/>
              <w:spacing w:before="0" w:after="0" w:line="240" w:lineRule="auto"/>
              <w:jc w:val="center"/>
              <w:rPr>
                <w:rFonts w:ascii="Arial" w:hAnsi="Arial" w:cs="Arial"/>
                <w:color w:val="FFFFFF"/>
                <w:szCs w:val="20"/>
              </w:rPr>
            </w:pPr>
            <w:r w:rsidRPr="00B57CD1">
              <w:rPr>
                <w:rFonts w:ascii="Arial" w:hAnsi="Arial" w:cs="Arial"/>
                <w:color w:val="FFFFFF"/>
                <w:szCs w:val="20"/>
              </w:rPr>
              <w:t>n</w:t>
            </w:r>
          </w:p>
        </w:tc>
        <w:tc>
          <w:tcPr>
            <w:tcW w:w="737" w:type="dxa"/>
            <w:tcBorders>
              <w:top w:val="nil"/>
              <w:left w:val="nil"/>
              <w:bottom w:val="nil"/>
              <w:right w:val="nil"/>
            </w:tcBorders>
            <w:shd w:val="clear" w:color="000000" w:fill="142E3A"/>
            <w:noWrap/>
            <w:vAlign w:val="center"/>
            <w:hideMark/>
          </w:tcPr>
          <w:p w14:paraId="091E35B3" w14:textId="77777777" w:rsidR="00B57CD1" w:rsidRPr="00B57CD1" w:rsidRDefault="00B57CD1" w:rsidP="00B57CD1">
            <w:pPr>
              <w:keepNext/>
              <w:spacing w:before="0" w:after="0" w:line="240" w:lineRule="auto"/>
              <w:jc w:val="center"/>
              <w:rPr>
                <w:rFonts w:ascii="Arial" w:hAnsi="Arial" w:cs="Arial"/>
                <w:color w:val="FFFFFF"/>
                <w:szCs w:val="20"/>
              </w:rPr>
            </w:pPr>
            <w:r w:rsidRPr="00B57CD1">
              <w:rPr>
                <w:rFonts w:ascii="Arial" w:hAnsi="Arial" w:cs="Arial"/>
                <w:color w:val="FFFFFF"/>
                <w:szCs w:val="20"/>
              </w:rPr>
              <w:t>n</w:t>
            </w:r>
          </w:p>
        </w:tc>
        <w:tc>
          <w:tcPr>
            <w:tcW w:w="964" w:type="dxa"/>
            <w:tcBorders>
              <w:top w:val="nil"/>
              <w:left w:val="nil"/>
              <w:bottom w:val="nil"/>
              <w:right w:val="nil"/>
            </w:tcBorders>
            <w:shd w:val="clear" w:color="000000" w:fill="142E3A"/>
            <w:noWrap/>
            <w:vAlign w:val="center"/>
            <w:hideMark/>
          </w:tcPr>
          <w:p w14:paraId="66FEC374" w14:textId="77777777" w:rsidR="00B57CD1" w:rsidRPr="00B57CD1" w:rsidRDefault="00B57CD1" w:rsidP="00B57CD1">
            <w:pPr>
              <w:keepNext/>
              <w:spacing w:before="0" w:after="0" w:line="240" w:lineRule="auto"/>
              <w:jc w:val="center"/>
              <w:rPr>
                <w:rFonts w:ascii="Arial" w:hAnsi="Arial" w:cs="Arial"/>
                <w:color w:val="FFFFFF"/>
                <w:szCs w:val="20"/>
              </w:rPr>
            </w:pPr>
            <w:r w:rsidRPr="00B57CD1">
              <w:rPr>
                <w:rFonts w:ascii="Arial" w:hAnsi="Arial" w:cs="Arial"/>
                <w:color w:val="FFFFFF"/>
                <w:szCs w:val="20"/>
              </w:rPr>
              <w:t>%</w:t>
            </w:r>
          </w:p>
        </w:tc>
        <w:tc>
          <w:tcPr>
            <w:tcW w:w="1191" w:type="dxa"/>
            <w:tcBorders>
              <w:top w:val="nil"/>
              <w:left w:val="nil"/>
              <w:bottom w:val="nil"/>
              <w:right w:val="nil"/>
            </w:tcBorders>
            <w:shd w:val="clear" w:color="000000" w:fill="142E3A"/>
            <w:noWrap/>
            <w:vAlign w:val="center"/>
            <w:hideMark/>
          </w:tcPr>
          <w:p w14:paraId="569D3885" w14:textId="77777777" w:rsidR="00B57CD1" w:rsidRPr="00B57CD1" w:rsidRDefault="00B57CD1" w:rsidP="00B57CD1">
            <w:pPr>
              <w:keepNext/>
              <w:spacing w:before="0" w:after="0" w:line="240" w:lineRule="auto"/>
              <w:jc w:val="center"/>
              <w:rPr>
                <w:rFonts w:ascii="Arial" w:hAnsi="Arial" w:cs="Arial"/>
                <w:color w:val="FFFFFF"/>
                <w:szCs w:val="20"/>
              </w:rPr>
            </w:pPr>
            <w:r w:rsidRPr="00B57CD1">
              <w:rPr>
                <w:rFonts w:ascii="Arial" w:hAnsi="Arial" w:cs="Arial"/>
                <w:color w:val="FFFFFF"/>
                <w:szCs w:val="20"/>
              </w:rPr>
              <w:t>%</w:t>
            </w:r>
          </w:p>
        </w:tc>
        <w:tc>
          <w:tcPr>
            <w:tcW w:w="737" w:type="dxa"/>
            <w:tcBorders>
              <w:top w:val="nil"/>
              <w:left w:val="nil"/>
              <w:bottom w:val="nil"/>
              <w:right w:val="nil"/>
            </w:tcBorders>
            <w:shd w:val="clear" w:color="000000" w:fill="142E3A"/>
            <w:noWrap/>
            <w:vAlign w:val="center"/>
            <w:hideMark/>
          </w:tcPr>
          <w:p w14:paraId="688E1810" w14:textId="77777777" w:rsidR="00B57CD1" w:rsidRPr="00B57CD1" w:rsidRDefault="00B57CD1" w:rsidP="00B57CD1">
            <w:pPr>
              <w:keepNext/>
              <w:spacing w:before="0" w:after="0" w:line="240" w:lineRule="auto"/>
              <w:jc w:val="center"/>
              <w:rPr>
                <w:rFonts w:ascii="Arial" w:hAnsi="Arial" w:cs="Arial"/>
                <w:color w:val="FFFFFF"/>
                <w:szCs w:val="20"/>
              </w:rPr>
            </w:pPr>
            <w:r w:rsidRPr="00B57CD1">
              <w:rPr>
                <w:rFonts w:ascii="Arial" w:hAnsi="Arial" w:cs="Arial"/>
                <w:color w:val="FFFFFF"/>
                <w:szCs w:val="20"/>
              </w:rPr>
              <w:t>%</w:t>
            </w:r>
          </w:p>
        </w:tc>
      </w:tr>
      <w:tr w:rsidR="00B57CD1" w:rsidRPr="00B57CD1" w14:paraId="67529301" w14:textId="77777777" w:rsidTr="00031521">
        <w:trPr>
          <w:trHeight w:val="288"/>
        </w:trPr>
        <w:tc>
          <w:tcPr>
            <w:tcW w:w="2438" w:type="dxa"/>
            <w:tcBorders>
              <w:top w:val="nil"/>
              <w:left w:val="nil"/>
              <w:bottom w:val="nil"/>
              <w:right w:val="nil"/>
            </w:tcBorders>
            <w:shd w:val="clear" w:color="000000" w:fill="F2F2F2"/>
            <w:noWrap/>
            <w:vAlign w:val="center"/>
            <w:hideMark/>
          </w:tcPr>
          <w:p w14:paraId="1B4CA817"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 </w:t>
            </w:r>
          </w:p>
        </w:tc>
        <w:tc>
          <w:tcPr>
            <w:tcW w:w="964" w:type="dxa"/>
            <w:tcBorders>
              <w:top w:val="nil"/>
              <w:left w:val="nil"/>
              <w:bottom w:val="nil"/>
              <w:right w:val="nil"/>
            </w:tcBorders>
            <w:shd w:val="clear" w:color="000000" w:fill="F2F2F2"/>
            <w:noWrap/>
            <w:vAlign w:val="center"/>
            <w:hideMark/>
          </w:tcPr>
          <w:p w14:paraId="66D9467B"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33</w:t>
            </w:r>
          </w:p>
        </w:tc>
        <w:tc>
          <w:tcPr>
            <w:tcW w:w="1191" w:type="dxa"/>
            <w:tcBorders>
              <w:top w:val="nil"/>
              <w:left w:val="nil"/>
              <w:bottom w:val="nil"/>
              <w:right w:val="nil"/>
            </w:tcBorders>
            <w:shd w:val="clear" w:color="000000" w:fill="F2F2F2"/>
            <w:noWrap/>
            <w:vAlign w:val="center"/>
            <w:hideMark/>
          </w:tcPr>
          <w:p w14:paraId="3871CB81"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55</w:t>
            </w:r>
          </w:p>
        </w:tc>
        <w:tc>
          <w:tcPr>
            <w:tcW w:w="737" w:type="dxa"/>
            <w:tcBorders>
              <w:top w:val="nil"/>
              <w:left w:val="nil"/>
              <w:bottom w:val="nil"/>
              <w:right w:val="nil"/>
            </w:tcBorders>
            <w:shd w:val="clear" w:color="000000" w:fill="F2F2F2"/>
            <w:noWrap/>
            <w:vAlign w:val="center"/>
            <w:hideMark/>
          </w:tcPr>
          <w:p w14:paraId="0098E025"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88</w:t>
            </w:r>
          </w:p>
        </w:tc>
        <w:tc>
          <w:tcPr>
            <w:tcW w:w="964" w:type="dxa"/>
            <w:tcBorders>
              <w:top w:val="nil"/>
              <w:left w:val="nil"/>
              <w:bottom w:val="nil"/>
              <w:right w:val="nil"/>
            </w:tcBorders>
            <w:shd w:val="clear" w:color="000000" w:fill="F2F2F2"/>
            <w:noWrap/>
            <w:vAlign w:val="center"/>
            <w:hideMark/>
          </w:tcPr>
          <w:p w14:paraId="03DB9B79"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100.0</w:t>
            </w:r>
          </w:p>
        </w:tc>
        <w:tc>
          <w:tcPr>
            <w:tcW w:w="1191" w:type="dxa"/>
            <w:tcBorders>
              <w:top w:val="nil"/>
              <w:left w:val="nil"/>
              <w:bottom w:val="nil"/>
              <w:right w:val="nil"/>
            </w:tcBorders>
            <w:shd w:val="clear" w:color="000000" w:fill="F2F2F2"/>
            <w:noWrap/>
            <w:vAlign w:val="center"/>
            <w:hideMark/>
          </w:tcPr>
          <w:p w14:paraId="1AE834FF"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100.0</w:t>
            </w:r>
          </w:p>
        </w:tc>
        <w:tc>
          <w:tcPr>
            <w:tcW w:w="737" w:type="dxa"/>
            <w:tcBorders>
              <w:top w:val="nil"/>
              <w:left w:val="nil"/>
              <w:bottom w:val="nil"/>
              <w:right w:val="nil"/>
            </w:tcBorders>
            <w:shd w:val="clear" w:color="000000" w:fill="F2F2F2"/>
            <w:noWrap/>
            <w:vAlign w:val="center"/>
            <w:hideMark/>
          </w:tcPr>
          <w:p w14:paraId="5945D6E9"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100.0</w:t>
            </w:r>
          </w:p>
        </w:tc>
      </w:tr>
      <w:tr w:rsidR="00031521" w:rsidRPr="00B57CD1" w14:paraId="467EE6F6" w14:textId="3FB59571" w:rsidTr="00D97215">
        <w:trPr>
          <w:trHeight w:val="288"/>
        </w:trPr>
        <w:tc>
          <w:tcPr>
            <w:tcW w:w="8222" w:type="dxa"/>
            <w:gridSpan w:val="7"/>
            <w:tcBorders>
              <w:top w:val="nil"/>
              <w:left w:val="nil"/>
              <w:bottom w:val="nil"/>
            </w:tcBorders>
            <w:shd w:val="clear" w:color="000000" w:fill="F2F2F2"/>
            <w:noWrap/>
            <w:vAlign w:val="center"/>
            <w:hideMark/>
          </w:tcPr>
          <w:p w14:paraId="3432E791" w14:textId="3601C90A" w:rsidR="00031521" w:rsidRPr="00B57CD1" w:rsidRDefault="00031521" w:rsidP="00B57CD1">
            <w:pPr>
              <w:keepNext/>
              <w:spacing w:before="0" w:after="0" w:line="240" w:lineRule="auto"/>
              <w:rPr>
                <w:rFonts w:ascii="Arial" w:hAnsi="Arial" w:cs="Arial"/>
                <w:color w:val="000000"/>
                <w:szCs w:val="20"/>
              </w:rPr>
            </w:pPr>
            <w:r w:rsidRPr="00B57CD1">
              <w:rPr>
                <w:rFonts w:ascii="Arial" w:hAnsi="Arial" w:cs="Arial"/>
                <w:b/>
                <w:bCs/>
                <w:color w:val="000000"/>
                <w:szCs w:val="20"/>
              </w:rPr>
              <w:t>How likely to continue economics next year</w:t>
            </w:r>
          </w:p>
        </w:tc>
      </w:tr>
      <w:tr w:rsidR="00B57CD1" w:rsidRPr="00B57CD1" w14:paraId="77598B49" w14:textId="77777777" w:rsidTr="00031521">
        <w:trPr>
          <w:trHeight w:val="288"/>
        </w:trPr>
        <w:tc>
          <w:tcPr>
            <w:tcW w:w="2438" w:type="dxa"/>
            <w:tcBorders>
              <w:top w:val="nil"/>
              <w:left w:val="nil"/>
              <w:bottom w:val="nil"/>
              <w:right w:val="nil"/>
            </w:tcBorders>
            <w:shd w:val="clear" w:color="000000" w:fill="F2F2F2"/>
            <w:noWrap/>
            <w:vAlign w:val="center"/>
            <w:hideMark/>
          </w:tcPr>
          <w:p w14:paraId="0D6F370C"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Very likely</w:t>
            </w:r>
          </w:p>
        </w:tc>
        <w:tc>
          <w:tcPr>
            <w:tcW w:w="964" w:type="dxa"/>
            <w:tcBorders>
              <w:top w:val="nil"/>
              <w:left w:val="nil"/>
              <w:bottom w:val="nil"/>
              <w:right w:val="nil"/>
            </w:tcBorders>
            <w:shd w:val="clear" w:color="000000" w:fill="F2F2F2"/>
            <w:noWrap/>
            <w:vAlign w:val="center"/>
            <w:hideMark/>
          </w:tcPr>
          <w:p w14:paraId="7E9F8C5D"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30</w:t>
            </w:r>
          </w:p>
        </w:tc>
        <w:tc>
          <w:tcPr>
            <w:tcW w:w="1191" w:type="dxa"/>
            <w:tcBorders>
              <w:top w:val="nil"/>
              <w:left w:val="nil"/>
              <w:bottom w:val="nil"/>
              <w:right w:val="nil"/>
            </w:tcBorders>
            <w:shd w:val="clear" w:color="000000" w:fill="F2F2F2"/>
            <w:noWrap/>
            <w:vAlign w:val="center"/>
            <w:hideMark/>
          </w:tcPr>
          <w:p w14:paraId="49D8D727"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52</w:t>
            </w:r>
          </w:p>
        </w:tc>
        <w:tc>
          <w:tcPr>
            <w:tcW w:w="737" w:type="dxa"/>
            <w:tcBorders>
              <w:top w:val="nil"/>
              <w:left w:val="nil"/>
              <w:bottom w:val="nil"/>
              <w:right w:val="nil"/>
            </w:tcBorders>
            <w:shd w:val="clear" w:color="000000" w:fill="F2F2F2"/>
            <w:noWrap/>
            <w:vAlign w:val="center"/>
            <w:hideMark/>
          </w:tcPr>
          <w:p w14:paraId="1EC2C751"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82</w:t>
            </w:r>
          </w:p>
        </w:tc>
        <w:tc>
          <w:tcPr>
            <w:tcW w:w="964" w:type="dxa"/>
            <w:tcBorders>
              <w:top w:val="nil"/>
              <w:left w:val="nil"/>
              <w:bottom w:val="nil"/>
              <w:right w:val="nil"/>
            </w:tcBorders>
            <w:shd w:val="clear" w:color="000000" w:fill="F2F2F2"/>
            <w:noWrap/>
            <w:vAlign w:val="center"/>
            <w:hideMark/>
          </w:tcPr>
          <w:p w14:paraId="3165213A"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90.9</w:t>
            </w:r>
          </w:p>
        </w:tc>
        <w:tc>
          <w:tcPr>
            <w:tcW w:w="1191" w:type="dxa"/>
            <w:tcBorders>
              <w:top w:val="nil"/>
              <w:left w:val="nil"/>
              <w:bottom w:val="nil"/>
              <w:right w:val="nil"/>
            </w:tcBorders>
            <w:shd w:val="clear" w:color="000000" w:fill="F2F2F2"/>
            <w:noWrap/>
            <w:vAlign w:val="center"/>
            <w:hideMark/>
          </w:tcPr>
          <w:p w14:paraId="0FB88DC2"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94.5</w:t>
            </w:r>
          </w:p>
        </w:tc>
        <w:tc>
          <w:tcPr>
            <w:tcW w:w="737" w:type="dxa"/>
            <w:tcBorders>
              <w:top w:val="nil"/>
              <w:left w:val="nil"/>
              <w:bottom w:val="nil"/>
              <w:right w:val="nil"/>
            </w:tcBorders>
            <w:shd w:val="clear" w:color="000000" w:fill="F2F2F2"/>
            <w:noWrap/>
            <w:vAlign w:val="center"/>
            <w:hideMark/>
          </w:tcPr>
          <w:p w14:paraId="3622FD3B"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93.2</w:t>
            </w:r>
          </w:p>
        </w:tc>
      </w:tr>
      <w:tr w:rsidR="00B57CD1" w:rsidRPr="00B57CD1" w14:paraId="1C3C0FC9" w14:textId="77777777" w:rsidTr="00031521">
        <w:trPr>
          <w:trHeight w:val="288"/>
        </w:trPr>
        <w:tc>
          <w:tcPr>
            <w:tcW w:w="2438" w:type="dxa"/>
            <w:tcBorders>
              <w:top w:val="nil"/>
              <w:left w:val="nil"/>
              <w:bottom w:val="nil"/>
              <w:right w:val="nil"/>
            </w:tcBorders>
            <w:shd w:val="clear" w:color="000000" w:fill="F2F2F2"/>
            <w:noWrap/>
            <w:vAlign w:val="center"/>
            <w:hideMark/>
          </w:tcPr>
          <w:p w14:paraId="41415AF8"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Somewhat likely</w:t>
            </w:r>
          </w:p>
        </w:tc>
        <w:tc>
          <w:tcPr>
            <w:tcW w:w="964" w:type="dxa"/>
            <w:tcBorders>
              <w:top w:val="nil"/>
              <w:left w:val="nil"/>
              <w:bottom w:val="nil"/>
              <w:right w:val="nil"/>
            </w:tcBorders>
            <w:shd w:val="clear" w:color="000000" w:fill="F2F2F2"/>
            <w:noWrap/>
            <w:vAlign w:val="center"/>
            <w:hideMark/>
          </w:tcPr>
          <w:p w14:paraId="034BA1DB"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w:t>
            </w:r>
          </w:p>
        </w:tc>
        <w:tc>
          <w:tcPr>
            <w:tcW w:w="1191" w:type="dxa"/>
            <w:tcBorders>
              <w:top w:val="nil"/>
              <w:left w:val="nil"/>
              <w:bottom w:val="nil"/>
              <w:right w:val="nil"/>
            </w:tcBorders>
            <w:shd w:val="clear" w:color="000000" w:fill="F2F2F2"/>
            <w:noWrap/>
            <w:vAlign w:val="center"/>
            <w:hideMark/>
          </w:tcPr>
          <w:p w14:paraId="078D0629"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w:t>
            </w:r>
          </w:p>
        </w:tc>
        <w:tc>
          <w:tcPr>
            <w:tcW w:w="737" w:type="dxa"/>
            <w:tcBorders>
              <w:top w:val="nil"/>
              <w:left w:val="nil"/>
              <w:bottom w:val="nil"/>
              <w:right w:val="nil"/>
            </w:tcBorders>
            <w:shd w:val="clear" w:color="000000" w:fill="F2F2F2"/>
            <w:noWrap/>
            <w:vAlign w:val="center"/>
            <w:hideMark/>
          </w:tcPr>
          <w:p w14:paraId="4831FDD5"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w:t>
            </w:r>
          </w:p>
        </w:tc>
        <w:tc>
          <w:tcPr>
            <w:tcW w:w="964" w:type="dxa"/>
            <w:tcBorders>
              <w:top w:val="nil"/>
              <w:left w:val="nil"/>
              <w:bottom w:val="nil"/>
              <w:right w:val="nil"/>
            </w:tcBorders>
            <w:shd w:val="clear" w:color="000000" w:fill="F2F2F2"/>
            <w:noWrap/>
            <w:vAlign w:val="center"/>
            <w:hideMark/>
          </w:tcPr>
          <w:p w14:paraId="40E3A1EC"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3.0</w:t>
            </w:r>
          </w:p>
        </w:tc>
        <w:tc>
          <w:tcPr>
            <w:tcW w:w="1191" w:type="dxa"/>
            <w:tcBorders>
              <w:top w:val="nil"/>
              <w:left w:val="nil"/>
              <w:bottom w:val="nil"/>
              <w:right w:val="nil"/>
            </w:tcBorders>
            <w:shd w:val="clear" w:color="000000" w:fill="F2F2F2"/>
            <w:noWrap/>
            <w:vAlign w:val="center"/>
            <w:hideMark/>
          </w:tcPr>
          <w:p w14:paraId="77C7A536"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5.5</w:t>
            </w:r>
          </w:p>
        </w:tc>
        <w:tc>
          <w:tcPr>
            <w:tcW w:w="737" w:type="dxa"/>
            <w:tcBorders>
              <w:top w:val="nil"/>
              <w:left w:val="nil"/>
              <w:bottom w:val="nil"/>
              <w:right w:val="nil"/>
            </w:tcBorders>
            <w:shd w:val="clear" w:color="000000" w:fill="F2F2F2"/>
            <w:noWrap/>
            <w:vAlign w:val="center"/>
            <w:hideMark/>
          </w:tcPr>
          <w:p w14:paraId="4119F796"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4.5</w:t>
            </w:r>
          </w:p>
        </w:tc>
      </w:tr>
      <w:tr w:rsidR="00B57CD1" w:rsidRPr="00B57CD1" w14:paraId="3F219EEA" w14:textId="77777777" w:rsidTr="00031521">
        <w:trPr>
          <w:trHeight w:val="288"/>
        </w:trPr>
        <w:tc>
          <w:tcPr>
            <w:tcW w:w="2438" w:type="dxa"/>
            <w:tcBorders>
              <w:top w:val="nil"/>
              <w:left w:val="nil"/>
              <w:bottom w:val="nil"/>
              <w:right w:val="nil"/>
            </w:tcBorders>
            <w:shd w:val="clear" w:color="000000" w:fill="F2F2F2"/>
            <w:noWrap/>
            <w:vAlign w:val="center"/>
            <w:hideMark/>
          </w:tcPr>
          <w:p w14:paraId="473640C6"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Neither likely nor unlikely</w:t>
            </w:r>
          </w:p>
        </w:tc>
        <w:tc>
          <w:tcPr>
            <w:tcW w:w="964" w:type="dxa"/>
            <w:tcBorders>
              <w:top w:val="nil"/>
              <w:left w:val="nil"/>
              <w:bottom w:val="nil"/>
              <w:right w:val="nil"/>
            </w:tcBorders>
            <w:shd w:val="clear" w:color="000000" w:fill="F2F2F2"/>
            <w:noWrap/>
            <w:vAlign w:val="center"/>
            <w:hideMark/>
          </w:tcPr>
          <w:p w14:paraId="075FD2F6"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2</w:t>
            </w:r>
          </w:p>
        </w:tc>
        <w:tc>
          <w:tcPr>
            <w:tcW w:w="1191" w:type="dxa"/>
            <w:tcBorders>
              <w:top w:val="nil"/>
              <w:left w:val="nil"/>
              <w:bottom w:val="nil"/>
              <w:right w:val="nil"/>
            </w:tcBorders>
            <w:shd w:val="clear" w:color="000000" w:fill="F2F2F2"/>
            <w:noWrap/>
            <w:vAlign w:val="center"/>
            <w:hideMark/>
          </w:tcPr>
          <w:p w14:paraId="022CD17B"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w:t>
            </w:r>
          </w:p>
        </w:tc>
        <w:tc>
          <w:tcPr>
            <w:tcW w:w="737" w:type="dxa"/>
            <w:tcBorders>
              <w:top w:val="nil"/>
              <w:left w:val="nil"/>
              <w:bottom w:val="nil"/>
              <w:right w:val="nil"/>
            </w:tcBorders>
            <w:shd w:val="clear" w:color="000000" w:fill="F2F2F2"/>
            <w:noWrap/>
            <w:vAlign w:val="center"/>
            <w:hideMark/>
          </w:tcPr>
          <w:p w14:paraId="0C6D124F"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2</w:t>
            </w:r>
          </w:p>
        </w:tc>
        <w:tc>
          <w:tcPr>
            <w:tcW w:w="964" w:type="dxa"/>
            <w:tcBorders>
              <w:top w:val="nil"/>
              <w:left w:val="nil"/>
              <w:bottom w:val="nil"/>
              <w:right w:val="nil"/>
            </w:tcBorders>
            <w:shd w:val="clear" w:color="000000" w:fill="F2F2F2"/>
            <w:noWrap/>
            <w:vAlign w:val="center"/>
            <w:hideMark/>
          </w:tcPr>
          <w:p w14:paraId="4F642423"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6.1</w:t>
            </w:r>
          </w:p>
        </w:tc>
        <w:tc>
          <w:tcPr>
            <w:tcW w:w="1191" w:type="dxa"/>
            <w:tcBorders>
              <w:top w:val="nil"/>
              <w:left w:val="nil"/>
              <w:bottom w:val="nil"/>
              <w:right w:val="nil"/>
            </w:tcBorders>
            <w:shd w:val="clear" w:color="000000" w:fill="F2F2F2"/>
            <w:noWrap/>
            <w:vAlign w:val="center"/>
            <w:hideMark/>
          </w:tcPr>
          <w:p w14:paraId="4FCB2F77"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0.0</w:t>
            </w:r>
          </w:p>
        </w:tc>
        <w:tc>
          <w:tcPr>
            <w:tcW w:w="737" w:type="dxa"/>
            <w:tcBorders>
              <w:top w:val="nil"/>
              <w:left w:val="nil"/>
              <w:bottom w:val="nil"/>
              <w:right w:val="nil"/>
            </w:tcBorders>
            <w:shd w:val="clear" w:color="000000" w:fill="F2F2F2"/>
            <w:noWrap/>
            <w:vAlign w:val="center"/>
            <w:hideMark/>
          </w:tcPr>
          <w:p w14:paraId="40E8D434"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2.3</w:t>
            </w:r>
          </w:p>
        </w:tc>
      </w:tr>
      <w:tr w:rsidR="00B57CD1" w:rsidRPr="00B57CD1" w14:paraId="5F0D1283" w14:textId="77777777" w:rsidTr="00031521">
        <w:trPr>
          <w:trHeight w:val="288"/>
        </w:trPr>
        <w:tc>
          <w:tcPr>
            <w:tcW w:w="2438" w:type="dxa"/>
            <w:tcBorders>
              <w:top w:val="nil"/>
              <w:left w:val="nil"/>
              <w:bottom w:val="nil"/>
              <w:right w:val="nil"/>
            </w:tcBorders>
            <w:shd w:val="clear" w:color="000000" w:fill="F2F2F2"/>
            <w:noWrap/>
            <w:vAlign w:val="center"/>
            <w:hideMark/>
          </w:tcPr>
          <w:p w14:paraId="07DA508D"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Somewhat unlikely</w:t>
            </w:r>
          </w:p>
        </w:tc>
        <w:tc>
          <w:tcPr>
            <w:tcW w:w="964" w:type="dxa"/>
            <w:tcBorders>
              <w:top w:val="nil"/>
              <w:left w:val="nil"/>
              <w:bottom w:val="nil"/>
              <w:right w:val="nil"/>
            </w:tcBorders>
            <w:shd w:val="clear" w:color="000000" w:fill="F2F2F2"/>
            <w:noWrap/>
            <w:vAlign w:val="center"/>
            <w:hideMark/>
          </w:tcPr>
          <w:p w14:paraId="5D50E705"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w:t>
            </w:r>
          </w:p>
        </w:tc>
        <w:tc>
          <w:tcPr>
            <w:tcW w:w="1191" w:type="dxa"/>
            <w:tcBorders>
              <w:top w:val="nil"/>
              <w:left w:val="nil"/>
              <w:bottom w:val="nil"/>
              <w:right w:val="nil"/>
            </w:tcBorders>
            <w:shd w:val="clear" w:color="000000" w:fill="F2F2F2"/>
            <w:noWrap/>
            <w:vAlign w:val="center"/>
            <w:hideMark/>
          </w:tcPr>
          <w:p w14:paraId="03BB94B2"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w:t>
            </w:r>
          </w:p>
        </w:tc>
        <w:tc>
          <w:tcPr>
            <w:tcW w:w="737" w:type="dxa"/>
            <w:tcBorders>
              <w:top w:val="nil"/>
              <w:left w:val="nil"/>
              <w:bottom w:val="nil"/>
              <w:right w:val="nil"/>
            </w:tcBorders>
            <w:shd w:val="clear" w:color="000000" w:fill="F2F2F2"/>
            <w:noWrap/>
            <w:vAlign w:val="center"/>
            <w:hideMark/>
          </w:tcPr>
          <w:p w14:paraId="4E441707"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w:t>
            </w:r>
          </w:p>
        </w:tc>
        <w:tc>
          <w:tcPr>
            <w:tcW w:w="964" w:type="dxa"/>
            <w:tcBorders>
              <w:top w:val="nil"/>
              <w:left w:val="nil"/>
              <w:bottom w:val="nil"/>
              <w:right w:val="nil"/>
            </w:tcBorders>
            <w:shd w:val="clear" w:color="000000" w:fill="F2F2F2"/>
            <w:noWrap/>
            <w:vAlign w:val="center"/>
            <w:hideMark/>
          </w:tcPr>
          <w:p w14:paraId="25344162"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0.0</w:t>
            </w:r>
          </w:p>
        </w:tc>
        <w:tc>
          <w:tcPr>
            <w:tcW w:w="1191" w:type="dxa"/>
            <w:tcBorders>
              <w:top w:val="nil"/>
              <w:left w:val="nil"/>
              <w:bottom w:val="nil"/>
              <w:right w:val="nil"/>
            </w:tcBorders>
            <w:shd w:val="clear" w:color="000000" w:fill="F2F2F2"/>
            <w:noWrap/>
            <w:vAlign w:val="center"/>
            <w:hideMark/>
          </w:tcPr>
          <w:p w14:paraId="60BD1E46"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0.0</w:t>
            </w:r>
          </w:p>
        </w:tc>
        <w:tc>
          <w:tcPr>
            <w:tcW w:w="737" w:type="dxa"/>
            <w:tcBorders>
              <w:top w:val="nil"/>
              <w:left w:val="nil"/>
              <w:bottom w:val="nil"/>
              <w:right w:val="nil"/>
            </w:tcBorders>
            <w:shd w:val="clear" w:color="000000" w:fill="F2F2F2"/>
            <w:noWrap/>
            <w:vAlign w:val="center"/>
            <w:hideMark/>
          </w:tcPr>
          <w:p w14:paraId="523F3CD1"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0.0</w:t>
            </w:r>
          </w:p>
        </w:tc>
      </w:tr>
      <w:tr w:rsidR="00B57CD1" w:rsidRPr="00B57CD1" w14:paraId="778C5B89" w14:textId="77777777" w:rsidTr="00031521">
        <w:trPr>
          <w:trHeight w:val="288"/>
        </w:trPr>
        <w:tc>
          <w:tcPr>
            <w:tcW w:w="2438" w:type="dxa"/>
            <w:tcBorders>
              <w:top w:val="nil"/>
              <w:left w:val="nil"/>
              <w:bottom w:val="nil"/>
              <w:right w:val="nil"/>
            </w:tcBorders>
            <w:shd w:val="clear" w:color="000000" w:fill="F2F2F2"/>
            <w:noWrap/>
            <w:vAlign w:val="center"/>
            <w:hideMark/>
          </w:tcPr>
          <w:p w14:paraId="138C1DB5"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Very unlikely</w:t>
            </w:r>
          </w:p>
        </w:tc>
        <w:tc>
          <w:tcPr>
            <w:tcW w:w="964" w:type="dxa"/>
            <w:tcBorders>
              <w:top w:val="nil"/>
              <w:left w:val="nil"/>
              <w:bottom w:val="nil"/>
              <w:right w:val="nil"/>
            </w:tcBorders>
            <w:shd w:val="clear" w:color="000000" w:fill="F2F2F2"/>
            <w:noWrap/>
            <w:vAlign w:val="center"/>
            <w:hideMark/>
          </w:tcPr>
          <w:p w14:paraId="015C74BC"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w:t>
            </w:r>
          </w:p>
        </w:tc>
        <w:tc>
          <w:tcPr>
            <w:tcW w:w="1191" w:type="dxa"/>
            <w:tcBorders>
              <w:top w:val="nil"/>
              <w:left w:val="nil"/>
              <w:bottom w:val="nil"/>
              <w:right w:val="nil"/>
            </w:tcBorders>
            <w:shd w:val="clear" w:color="000000" w:fill="F2F2F2"/>
            <w:noWrap/>
            <w:vAlign w:val="center"/>
            <w:hideMark/>
          </w:tcPr>
          <w:p w14:paraId="52F70AD1"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w:t>
            </w:r>
          </w:p>
        </w:tc>
        <w:tc>
          <w:tcPr>
            <w:tcW w:w="737" w:type="dxa"/>
            <w:tcBorders>
              <w:top w:val="nil"/>
              <w:left w:val="nil"/>
              <w:bottom w:val="nil"/>
              <w:right w:val="nil"/>
            </w:tcBorders>
            <w:shd w:val="clear" w:color="000000" w:fill="F2F2F2"/>
            <w:noWrap/>
            <w:vAlign w:val="center"/>
            <w:hideMark/>
          </w:tcPr>
          <w:p w14:paraId="6A66C872"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w:t>
            </w:r>
          </w:p>
        </w:tc>
        <w:tc>
          <w:tcPr>
            <w:tcW w:w="964" w:type="dxa"/>
            <w:tcBorders>
              <w:top w:val="nil"/>
              <w:left w:val="nil"/>
              <w:bottom w:val="nil"/>
              <w:right w:val="nil"/>
            </w:tcBorders>
            <w:shd w:val="clear" w:color="000000" w:fill="F2F2F2"/>
            <w:noWrap/>
            <w:vAlign w:val="center"/>
            <w:hideMark/>
          </w:tcPr>
          <w:p w14:paraId="04249E86"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0.0</w:t>
            </w:r>
          </w:p>
        </w:tc>
        <w:tc>
          <w:tcPr>
            <w:tcW w:w="1191" w:type="dxa"/>
            <w:tcBorders>
              <w:top w:val="nil"/>
              <w:left w:val="nil"/>
              <w:bottom w:val="nil"/>
              <w:right w:val="nil"/>
            </w:tcBorders>
            <w:shd w:val="clear" w:color="000000" w:fill="F2F2F2"/>
            <w:noWrap/>
            <w:vAlign w:val="center"/>
            <w:hideMark/>
          </w:tcPr>
          <w:p w14:paraId="0BE23DBE"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0.0</w:t>
            </w:r>
          </w:p>
        </w:tc>
        <w:tc>
          <w:tcPr>
            <w:tcW w:w="737" w:type="dxa"/>
            <w:tcBorders>
              <w:top w:val="nil"/>
              <w:left w:val="nil"/>
              <w:bottom w:val="nil"/>
              <w:right w:val="nil"/>
            </w:tcBorders>
            <w:shd w:val="clear" w:color="000000" w:fill="F2F2F2"/>
            <w:noWrap/>
            <w:vAlign w:val="center"/>
            <w:hideMark/>
          </w:tcPr>
          <w:p w14:paraId="01676B4F"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0.0</w:t>
            </w:r>
          </w:p>
        </w:tc>
      </w:tr>
      <w:tr w:rsidR="00031521" w:rsidRPr="00B57CD1" w14:paraId="6A5FD05A" w14:textId="0014D12B" w:rsidTr="00D97215">
        <w:trPr>
          <w:trHeight w:val="288"/>
        </w:trPr>
        <w:tc>
          <w:tcPr>
            <w:tcW w:w="8222" w:type="dxa"/>
            <w:gridSpan w:val="7"/>
            <w:tcBorders>
              <w:top w:val="nil"/>
              <w:left w:val="nil"/>
              <w:bottom w:val="nil"/>
            </w:tcBorders>
            <w:shd w:val="clear" w:color="000000" w:fill="F2F2F2"/>
            <w:noWrap/>
            <w:vAlign w:val="center"/>
            <w:hideMark/>
          </w:tcPr>
          <w:p w14:paraId="2805454A" w14:textId="6A1E7D4E" w:rsidR="00031521" w:rsidRPr="00B57CD1" w:rsidRDefault="00031521" w:rsidP="00031521">
            <w:pPr>
              <w:keepNext/>
              <w:spacing w:before="0" w:after="0" w:line="240" w:lineRule="auto"/>
              <w:rPr>
                <w:rFonts w:ascii="Times New Roman" w:hAnsi="Times New Roman"/>
                <w:color w:val="auto"/>
                <w:szCs w:val="20"/>
              </w:rPr>
            </w:pPr>
            <w:r w:rsidRPr="00B57CD1">
              <w:rPr>
                <w:rFonts w:ascii="Arial" w:hAnsi="Arial" w:cs="Arial"/>
                <w:b/>
                <w:bCs/>
                <w:color w:val="000000"/>
                <w:szCs w:val="20"/>
              </w:rPr>
              <w:t>How likely to complete an economics major</w:t>
            </w:r>
          </w:p>
        </w:tc>
      </w:tr>
      <w:tr w:rsidR="00B57CD1" w:rsidRPr="00B57CD1" w14:paraId="330E4CDE" w14:textId="77777777" w:rsidTr="00031521">
        <w:trPr>
          <w:trHeight w:val="288"/>
        </w:trPr>
        <w:tc>
          <w:tcPr>
            <w:tcW w:w="2438" w:type="dxa"/>
            <w:tcBorders>
              <w:top w:val="nil"/>
              <w:left w:val="nil"/>
              <w:bottom w:val="nil"/>
              <w:right w:val="nil"/>
            </w:tcBorders>
            <w:shd w:val="clear" w:color="000000" w:fill="F2F2F2"/>
            <w:noWrap/>
            <w:vAlign w:val="center"/>
            <w:hideMark/>
          </w:tcPr>
          <w:p w14:paraId="78C900AE"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Very likely</w:t>
            </w:r>
          </w:p>
        </w:tc>
        <w:tc>
          <w:tcPr>
            <w:tcW w:w="964" w:type="dxa"/>
            <w:tcBorders>
              <w:top w:val="nil"/>
              <w:left w:val="nil"/>
              <w:bottom w:val="nil"/>
              <w:right w:val="nil"/>
            </w:tcBorders>
            <w:shd w:val="clear" w:color="000000" w:fill="F2F2F2"/>
            <w:noWrap/>
            <w:vAlign w:val="center"/>
            <w:hideMark/>
          </w:tcPr>
          <w:p w14:paraId="522C1A4E"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27</w:t>
            </w:r>
          </w:p>
        </w:tc>
        <w:tc>
          <w:tcPr>
            <w:tcW w:w="1191" w:type="dxa"/>
            <w:tcBorders>
              <w:top w:val="nil"/>
              <w:left w:val="nil"/>
              <w:bottom w:val="nil"/>
              <w:right w:val="nil"/>
            </w:tcBorders>
            <w:shd w:val="clear" w:color="000000" w:fill="F2F2F2"/>
            <w:noWrap/>
            <w:vAlign w:val="center"/>
            <w:hideMark/>
          </w:tcPr>
          <w:p w14:paraId="00FA0F5C"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38</w:t>
            </w:r>
          </w:p>
        </w:tc>
        <w:tc>
          <w:tcPr>
            <w:tcW w:w="737" w:type="dxa"/>
            <w:tcBorders>
              <w:top w:val="nil"/>
              <w:left w:val="nil"/>
              <w:bottom w:val="nil"/>
              <w:right w:val="nil"/>
            </w:tcBorders>
            <w:shd w:val="clear" w:color="000000" w:fill="F2F2F2"/>
            <w:noWrap/>
            <w:vAlign w:val="center"/>
            <w:hideMark/>
          </w:tcPr>
          <w:p w14:paraId="142BFAEA"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65</w:t>
            </w:r>
          </w:p>
        </w:tc>
        <w:tc>
          <w:tcPr>
            <w:tcW w:w="964" w:type="dxa"/>
            <w:tcBorders>
              <w:top w:val="nil"/>
              <w:left w:val="nil"/>
              <w:bottom w:val="nil"/>
              <w:right w:val="nil"/>
            </w:tcBorders>
            <w:shd w:val="clear" w:color="000000" w:fill="F2F2F2"/>
            <w:noWrap/>
            <w:vAlign w:val="center"/>
            <w:hideMark/>
          </w:tcPr>
          <w:p w14:paraId="7645A937"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81.8</w:t>
            </w:r>
          </w:p>
        </w:tc>
        <w:tc>
          <w:tcPr>
            <w:tcW w:w="1191" w:type="dxa"/>
            <w:tcBorders>
              <w:top w:val="nil"/>
              <w:left w:val="nil"/>
              <w:bottom w:val="nil"/>
              <w:right w:val="nil"/>
            </w:tcBorders>
            <w:shd w:val="clear" w:color="000000" w:fill="F2F2F2"/>
            <w:noWrap/>
            <w:vAlign w:val="center"/>
            <w:hideMark/>
          </w:tcPr>
          <w:p w14:paraId="69798FE3"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69.1</w:t>
            </w:r>
          </w:p>
        </w:tc>
        <w:tc>
          <w:tcPr>
            <w:tcW w:w="737" w:type="dxa"/>
            <w:tcBorders>
              <w:top w:val="nil"/>
              <w:left w:val="nil"/>
              <w:bottom w:val="nil"/>
              <w:right w:val="nil"/>
            </w:tcBorders>
            <w:shd w:val="clear" w:color="000000" w:fill="F2F2F2"/>
            <w:noWrap/>
            <w:vAlign w:val="center"/>
            <w:hideMark/>
          </w:tcPr>
          <w:p w14:paraId="7791E515"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73.9</w:t>
            </w:r>
          </w:p>
        </w:tc>
      </w:tr>
      <w:tr w:rsidR="00B57CD1" w:rsidRPr="00B57CD1" w14:paraId="0C3C0F1F" w14:textId="77777777" w:rsidTr="00031521">
        <w:trPr>
          <w:trHeight w:val="288"/>
        </w:trPr>
        <w:tc>
          <w:tcPr>
            <w:tcW w:w="2438" w:type="dxa"/>
            <w:tcBorders>
              <w:top w:val="nil"/>
              <w:left w:val="nil"/>
              <w:bottom w:val="nil"/>
              <w:right w:val="nil"/>
            </w:tcBorders>
            <w:shd w:val="clear" w:color="000000" w:fill="F2F2F2"/>
            <w:noWrap/>
            <w:vAlign w:val="center"/>
            <w:hideMark/>
          </w:tcPr>
          <w:p w14:paraId="46A7AC67"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Somewhat likely</w:t>
            </w:r>
          </w:p>
        </w:tc>
        <w:tc>
          <w:tcPr>
            <w:tcW w:w="964" w:type="dxa"/>
            <w:tcBorders>
              <w:top w:val="nil"/>
              <w:left w:val="nil"/>
              <w:bottom w:val="nil"/>
              <w:right w:val="nil"/>
            </w:tcBorders>
            <w:shd w:val="clear" w:color="000000" w:fill="F2F2F2"/>
            <w:noWrap/>
            <w:vAlign w:val="center"/>
            <w:hideMark/>
          </w:tcPr>
          <w:p w14:paraId="298DB766"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w:t>
            </w:r>
          </w:p>
        </w:tc>
        <w:tc>
          <w:tcPr>
            <w:tcW w:w="1191" w:type="dxa"/>
            <w:tcBorders>
              <w:top w:val="nil"/>
              <w:left w:val="nil"/>
              <w:bottom w:val="nil"/>
              <w:right w:val="nil"/>
            </w:tcBorders>
            <w:shd w:val="clear" w:color="000000" w:fill="F2F2F2"/>
            <w:noWrap/>
            <w:vAlign w:val="center"/>
            <w:hideMark/>
          </w:tcPr>
          <w:p w14:paraId="3CC17E93"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7</w:t>
            </w:r>
          </w:p>
        </w:tc>
        <w:tc>
          <w:tcPr>
            <w:tcW w:w="737" w:type="dxa"/>
            <w:tcBorders>
              <w:top w:val="nil"/>
              <w:left w:val="nil"/>
              <w:bottom w:val="nil"/>
              <w:right w:val="nil"/>
            </w:tcBorders>
            <w:shd w:val="clear" w:color="000000" w:fill="F2F2F2"/>
            <w:noWrap/>
            <w:vAlign w:val="center"/>
            <w:hideMark/>
          </w:tcPr>
          <w:p w14:paraId="6621A1EB"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11</w:t>
            </w:r>
          </w:p>
        </w:tc>
        <w:tc>
          <w:tcPr>
            <w:tcW w:w="964" w:type="dxa"/>
            <w:tcBorders>
              <w:top w:val="nil"/>
              <w:left w:val="nil"/>
              <w:bottom w:val="nil"/>
              <w:right w:val="nil"/>
            </w:tcBorders>
            <w:shd w:val="clear" w:color="000000" w:fill="F2F2F2"/>
            <w:noWrap/>
            <w:vAlign w:val="center"/>
            <w:hideMark/>
          </w:tcPr>
          <w:p w14:paraId="334DB061"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12.1</w:t>
            </w:r>
          </w:p>
        </w:tc>
        <w:tc>
          <w:tcPr>
            <w:tcW w:w="1191" w:type="dxa"/>
            <w:tcBorders>
              <w:top w:val="nil"/>
              <w:left w:val="nil"/>
              <w:bottom w:val="nil"/>
              <w:right w:val="nil"/>
            </w:tcBorders>
            <w:shd w:val="clear" w:color="000000" w:fill="F2F2F2"/>
            <w:noWrap/>
            <w:vAlign w:val="center"/>
            <w:hideMark/>
          </w:tcPr>
          <w:p w14:paraId="46744451"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12.7</w:t>
            </w:r>
          </w:p>
        </w:tc>
        <w:tc>
          <w:tcPr>
            <w:tcW w:w="737" w:type="dxa"/>
            <w:tcBorders>
              <w:top w:val="nil"/>
              <w:left w:val="nil"/>
              <w:bottom w:val="nil"/>
              <w:right w:val="nil"/>
            </w:tcBorders>
            <w:shd w:val="clear" w:color="000000" w:fill="F2F2F2"/>
            <w:noWrap/>
            <w:vAlign w:val="center"/>
            <w:hideMark/>
          </w:tcPr>
          <w:p w14:paraId="756DB169"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12.5</w:t>
            </w:r>
          </w:p>
        </w:tc>
      </w:tr>
      <w:tr w:rsidR="00B57CD1" w:rsidRPr="00B57CD1" w14:paraId="21A4CB89" w14:textId="77777777" w:rsidTr="00031521">
        <w:trPr>
          <w:trHeight w:val="288"/>
        </w:trPr>
        <w:tc>
          <w:tcPr>
            <w:tcW w:w="2438" w:type="dxa"/>
            <w:tcBorders>
              <w:top w:val="nil"/>
              <w:left w:val="nil"/>
              <w:bottom w:val="nil"/>
              <w:right w:val="nil"/>
            </w:tcBorders>
            <w:shd w:val="clear" w:color="000000" w:fill="F2F2F2"/>
            <w:noWrap/>
            <w:vAlign w:val="center"/>
            <w:hideMark/>
          </w:tcPr>
          <w:p w14:paraId="771CC30B"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Neither likely nor unlikely</w:t>
            </w:r>
          </w:p>
        </w:tc>
        <w:tc>
          <w:tcPr>
            <w:tcW w:w="964" w:type="dxa"/>
            <w:tcBorders>
              <w:top w:val="nil"/>
              <w:left w:val="nil"/>
              <w:bottom w:val="nil"/>
              <w:right w:val="nil"/>
            </w:tcBorders>
            <w:shd w:val="clear" w:color="000000" w:fill="F2F2F2"/>
            <w:noWrap/>
            <w:vAlign w:val="center"/>
            <w:hideMark/>
          </w:tcPr>
          <w:p w14:paraId="25737256"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w:t>
            </w:r>
          </w:p>
        </w:tc>
        <w:tc>
          <w:tcPr>
            <w:tcW w:w="1191" w:type="dxa"/>
            <w:tcBorders>
              <w:top w:val="nil"/>
              <w:left w:val="nil"/>
              <w:bottom w:val="nil"/>
              <w:right w:val="nil"/>
            </w:tcBorders>
            <w:shd w:val="clear" w:color="000000" w:fill="F2F2F2"/>
            <w:noWrap/>
            <w:vAlign w:val="center"/>
            <w:hideMark/>
          </w:tcPr>
          <w:p w14:paraId="58F6121A"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w:t>
            </w:r>
          </w:p>
        </w:tc>
        <w:tc>
          <w:tcPr>
            <w:tcW w:w="737" w:type="dxa"/>
            <w:tcBorders>
              <w:top w:val="nil"/>
              <w:left w:val="nil"/>
              <w:bottom w:val="nil"/>
              <w:right w:val="nil"/>
            </w:tcBorders>
            <w:shd w:val="clear" w:color="000000" w:fill="F2F2F2"/>
            <w:noWrap/>
            <w:vAlign w:val="center"/>
            <w:hideMark/>
          </w:tcPr>
          <w:p w14:paraId="73214682"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w:t>
            </w:r>
          </w:p>
        </w:tc>
        <w:tc>
          <w:tcPr>
            <w:tcW w:w="964" w:type="dxa"/>
            <w:tcBorders>
              <w:top w:val="nil"/>
              <w:left w:val="nil"/>
              <w:bottom w:val="nil"/>
              <w:right w:val="nil"/>
            </w:tcBorders>
            <w:shd w:val="clear" w:color="000000" w:fill="F2F2F2"/>
            <w:noWrap/>
            <w:vAlign w:val="center"/>
            <w:hideMark/>
          </w:tcPr>
          <w:p w14:paraId="5E9AEBFA"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3.0</w:t>
            </w:r>
          </w:p>
        </w:tc>
        <w:tc>
          <w:tcPr>
            <w:tcW w:w="1191" w:type="dxa"/>
            <w:tcBorders>
              <w:top w:val="nil"/>
              <w:left w:val="nil"/>
              <w:bottom w:val="nil"/>
              <w:right w:val="nil"/>
            </w:tcBorders>
            <w:shd w:val="clear" w:color="000000" w:fill="F2F2F2"/>
            <w:noWrap/>
            <w:vAlign w:val="center"/>
            <w:hideMark/>
          </w:tcPr>
          <w:p w14:paraId="785BAE4F"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7.3</w:t>
            </w:r>
          </w:p>
        </w:tc>
        <w:tc>
          <w:tcPr>
            <w:tcW w:w="737" w:type="dxa"/>
            <w:tcBorders>
              <w:top w:val="nil"/>
              <w:left w:val="nil"/>
              <w:bottom w:val="nil"/>
              <w:right w:val="nil"/>
            </w:tcBorders>
            <w:shd w:val="clear" w:color="000000" w:fill="F2F2F2"/>
            <w:noWrap/>
            <w:vAlign w:val="center"/>
            <w:hideMark/>
          </w:tcPr>
          <w:p w14:paraId="703AFA64"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5.7</w:t>
            </w:r>
          </w:p>
        </w:tc>
      </w:tr>
      <w:tr w:rsidR="00B57CD1" w:rsidRPr="00B57CD1" w14:paraId="6D680455" w14:textId="77777777" w:rsidTr="00031521">
        <w:trPr>
          <w:trHeight w:val="288"/>
        </w:trPr>
        <w:tc>
          <w:tcPr>
            <w:tcW w:w="2438" w:type="dxa"/>
            <w:tcBorders>
              <w:top w:val="nil"/>
              <w:left w:val="nil"/>
              <w:bottom w:val="nil"/>
              <w:right w:val="nil"/>
            </w:tcBorders>
            <w:shd w:val="clear" w:color="000000" w:fill="F2F2F2"/>
            <w:noWrap/>
            <w:vAlign w:val="center"/>
            <w:hideMark/>
          </w:tcPr>
          <w:p w14:paraId="4A210E53"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Somewhat unlikely</w:t>
            </w:r>
          </w:p>
        </w:tc>
        <w:tc>
          <w:tcPr>
            <w:tcW w:w="964" w:type="dxa"/>
            <w:tcBorders>
              <w:top w:val="nil"/>
              <w:left w:val="nil"/>
              <w:bottom w:val="nil"/>
              <w:right w:val="nil"/>
            </w:tcBorders>
            <w:shd w:val="clear" w:color="000000" w:fill="F2F2F2"/>
            <w:noWrap/>
            <w:vAlign w:val="center"/>
            <w:hideMark/>
          </w:tcPr>
          <w:p w14:paraId="712F71E6"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w:t>
            </w:r>
          </w:p>
        </w:tc>
        <w:tc>
          <w:tcPr>
            <w:tcW w:w="1191" w:type="dxa"/>
            <w:tcBorders>
              <w:top w:val="nil"/>
              <w:left w:val="nil"/>
              <w:bottom w:val="nil"/>
              <w:right w:val="nil"/>
            </w:tcBorders>
            <w:shd w:val="clear" w:color="000000" w:fill="F2F2F2"/>
            <w:noWrap/>
            <w:vAlign w:val="center"/>
            <w:hideMark/>
          </w:tcPr>
          <w:p w14:paraId="44316609"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2</w:t>
            </w:r>
          </w:p>
        </w:tc>
        <w:tc>
          <w:tcPr>
            <w:tcW w:w="737" w:type="dxa"/>
            <w:tcBorders>
              <w:top w:val="nil"/>
              <w:left w:val="nil"/>
              <w:bottom w:val="nil"/>
              <w:right w:val="nil"/>
            </w:tcBorders>
            <w:shd w:val="clear" w:color="000000" w:fill="F2F2F2"/>
            <w:noWrap/>
            <w:vAlign w:val="center"/>
            <w:hideMark/>
          </w:tcPr>
          <w:p w14:paraId="36244D3F"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w:t>
            </w:r>
          </w:p>
        </w:tc>
        <w:tc>
          <w:tcPr>
            <w:tcW w:w="964" w:type="dxa"/>
            <w:tcBorders>
              <w:top w:val="nil"/>
              <w:left w:val="nil"/>
              <w:bottom w:val="nil"/>
              <w:right w:val="nil"/>
            </w:tcBorders>
            <w:shd w:val="clear" w:color="000000" w:fill="F2F2F2"/>
            <w:noWrap/>
            <w:vAlign w:val="center"/>
            <w:hideMark/>
          </w:tcPr>
          <w:p w14:paraId="29B44BE5"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3.0</w:t>
            </w:r>
          </w:p>
        </w:tc>
        <w:tc>
          <w:tcPr>
            <w:tcW w:w="1191" w:type="dxa"/>
            <w:tcBorders>
              <w:top w:val="nil"/>
              <w:left w:val="nil"/>
              <w:bottom w:val="nil"/>
              <w:right w:val="nil"/>
            </w:tcBorders>
            <w:shd w:val="clear" w:color="000000" w:fill="F2F2F2"/>
            <w:noWrap/>
            <w:vAlign w:val="center"/>
            <w:hideMark/>
          </w:tcPr>
          <w:p w14:paraId="04D05A26"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3.6</w:t>
            </w:r>
          </w:p>
        </w:tc>
        <w:tc>
          <w:tcPr>
            <w:tcW w:w="737" w:type="dxa"/>
            <w:tcBorders>
              <w:top w:val="nil"/>
              <w:left w:val="nil"/>
              <w:bottom w:val="nil"/>
              <w:right w:val="nil"/>
            </w:tcBorders>
            <w:shd w:val="clear" w:color="000000" w:fill="F2F2F2"/>
            <w:noWrap/>
            <w:vAlign w:val="center"/>
            <w:hideMark/>
          </w:tcPr>
          <w:p w14:paraId="481F21FF"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3.4</w:t>
            </w:r>
          </w:p>
        </w:tc>
      </w:tr>
      <w:tr w:rsidR="00B57CD1" w:rsidRPr="00B57CD1" w14:paraId="71B2D1D9" w14:textId="77777777" w:rsidTr="00031521">
        <w:trPr>
          <w:trHeight w:val="288"/>
        </w:trPr>
        <w:tc>
          <w:tcPr>
            <w:tcW w:w="2438" w:type="dxa"/>
            <w:tcBorders>
              <w:top w:val="nil"/>
              <w:left w:val="nil"/>
              <w:bottom w:val="nil"/>
              <w:right w:val="nil"/>
            </w:tcBorders>
            <w:shd w:val="clear" w:color="000000" w:fill="F2F2F2"/>
            <w:noWrap/>
            <w:vAlign w:val="center"/>
            <w:hideMark/>
          </w:tcPr>
          <w:p w14:paraId="4A7B22C5"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Very unlikely</w:t>
            </w:r>
          </w:p>
        </w:tc>
        <w:tc>
          <w:tcPr>
            <w:tcW w:w="964" w:type="dxa"/>
            <w:tcBorders>
              <w:top w:val="nil"/>
              <w:left w:val="nil"/>
              <w:bottom w:val="nil"/>
              <w:right w:val="nil"/>
            </w:tcBorders>
            <w:shd w:val="clear" w:color="000000" w:fill="F2F2F2"/>
            <w:noWrap/>
            <w:vAlign w:val="center"/>
            <w:hideMark/>
          </w:tcPr>
          <w:p w14:paraId="70F1BD00"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w:t>
            </w:r>
          </w:p>
        </w:tc>
        <w:tc>
          <w:tcPr>
            <w:tcW w:w="1191" w:type="dxa"/>
            <w:tcBorders>
              <w:top w:val="nil"/>
              <w:left w:val="nil"/>
              <w:bottom w:val="nil"/>
              <w:right w:val="nil"/>
            </w:tcBorders>
            <w:shd w:val="clear" w:color="000000" w:fill="F2F2F2"/>
            <w:noWrap/>
            <w:vAlign w:val="center"/>
            <w:hideMark/>
          </w:tcPr>
          <w:p w14:paraId="04EC9640"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w:t>
            </w:r>
          </w:p>
        </w:tc>
        <w:tc>
          <w:tcPr>
            <w:tcW w:w="737" w:type="dxa"/>
            <w:tcBorders>
              <w:top w:val="nil"/>
              <w:left w:val="nil"/>
              <w:bottom w:val="nil"/>
              <w:right w:val="nil"/>
            </w:tcBorders>
            <w:shd w:val="clear" w:color="000000" w:fill="F2F2F2"/>
            <w:noWrap/>
            <w:vAlign w:val="center"/>
            <w:hideMark/>
          </w:tcPr>
          <w:p w14:paraId="034CC270"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w:t>
            </w:r>
          </w:p>
        </w:tc>
        <w:tc>
          <w:tcPr>
            <w:tcW w:w="964" w:type="dxa"/>
            <w:tcBorders>
              <w:top w:val="nil"/>
              <w:left w:val="nil"/>
              <w:bottom w:val="nil"/>
              <w:right w:val="nil"/>
            </w:tcBorders>
            <w:shd w:val="clear" w:color="000000" w:fill="F2F2F2"/>
            <w:noWrap/>
            <w:vAlign w:val="center"/>
            <w:hideMark/>
          </w:tcPr>
          <w:p w14:paraId="32CBE41B"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0.0</w:t>
            </w:r>
          </w:p>
        </w:tc>
        <w:tc>
          <w:tcPr>
            <w:tcW w:w="1191" w:type="dxa"/>
            <w:tcBorders>
              <w:top w:val="nil"/>
              <w:left w:val="nil"/>
              <w:bottom w:val="nil"/>
              <w:right w:val="nil"/>
            </w:tcBorders>
            <w:shd w:val="clear" w:color="000000" w:fill="F2F2F2"/>
            <w:noWrap/>
            <w:vAlign w:val="center"/>
            <w:hideMark/>
          </w:tcPr>
          <w:p w14:paraId="52FABA19"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7.3</w:t>
            </w:r>
          </w:p>
        </w:tc>
        <w:tc>
          <w:tcPr>
            <w:tcW w:w="737" w:type="dxa"/>
            <w:tcBorders>
              <w:top w:val="nil"/>
              <w:left w:val="nil"/>
              <w:bottom w:val="nil"/>
              <w:right w:val="nil"/>
            </w:tcBorders>
            <w:shd w:val="clear" w:color="000000" w:fill="F2F2F2"/>
            <w:noWrap/>
            <w:vAlign w:val="center"/>
            <w:hideMark/>
          </w:tcPr>
          <w:p w14:paraId="77C23D33"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4.5</w:t>
            </w:r>
          </w:p>
        </w:tc>
      </w:tr>
      <w:tr w:rsidR="00031521" w:rsidRPr="00B57CD1" w14:paraId="6E0D6F46" w14:textId="2D613E27" w:rsidTr="00D97215">
        <w:trPr>
          <w:trHeight w:val="288"/>
        </w:trPr>
        <w:tc>
          <w:tcPr>
            <w:tcW w:w="8222" w:type="dxa"/>
            <w:gridSpan w:val="7"/>
            <w:tcBorders>
              <w:top w:val="nil"/>
              <w:left w:val="nil"/>
              <w:bottom w:val="nil"/>
            </w:tcBorders>
            <w:shd w:val="clear" w:color="000000" w:fill="F2F2F2"/>
            <w:noWrap/>
            <w:vAlign w:val="center"/>
            <w:hideMark/>
          </w:tcPr>
          <w:p w14:paraId="610B0872" w14:textId="659F2C36" w:rsidR="00031521" w:rsidRPr="00B57CD1" w:rsidRDefault="00031521" w:rsidP="00031521">
            <w:pPr>
              <w:keepNext/>
              <w:spacing w:before="0" w:after="0" w:line="240" w:lineRule="auto"/>
              <w:rPr>
                <w:rFonts w:ascii="Times New Roman" w:hAnsi="Times New Roman"/>
                <w:color w:val="auto"/>
                <w:szCs w:val="20"/>
              </w:rPr>
            </w:pPr>
            <w:r w:rsidRPr="00B57CD1">
              <w:rPr>
                <w:rFonts w:ascii="Arial" w:hAnsi="Arial" w:cs="Arial"/>
                <w:b/>
                <w:bCs/>
                <w:color w:val="000000"/>
                <w:szCs w:val="20"/>
              </w:rPr>
              <w:t>How likely to complete an economics degree</w:t>
            </w:r>
          </w:p>
        </w:tc>
      </w:tr>
      <w:tr w:rsidR="00B57CD1" w:rsidRPr="00B57CD1" w14:paraId="16BD61EE" w14:textId="77777777" w:rsidTr="00031521">
        <w:trPr>
          <w:trHeight w:val="288"/>
        </w:trPr>
        <w:tc>
          <w:tcPr>
            <w:tcW w:w="2438" w:type="dxa"/>
            <w:tcBorders>
              <w:top w:val="nil"/>
              <w:left w:val="nil"/>
              <w:bottom w:val="nil"/>
              <w:right w:val="nil"/>
            </w:tcBorders>
            <w:shd w:val="clear" w:color="000000" w:fill="F2F2F2"/>
            <w:noWrap/>
            <w:vAlign w:val="center"/>
            <w:hideMark/>
          </w:tcPr>
          <w:p w14:paraId="1472D44E"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Very likely</w:t>
            </w:r>
          </w:p>
        </w:tc>
        <w:tc>
          <w:tcPr>
            <w:tcW w:w="964" w:type="dxa"/>
            <w:tcBorders>
              <w:top w:val="nil"/>
              <w:left w:val="nil"/>
              <w:bottom w:val="nil"/>
              <w:right w:val="nil"/>
            </w:tcBorders>
            <w:shd w:val="clear" w:color="000000" w:fill="F2F2F2"/>
            <w:noWrap/>
            <w:vAlign w:val="center"/>
            <w:hideMark/>
          </w:tcPr>
          <w:p w14:paraId="14478230"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21</w:t>
            </w:r>
          </w:p>
        </w:tc>
        <w:tc>
          <w:tcPr>
            <w:tcW w:w="1191" w:type="dxa"/>
            <w:tcBorders>
              <w:top w:val="nil"/>
              <w:left w:val="nil"/>
              <w:bottom w:val="nil"/>
              <w:right w:val="nil"/>
            </w:tcBorders>
            <w:shd w:val="clear" w:color="000000" w:fill="F2F2F2"/>
            <w:noWrap/>
            <w:vAlign w:val="center"/>
            <w:hideMark/>
          </w:tcPr>
          <w:p w14:paraId="165A3AB7"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39</w:t>
            </w:r>
          </w:p>
        </w:tc>
        <w:tc>
          <w:tcPr>
            <w:tcW w:w="737" w:type="dxa"/>
            <w:tcBorders>
              <w:top w:val="nil"/>
              <w:left w:val="nil"/>
              <w:bottom w:val="nil"/>
              <w:right w:val="nil"/>
            </w:tcBorders>
            <w:shd w:val="clear" w:color="000000" w:fill="F2F2F2"/>
            <w:noWrap/>
            <w:vAlign w:val="center"/>
            <w:hideMark/>
          </w:tcPr>
          <w:p w14:paraId="1E8B38B4"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60</w:t>
            </w:r>
          </w:p>
        </w:tc>
        <w:tc>
          <w:tcPr>
            <w:tcW w:w="964" w:type="dxa"/>
            <w:tcBorders>
              <w:top w:val="nil"/>
              <w:left w:val="nil"/>
              <w:bottom w:val="nil"/>
              <w:right w:val="nil"/>
            </w:tcBorders>
            <w:shd w:val="clear" w:color="000000" w:fill="F2F2F2"/>
            <w:noWrap/>
            <w:vAlign w:val="center"/>
            <w:hideMark/>
          </w:tcPr>
          <w:p w14:paraId="5E0B0A09"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63.6</w:t>
            </w:r>
          </w:p>
        </w:tc>
        <w:tc>
          <w:tcPr>
            <w:tcW w:w="1191" w:type="dxa"/>
            <w:tcBorders>
              <w:top w:val="nil"/>
              <w:left w:val="nil"/>
              <w:bottom w:val="nil"/>
              <w:right w:val="nil"/>
            </w:tcBorders>
            <w:shd w:val="clear" w:color="000000" w:fill="F2F2F2"/>
            <w:noWrap/>
            <w:vAlign w:val="center"/>
            <w:hideMark/>
          </w:tcPr>
          <w:p w14:paraId="688CE165"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70.9</w:t>
            </w:r>
          </w:p>
        </w:tc>
        <w:tc>
          <w:tcPr>
            <w:tcW w:w="737" w:type="dxa"/>
            <w:tcBorders>
              <w:top w:val="nil"/>
              <w:left w:val="nil"/>
              <w:bottom w:val="nil"/>
              <w:right w:val="nil"/>
            </w:tcBorders>
            <w:shd w:val="clear" w:color="000000" w:fill="F2F2F2"/>
            <w:noWrap/>
            <w:vAlign w:val="center"/>
            <w:hideMark/>
          </w:tcPr>
          <w:p w14:paraId="7FAFCFA1"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68.2</w:t>
            </w:r>
          </w:p>
        </w:tc>
      </w:tr>
      <w:tr w:rsidR="00B57CD1" w:rsidRPr="00B57CD1" w14:paraId="6144F940" w14:textId="77777777" w:rsidTr="00031521">
        <w:trPr>
          <w:trHeight w:val="288"/>
        </w:trPr>
        <w:tc>
          <w:tcPr>
            <w:tcW w:w="2438" w:type="dxa"/>
            <w:tcBorders>
              <w:top w:val="nil"/>
              <w:left w:val="nil"/>
              <w:bottom w:val="nil"/>
              <w:right w:val="nil"/>
            </w:tcBorders>
            <w:shd w:val="clear" w:color="000000" w:fill="F2F2F2"/>
            <w:noWrap/>
            <w:vAlign w:val="center"/>
            <w:hideMark/>
          </w:tcPr>
          <w:p w14:paraId="7A62A679"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Somewhat likely</w:t>
            </w:r>
          </w:p>
        </w:tc>
        <w:tc>
          <w:tcPr>
            <w:tcW w:w="964" w:type="dxa"/>
            <w:tcBorders>
              <w:top w:val="nil"/>
              <w:left w:val="nil"/>
              <w:bottom w:val="nil"/>
              <w:right w:val="nil"/>
            </w:tcBorders>
            <w:shd w:val="clear" w:color="000000" w:fill="F2F2F2"/>
            <w:noWrap/>
            <w:vAlign w:val="center"/>
            <w:hideMark/>
          </w:tcPr>
          <w:p w14:paraId="359966F2"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w:t>
            </w:r>
          </w:p>
        </w:tc>
        <w:tc>
          <w:tcPr>
            <w:tcW w:w="1191" w:type="dxa"/>
            <w:tcBorders>
              <w:top w:val="nil"/>
              <w:left w:val="nil"/>
              <w:bottom w:val="nil"/>
              <w:right w:val="nil"/>
            </w:tcBorders>
            <w:shd w:val="clear" w:color="000000" w:fill="F2F2F2"/>
            <w:noWrap/>
            <w:vAlign w:val="center"/>
            <w:hideMark/>
          </w:tcPr>
          <w:p w14:paraId="590F1679"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w:t>
            </w:r>
          </w:p>
        </w:tc>
        <w:tc>
          <w:tcPr>
            <w:tcW w:w="737" w:type="dxa"/>
            <w:tcBorders>
              <w:top w:val="nil"/>
              <w:left w:val="nil"/>
              <w:bottom w:val="nil"/>
              <w:right w:val="nil"/>
            </w:tcBorders>
            <w:shd w:val="clear" w:color="000000" w:fill="F2F2F2"/>
            <w:noWrap/>
            <w:vAlign w:val="center"/>
            <w:hideMark/>
          </w:tcPr>
          <w:p w14:paraId="32DE0184"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7</w:t>
            </w:r>
          </w:p>
        </w:tc>
        <w:tc>
          <w:tcPr>
            <w:tcW w:w="964" w:type="dxa"/>
            <w:tcBorders>
              <w:top w:val="nil"/>
              <w:left w:val="nil"/>
              <w:bottom w:val="nil"/>
              <w:right w:val="nil"/>
            </w:tcBorders>
            <w:shd w:val="clear" w:color="000000" w:fill="F2F2F2"/>
            <w:noWrap/>
            <w:vAlign w:val="center"/>
            <w:hideMark/>
          </w:tcPr>
          <w:p w14:paraId="09ECEB77"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12.1</w:t>
            </w:r>
          </w:p>
        </w:tc>
        <w:tc>
          <w:tcPr>
            <w:tcW w:w="1191" w:type="dxa"/>
            <w:tcBorders>
              <w:top w:val="nil"/>
              <w:left w:val="nil"/>
              <w:bottom w:val="nil"/>
              <w:right w:val="nil"/>
            </w:tcBorders>
            <w:shd w:val="clear" w:color="000000" w:fill="F2F2F2"/>
            <w:noWrap/>
            <w:vAlign w:val="center"/>
            <w:hideMark/>
          </w:tcPr>
          <w:p w14:paraId="6111E4C8"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5.5</w:t>
            </w:r>
          </w:p>
        </w:tc>
        <w:tc>
          <w:tcPr>
            <w:tcW w:w="737" w:type="dxa"/>
            <w:tcBorders>
              <w:top w:val="nil"/>
              <w:left w:val="nil"/>
              <w:bottom w:val="nil"/>
              <w:right w:val="nil"/>
            </w:tcBorders>
            <w:shd w:val="clear" w:color="000000" w:fill="F2F2F2"/>
            <w:noWrap/>
            <w:vAlign w:val="center"/>
            <w:hideMark/>
          </w:tcPr>
          <w:p w14:paraId="0682C179"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8.0</w:t>
            </w:r>
          </w:p>
        </w:tc>
      </w:tr>
      <w:tr w:rsidR="00B57CD1" w:rsidRPr="00B57CD1" w14:paraId="299193D6" w14:textId="77777777" w:rsidTr="00031521">
        <w:trPr>
          <w:trHeight w:val="288"/>
        </w:trPr>
        <w:tc>
          <w:tcPr>
            <w:tcW w:w="2438" w:type="dxa"/>
            <w:tcBorders>
              <w:top w:val="nil"/>
              <w:left w:val="nil"/>
              <w:bottom w:val="nil"/>
              <w:right w:val="nil"/>
            </w:tcBorders>
            <w:shd w:val="clear" w:color="000000" w:fill="F2F2F2"/>
            <w:noWrap/>
            <w:vAlign w:val="center"/>
            <w:hideMark/>
          </w:tcPr>
          <w:p w14:paraId="2E1AF23B"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Neither likely nor unlikely</w:t>
            </w:r>
          </w:p>
        </w:tc>
        <w:tc>
          <w:tcPr>
            <w:tcW w:w="964" w:type="dxa"/>
            <w:tcBorders>
              <w:top w:val="nil"/>
              <w:left w:val="nil"/>
              <w:bottom w:val="nil"/>
              <w:right w:val="nil"/>
            </w:tcBorders>
            <w:shd w:val="clear" w:color="000000" w:fill="F2F2F2"/>
            <w:noWrap/>
            <w:vAlign w:val="center"/>
            <w:hideMark/>
          </w:tcPr>
          <w:p w14:paraId="5ACB7D13"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2</w:t>
            </w:r>
          </w:p>
        </w:tc>
        <w:tc>
          <w:tcPr>
            <w:tcW w:w="1191" w:type="dxa"/>
            <w:tcBorders>
              <w:top w:val="nil"/>
              <w:left w:val="nil"/>
              <w:bottom w:val="nil"/>
              <w:right w:val="nil"/>
            </w:tcBorders>
            <w:shd w:val="clear" w:color="000000" w:fill="F2F2F2"/>
            <w:noWrap/>
            <w:vAlign w:val="center"/>
            <w:hideMark/>
          </w:tcPr>
          <w:p w14:paraId="4B8A3238"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6</w:t>
            </w:r>
          </w:p>
        </w:tc>
        <w:tc>
          <w:tcPr>
            <w:tcW w:w="737" w:type="dxa"/>
            <w:tcBorders>
              <w:top w:val="nil"/>
              <w:left w:val="nil"/>
              <w:bottom w:val="nil"/>
              <w:right w:val="nil"/>
            </w:tcBorders>
            <w:shd w:val="clear" w:color="000000" w:fill="F2F2F2"/>
            <w:noWrap/>
            <w:vAlign w:val="center"/>
            <w:hideMark/>
          </w:tcPr>
          <w:p w14:paraId="0FB572E7"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8</w:t>
            </w:r>
          </w:p>
        </w:tc>
        <w:tc>
          <w:tcPr>
            <w:tcW w:w="964" w:type="dxa"/>
            <w:tcBorders>
              <w:top w:val="nil"/>
              <w:left w:val="nil"/>
              <w:bottom w:val="nil"/>
              <w:right w:val="nil"/>
            </w:tcBorders>
            <w:shd w:val="clear" w:color="000000" w:fill="F2F2F2"/>
            <w:noWrap/>
            <w:vAlign w:val="center"/>
            <w:hideMark/>
          </w:tcPr>
          <w:p w14:paraId="3F05B241"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6.1</w:t>
            </w:r>
          </w:p>
        </w:tc>
        <w:tc>
          <w:tcPr>
            <w:tcW w:w="1191" w:type="dxa"/>
            <w:tcBorders>
              <w:top w:val="nil"/>
              <w:left w:val="nil"/>
              <w:bottom w:val="nil"/>
              <w:right w:val="nil"/>
            </w:tcBorders>
            <w:shd w:val="clear" w:color="000000" w:fill="F2F2F2"/>
            <w:noWrap/>
            <w:vAlign w:val="center"/>
            <w:hideMark/>
          </w:tcPr>
          <w:p w14:paraId="58943324"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10.9</w:t>
            </w:r>
          </w:p>
        </w:tc>
        <w:tc>
          <w:tcPr>
            <w:tcW w:w="737" w:type="dxa"/>
            <w:tcBorders>
              <w:top w:val="nil"/>
              <w:left w:val="nil"/>
              <w:bottom w:val="nil"/>
              <w:right w:val="nil"/>
            </w:tcBorders>
            <w:shd w:val="clear" w:color="000000" w:fill="F2F2F2"/>
            <w:noWrap/>
            <w:vAlign w:val="center"/>
            <w:hideMark/>
          </w:tcPr>
          <w:p w14:paraId="487AC983"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9.1</w:t>
            </w:r>
          </w:p>
        </w:tc>
      </w:tr>
      <w:tr w:rsidR="00B57CD1" w:rsidRPr="00B57CD1" w14:paraId="7BC4AE9B" w14:textId="77777777" w:rsidTr="00031521">
        <w:trPr>
          <w:trHeight w:val="288"/>
        </w:trPr>
        <w:tc>
          <w:tcPr>
            <w:tcW w:w="2438" w:type="dxa"/>
            <w:tcBorders>
              <w:top w:val="nil"/>
              <w:left w:val="nil"/>
              <w:bottom w:val="nil"/>
              <w:right w:val="nil"/>
            </w:tcBorders>
            <w:shd w:val="clear" w:color="000000" w:fill="F2F2F2"/>
            <w:noWrap/>
            <w:vAlign w:val="center"/>
            <w:hideMark/>
          </w:tcPr>
          <w:p w14:paraId="50E14C23"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Somewhat unlikely</w:t>
            </w:r>
          </w:p>
        </w:tc>
        <w:tc>
          <w:tcPr>
            <w:tcW w:w="964" w:type="dxa"/>
            <w:tcBorders>
              <w:top w:val="nil"/>
              <w:left w:val="nil"/>
              <w:bottom w:val="nil"/>
              <w:right w:val="nil"/>
            </w:tcBorders>
            <w:shd w:val="clear" w:color="000000" w:fill="F2F2F2"/>
            <w:noWrap/>
            <w:vAlign w:val="center"/>
            <w:hideMark/>
          </w:tcPr>
          <w:p w14:paraId="6E32BAEC"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w:t>
            </w:r>
          </w:p>
        </w:tc>
        <w:tc>
          <w:tcPr>
            <w:tcW w:w="1191" w:type="dxa"/>
            <w:tcBorders>
              <w:top w:val="nil"/>
              <w:left w:val="nil"/>
              <w:bottom w:val="nil"/>
              <w:right w:val="nil"/>
            </w:tcBorders>
            <w:shd w:val="clear" w:color="000000" w:fill="F2F2F2"/>
            <w:noWrap/>
            <w:vAlign w:val="center"/>
            <w:hideMark/>
          </w:tcPr>
          <w:p w14:paraId="2B39D244"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w:t>
            </w:r>
          </w:p>
        </w:tc>
        <w:tc>
          <w:tcPr>
            <w:tcW w:w="737" w:type="dxa"/>
            <w:tcBorders>
              <w:top w:val="nil"/>
              <w:left w:val="nil"/>
              <w:bottom w:val="nil"/>
              <w:right w:val="nil"/>
            </w:tcBorders>
            <w:shd w:val="clear" w:color="000000" w:fill="F2F2F2"/>
            <w:noWrap/>
            <w:vAlign w:val="center"/>
            <w:hideMark/>
          </w:tcPr>
          <w:p w14:paraId="64444F25"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8</w:t>
            </w:r>
          </w:p>
        </w:tc>
        <w:tc>
          <w:tcPr>
            <w:tcW w:w="964" w:type="dxa"/>
            <w:tcBorders>
              <w:top w:val="nil"/>
              <w:left w:val="nil"/>
              <w:bottom w:val="nil"/>
              <w:right w:val="nil"/>
            </w:tcBorders>
            <w:shd w:val="clear" w:color="000000" w:fill="F2F2F2"/>
            <w:noWrap/>
            <w:vAlign w:val="center"/>
            <w:hideMark/>
          </w:tcPr>
          <w:p w14:paraId="2B9D337B"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12.1</w:t>
            </w:r>
          </w:p>
        </w:tc>
        <w:tc>
          <w:tcPr>
            <w:tcW w:w="1191" w:type="dxa"/>
            <w:tcBorders>
              <w:top w:val="nil"/>
              <w:left w:val="nil"/>
              <w:bottom w:val="nil"/>
              <w:right w:val="nil"/>
            </w:tcBorders>
            <w:shd w:val="clear" w:color="000000" w:fill="F2F2F2"/>
            <w:noWrap/>
            <w:vAlign w:val="center"/>
            <w:hideMark/>
          </w:tcPr>
          <w:p w14:paraId="48CCC4E2"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7.3</w:t>
            </w:r>
          </w:p>
        </w:tc>
        <w:tc>
          <w:tcPr>
            <w:tcW w:w="737" w:type="dxa"/>
            <w:tcBorders>
              <w:top w:val="nil"/>
              <w:left w:val="nil"/>
              <w:bottom w:val="nil"/>
              <w:right w:val="nil"/>
            </w:tcBorders>
            <w:shd w:val="clear" w:color="000000" w:fill="F2F2F2"/>
            <w:noWrap/>
            <w:vAlign w:val="center"/>
            <w:hideMark/>
          </w:tcPr>
          <w:p w14:paraId="72A9EBB7"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9.1</w:t>
            </w:r>
          </w:p>
        </w:tc>
      </w:tr>
      <w:tr w:rsidR="00B57CD1" w:rsidRPr="00B57CD1" w14:paraId="2AD9A901" w14:textId="77777777" w:rsidTr="00031521">
        <w:trPr>
          <w:trHeight w:val="288"/>
        </w:trPr>
        <w:tc>
          <w:tcPr>
            <w:tcW w:w="2438" w:type="dxa"/>
            <w:tcBorders>
              <w:top w:val="nil"/>
              <w:left w:val="nil"/>
              <w:bottom w:val="nil"/>
              <w:right w:val="nil"/>
            </w:tcBorders>
            <w:shd w:val="clear" w:color="000000" w:fill="F2F2F2"/>
            <w:noWrap/>
            <w:vAlign w:val="center"/>
            <w:hideMark/>
          </w:tcPr>
          <w:p w14:paraId="436B7C80"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Very unlikely</w:t>
            </w:r>
          </w:p>
        </w:tc>
        <w:tc>
          <w:tcPr>
            <w:tcW w:w="964" w:type="dxa"/>
            <w:tcBorders>
              <w:top w:val="nil"/>
              <w:left w:val="nil"/>
              <w:bottom w:val="nil"/>
              <w:right w:val="nil"/>
            </w:tcBorders>
            <w:shd w:val="clear" w:color="000000" w:fill="F2F2F2"/>
            <w:noWrap/>
            <w:vAlign w:val="center"/>
            <w:hideMark/>
          </w:tcPr>
          <w:p w14:paraId="0D940EA6"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2</w:t>
            </w:r>
          </w:p>
        </w:tc>
        <w:tc>
          <w:tcPr>
            <w:tcW w:w="1191" w:type="dxa"/>
            <w:tcBorders>
              <w:top w:val="nil"/>
              <w:left w:val="nil"/>
              <w:bottom w:val="nil"/>
              <w:right w:val="nil"/>
            </w:tcBorders>
            <w:shd w:val="clear" w:color="000000" w:fill="F2F2F2"/>
            <w:noWrap/>
            <w:vAlign w:val="center"/>
            <w:hideMark/>
          </w:tcPr>
          <w:p w14:paraId="0402A91C"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w:t>
            </w:r>
          </w:p>
        </w:tc>
        <w:tc>
          <w:tcPr>
            <w:tcW w:w="737" w:type="dxa"/>
            <w:tcBorders>
              <w:top w:val="nil"/>
              <w:left w:val="nil"/>
              <w:bottom w:val="nil"/>
              <w:right w:val="nil"/>
            </w:tcBorders>
            <w:shd w:val="clear" w:color="000000" w:fill="F2F2F2"/>
            <w:noWrap/>
            <w:vAlign w:val="center"/>
            <w:hideMark/>
          </w:tcPr>
          <w:p w14:paraId="751E507D"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w:t>
            </w:r>
          </w:p>
        </w:tc>
        <w:tc>
          <w:tcPr>
            <w:tcW w:w="964" w:type="dxa"/>
            <w:tcBorders>
              <w:top w:val="nil"/>
              <w:left w:val="nil"/>
              <w:bottom w:val="nil"/>
              <w:right w:val="nil"/>
            </w:tcBorders>
            <w:shd w:val="clear" w:color="000000" w:fill="F2F2F2"/>
            <w:noWrap/>
            <w:vAlign w:val="center"/>
            <w:hideMark/>
          </w:tcPr>
          <w:p w14:paraId="2702C9E4"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6.1</w:t>
            </w:r>
          </w:p>
        </w:tc>
        <w:tc>
          <w:tcPr>
            <w:tcW w:w="1191" w:type="dxa"/>
            <w:tcBorders>
              <w:top w:val="nil"/>
              <w:left w:val="nil"/>
              <w:bottom w:val="nil"/>
              <w:right w:val="nil"/>
            </w:tcBorders>
            <w:shd w:val="clear" w:color="000000" w:fill="F2F2F2"/>
            <w:noWrap/>
            <w:vAlign w:val="center"/>
            <w:hideMark/>
          </w:tcPr>
          <w:p w14:paraId="3107FAAF"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5.5</w:t>
            </w:r>
          </w:p>
        </w:tc>
        <w:tc>
          <w:tcPr>
            <w:tcW w:w="737" w:type="dxa"/>
            <w:tcBorders>
              <w:top w:val="nil"/>
              <w:left w:val="nil"/>
              <w:bottom w:val="nil"/>
              <w:right w:val="nil"/>
            </w:tcBorders>
            <w:shd w:val="clear" w:color="000000" w:fill="F2F2F2"/>
            <w:noWrap/>
            <w:vAlign w:val="center"/>
            <w:hideMark/>
          </w:tcPr>
          <w:p w14:paraId="1A28D0A9"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5.7</w:t>
            </w:r>
          </w:p>
        </w:tc>
      </w:tr>
      <w:tr w:rsidR="00031521" w:rsidRPr="00B57CD1" w14:paraId="186CE99B" w14:textId="531195D5" w:rsidTr="00D97215">
        <w:trPr>
          <w:trHeight w:val="288"/>
        </w:trPr>
        <w:tc>
          <w:tcPr>
            <w:tcW w:w="8222" w:type="dxa"/>
            <w:gridSpan w:val="7"/>
            <w:tcBorders>
              <w:top w:val="nil"/>
              <w:left w:val="nil"/>
              <w:bottom w:val="nil"/>
            </w:tcBorders>
            <w:shd w:val="clear" w:color="000000" w:fill="F2F2F2"/>
            <w:noWrap/>
            <w:vAlign w:val="center"/>
            <w:hideMark/>
          </w:tcPr>
          <w:p w14:paraId="7F2C1B17" w14:textId="5855E491" w:rsidR="00031521" w:rsidRPr="00B57CD1" w:rsidRDefault="00031521" w:rsidP="00031521">
            <w:pPr>
              <w:keepNext/>
              <w:spacing w:before="0" w:after="0" w:line="240" w:lineRule="auto"/>
              <w:rPr>
                <w:rFonts w:ascii="Times New Roman" w:hAnsi="Times New Roman"/>
                <w:color w:val="auto"/>
                <w:szCs w:val="20"/>
              </w:rPr>
            </w:pPr>
            <w:r w:rsidRPr="00B57CD1">
              <w:rPr>
                <w:rFonts w:ascii="Arial" w:hAnsi="Arial" w:cs="Arial"/>
                <w:b/>
                <w:bCs/>
                <w:color w:val="000000"/>
                <w:szCs w:val="20"/>
              </w:rPr>
              <w:t>How likely to pursue a career in economics</w:t>
            </w:r>
          </w:p>
        </w:tc>
      </w:tr>
      <w:tr w:rsidR="00B57CD1" w:rsidRPr="00B57CD1" w14:paraId="63A6B784" w14:textId="77777777" w:rsidTr="00031521">
        <w:trPr>
          <w:trHeight w:val="288"/>
        </w:trPr>
        <w:tc>
          <w:tcPr>
            <w:tcW w:w="2438" w:type="dxa"/>
            <w:tcBorders>
              <w:top w:val="nil"/>
              <w:left w:val="nil"/>
              <w:bottom w:val="nil"/>
              <w:right w:val="nil"/>
            </w:tcBorders>
            <w:shd w:val="clear" w:color="000000" w:fill="F2F2F2"/>
            <w:noWrap/>
            <w:vAlign w:val="center"/>
            <w:hideMark/>
          </w:tcPr>
          <w:p w14:paraId="254AAD76"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Very likely</w:t>
            </w:r>
          </w:p>
        </w:tc>
        <w:tc>
          <w:tcPr>
            <w:tcW w:w="964" w:type="dxa"/>
            <w:tcBorders>
              <w:top w:val="nil"/>
              <w:left w:val="nil"/>
              <w:bottom w:val="nil"/>
              <w:right w:val="nil"/>
            </w:tcBorders>
            <w:shd w:val="clear" w:color="000000" w:fill="F2F2F2"/>
            <w:noWrap/>
            <w:vAlign w:val="center"/>
            <w:hideMark/>
          </w:tcPr>
          <w:p w14:paraId="3CED4CA7"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19</w:t>
            </w:r>
          </w:p>
        </w:tc>
        <w:tc>
          <w:tcPr>
            <w:tcW w:w="1191" w:type="dxa"/>
            <w:tcBorders>
              <w:top w:val="nil"/>
              <w:left w:val="nil"/>
              <w:bottom w:val="nil"/>
              <w:right w:val="nil"/>
            </w:tcBorders>
            <w:shd w:val="clear" w:color="000000" w:fill="F2F2F2"/>
            <w:noWrap/>
            <w:vAlign w:val="center"/>
            <w:hideMark/>
          </w:tcPr>
          <w:p w14:paraId="76A272C3"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29</w:t>
            </w:r>
          </w:p>
        </w:tc>
        <w:tc>
          <w:tcPr>
            <w:tcW w:w="737" w:type="dxa"/>
            <w:tcBorders>
              <w:top w:val="nil"/>
              <w:left w:val="nil"/>
              <w:bottom w:val="nil"/>
              <w:right w:val="nil"/>
            </w:tcBorders>
            <w:shd w:val="clear" w:color="000000" w:fill="F2F2F2"/>
            <w:noWrap/>
            <w:vAlign w:val="center"/>
            <w:hideMark/>
          </w:tcPr>
          <w:p w14:paraId="5119A9B6"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48</w:t>
            </w:r>
          </w:p>
        </w:tc>
        <w:tc>
          <w:tcPr>
            <w:tcW w:w="964" w:type="dxa"/>
            <w:tcBorders>
              <w:top w:val="nil"/>
              <w:left w:val="nil"/>
              <w:bottom w:val="nil"/>
              <w:right w:val="nil"/>
            </w:tcBorders>
            <w:shd w:val="clear" w:color="000000" w:fill="F2F2F2"/>
            <w:noWrap/>
            <w:vAlign w:val="center"/>
            <w:hideMark/>
          </w:tcPr>
          <w:p w14:paraId="60908328"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57.6</w:t>
            </w:r>
          </w:p>
        </w:tc>
        <w:tc>
          <w:tcPr>
            <w:tcW w:w="1191" w:type="dxa"/>
            <w:tcBorders>
              <w:top w:val="nil"/>
              <w:left w:val="nil"/>
              <w:bottom w:val="nil"/>
              <w:right w:val="nil"/>
            </w:tcBorders>
            <w:shd w:val="clear" w:color="000000" w:fill="F2F2F2"/>
            <w:noWrap/>
            <w:vAlign w:val="center"/>
            <w:hideMark/>
          </w:tcPr>
          <w:p w14:paraId="23047FC8"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52.7</w:t>
            </w:r>
          </w:p>
        </w:tc>
        <w:tc>
          <w:tcPr>
            <w:tcW w:w="737" w:type="dxa"/>
            <w:tcBorders>
              <w:top w:val="nil"/>
              <w:left w:val="nil"/>
              <w:bottom w:val="nil"/>
              <w:right w:val="nil"/>
            </w:tcBorders>
            <w:shd w:val="clear" w:color="000000" w:fill="F2F2F2"/>
            <w:noWrap/>
            <w:vAlign w:val="center"/>
            <w:hideMark/>
          </w:tcPr>
          <w:p w14:paraId="7EA6E4DC"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54.5</w:t>
            </w:r>
          </w:p>
        </w:tc>
      </w:tr>
      <w:tr w:rsidR="00B57CD1" w:rsidRPr="00B57CD1" w14:paraId="01814A27" w14:textId="77777777" w:rsidTr="00031521">
        <w:trPr>
          <w:trHeight w:val="288"/>
        </w:trPr>
        <w:tc>
          <w:tcPr>
            <w:tcW w:w="2438" w:type="dxa"/>
            <w:tcBorders>
              <w:top w:val="nil"/>
              <w:left w:val="nil"/>
              <w:bottom w:val="nil"/>
              <w:right w:val="nil"/>
            </w:tcBorders>
            <w:shd w:val="clear" w:color="000000" w:fill="F2F2F2"/>
            <w:noWrap/>
            <w:vAlign w:val="center"/>
            <w:hideMark/>
          </w:tcPr>
          <w:p w14:paraId="0DDB3CDD" w14:textId="77777777" w:rsidR="00B57CD1" w:rsidRPr="00B57CD1" w:rsidRDefault="00B57CD1" w:rsidP="00031521">
            <w:pPr>
              <w:keepNext/>
              <w:spacing w:before="0" w:after="0" w:line="240" w:lineRule="auto"/>
              <w:rPr>
                <w:rFonts w:ascii="Arial" w:hAnsi="Arial" w:cs="Arial"/>
                <w:color w:val="000000"/>
                <w:szCs w:val="20"/>
              </w:rPr>
            </w:pPr>
            <w:r w:rsidRPr="00B57CD1">
              <w:rPr>
                <w:rFonts w:ascii="Arial" w:hAnsi="Arial" w:cs="Arial"/>
                <w:color w:val="000000"/>
                <w:szCs w:val="20"/>
              </w:rPr>
              <w:t>Somewhat likely</w:t>
            </w:r>
          </w:p>
        </w:tc>
        <w:tc>
          <w:tcPr>
            <w:tcW w:w="964" w:type="dxa"/>
            <w:tcBorders>
              <w:top w:val="nil"/>
              <w:left w:val="nil"/>
              <w:bottom w:val="nil"/>
              <w:right w:val="nil"/>
            </w:tcBorders>
            <w:shd w:val="clear" w:color="000000" w:fill="F2F2F2"/>
            <w:noWrap/>
            <w:vAlign w:val="center"/>
            <w:hideMark/>
          </w:tcPr>
          <w:p w14:paraId="2EBAB211"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11</w:t>
            </w:r>
          </w:p>
        </w:tc>
        <w:tc>
          <w:tcPr>
            <w:tcW w:w="1191" w:type="dxa"/>
            <w:tcBorders>
              <w:top w:val="nil"/>
              <w:left w:val="nil"/>
              <w:bottom w:val="nil"/>
              <w:right w:val="nil"/>
            </w:tcBorders>
            <w:shd w:val="clear" w:color="000000" w:fill="F2F2F2"/>
            <w:noWrap/>
            <w:vAlign w:val="center"/>
            <w:hideMark/>
          </w:tcPr>
          <w:p w14:paraId="4B4E1077"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19</w:t>
            </w:r>
          </w:p>
        </w:tc>
        <w:tc>
          <w:tcPr>
            <w:tcW w:w="737" w:type="dxa"/>
            <w:tcBorders>
              <w:top w:val="nil"/>
              <w:left w:val="nil"/>
              <w:bottom w:val="nil"/>
              <w:right w:val="nil"/>
            </w:tcBorders>
            <w:shd w:val="clear" w:color="000000" w:fill="F2F2F2"/>
            <w:noWrap/>
            <w:vAlign w:val="center"/>
            <w:hideMark/>
          </w:tcPr>
          <w:p w14:paraId="0CDA7A5A"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30</w:t>
            </w:r>
          </w:p>
        </w:tc>
        <w:tc>
          <w:tcPr>
            <w:tcW w:w="964" w:type="dxa"/>
            <w:tcBorders>
              <w:top w:val="nil"/>
              <w:left w:val="nil"/>
              <w:bottom w:val="nil"/>
              <w:right w:val="nil"/>
            </w:tcBorders>
            <w:shd w:val="clear" w:color="000000" w:fill="F2F2F2"/>
            <w:noWrap/>
            <w:vAlign w:val="center"/>
            <w:hideMark/>
          </w:tcPr>
          <w:p w14:paraId="34948F5C"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33.3</w:t>
            </w:r>
          </w:p>
        </w:tc>
        <w:tc>
          <w:tcPr>
            <w:tcW w:w="1191" w:type="dxa"/>
            <w:tcBorders>
              <w:top w:val="nil"/>
              <w:left w:val="nil"/>
              <w:bottom w:val="nil"/>
              <w:right w:val="nil"/>
            </w:tcBorders>
            <w:shd w:val="clear" w:color="000000" w:fill="F2F2F2"/>
            <w:noWrap/>
            <w:vAlign w:val="center"/>
            <w:hideMark/>
          </w:tcPr>
          <w:p w14:paraId="424C8CE5"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34.5</w:t>
            </w:r>
          </w:p>
        </w:tc>
        <w:tc>
          <w:tcPr>
            <w:tcW w:w="737" w:type="dxa"/>
            <w:tcBorders>
              <w:top w:val="nil"/>
              <w:left w:val="nil"/>
              <w:bottom w:val="nil"/>
              <w:right w:val="nil"/>
            </w:tcBorders>
            <w:shd w:val="clear" w:color="000000" w:fill="F2F2F2"/>
            <w:noWrap/>
            <w:vAlign w:val="center"/>
            <w:hideMark/>
          </w:tcPr>
          <w:p w14:paraId="0DC60A2E"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34.1</w:t>
            </w:r>
          </w:p>
        </w:tc>
      </w:tr>
      <w:tr w:rsidR="00B57CD1" w:rsidRPr="00B57CD1" w14:paraId="7E820C3B" w14:textId="77777777" w:rsidTr="00031521">
        <w:trPr>
          <w:trHeight w:val="288"/>
        </w:trPr>
        <w:tc>
          <w:tcPr>
            <w:tcW w:w="2438" w:type="dxa"/>
            <w:tcBorders>
              <w:top w:val="nil"/>
              <w:left w:val="nil"/>
              <w:bottom w:val="nil"/>
              <w:right w:val="nil"/>
            </w:tcBorders>
            <w:shd w:val="clear" w:color="000000" w:fill="F2F2F2"/>
            <w:noWrap/>
            <w:vAlign w:val="center"/>
            <w:hideMark/>
          </w:tcPr>
          <w:p w14:paraId="58065990"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Neither likely nor unlikely</w:t>
            </w:r>
          </w:p>
        </w:tc>
        <w:tc>
          <w:tcPr>
            <w:tcW w:w="964" w:type="dxa"/>
            <w:tcBorders>
              <w:top w:val="nil"/>
              <w:left w:val="nil"/>
              <w:bottom w:val="nil"/>
              <w:right w:val="nil"/>
            </w:tcBorders>
            <w:shd w:val="clear" w:color="000000" w:fill="F2F2F2"/>
            <w:noWrap/>
            <w:vAlign w:val="center"/>
            <w:hideMark/>
          </w:tcPr>
          <w:p w14:paraId="06A6C747"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3</w:t>
            </w:r>
          </w:p>
        </w:tc>
        <w:tc>
          <w:tcPr>
            <w:tcW w:w="1191" w:type="dxa"/>
            <w:tcBorders>
              <w:top w:val="nil"/>
              <w:left w:val="nil"/>
              <w:bottom w:val="nil"/>
              <w:right w:val="nil"/>
            </w:tcBorders>
            <w:shd w:val="clear" w:color="000000" w:fill="F2F2F2"/>
            <w:noWrap/>
            <w:vAlign w:val="center"/>
            <w:hideMark/>
          </w:tcPr>
          <w:p w14:paraId="4737A531"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7</w:t>
            </w:r>
          </w:p>
        </w:tc>
        <w:tc>
          <w:tcPr>
            <w:tcW w:w="737" w:type="dxa"/>
            <w:tcBorders>
              <w:top w:val="nil"/>
              <w:left w:val="nil"/>
              <w:bottom w:val="nil"/>
              <w:right w:val="nil"/>
            </w:tcBorders>
            <w:shd w:val="clear" w:color="000000" w:fill="F2F2F2"/>
            <w:noWrap/>
            <w:vAlign w:val="center"/>
            <w:hideMark/>
          </w:tcPr>
          <w:p w14:paraId="3CC91DB2"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10</w:t>
            </w:r>
          </w:p>
        </w:tc>
        <w:tc>
          <w:tcPr>
            <w:tcW w:w="964" w:type="dxa"/>
            <w:tcBorders>
              <w:top w:val="nil"/>
              <w:left w:val="nil"/>
              <w:bottom w:val="nil"/>
              <w:right w:val="nil"/>
            </w:tcBorders>
            <w:shd w:val="clear" w:color="000000" w:fill="F2F2F2"/>
            <w:noWrap/>
            <w:vAlign w:val="center"/>
            <w:hideMark/>
          </w:tcPr>
          <w:p w14:paraId="0A8507CA"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9.1</w:t>
            </w:r>
          </w:p>
        </w:tc>
        <w:tc>
          <w:tcPr>
            <w:tcW w:w="1191" w:type="dxa"/>
            <w:tcBorders>
              <w:top w:val="nil"/>
              <w:left w:val="nil"/>
              <w:bottom w:val="nil"/>
              <w:right w:val="nil"/>
            </w:tcBorders>
            <w:shd w:val="clear" w:color="000000" w:fill="F2F2F2"/>
            <w:noWrap/>
            <w:vAlign w:val="center"/>
            <w:hideMark/>
          </w:tcPr>
          <w:p w14:paraId="2C8886DB"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12.7</w:t>
            </w:r>
          </w:p>
        </w:tc>
        <w:tc>
          <w:tcPr>
            <w:tcW w:w="737" w:type="dxa"/>
            <w:tcBorders>
              <w:top w:val="nil"/>
              <w:left w:val="nil"/>
              <w:bottom w:val="nil"/>
              <w:right w:val="nil"/>
            </w:tcBorders>
            <w:shd w:val="clear" w:color="000000" w:fill="F2F2F2"/>
            <w:noWrap/>
            <w:vAlign w:val="center"/>
            <w:hideMark/>
          </w:tcPr>
          <w:p w14:paraId="0CAA5B6D"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11.4</w:t>
            </w:r>
          </w:p>
        </w:tc>
      </w:tr>
      <w:tr w:rsidR="00B57CD1" w:rsidRPr="00B57CD1" w14:paraId="4E3F9ED6" w14:textId="77777777" w:rsidTr="00031521">
        <w:trPr>
          <w:trHeight w:val="288"/>
        </w:trPr>
        <w:tc>
          <w:tcPr>
            <w:tcW w:w="2438" w:type="dxa"/>
            <w:tcBorders>
              <w:top w:val="nil"/>
              <w:left w:val="nil"/>
              <w:bottom w:val="nil"/>
              <w:right w:val="nil"/>
            </w:tcBorders>
            <w:shd w:val="clear" w:color="000000" w:fill="F2F2F2"/>
            <w:noWrap/>
            <w:vAlign w:val="center"/>
            <w:hideMark/>
          </w:tcPr>
          <w:p w14:paraId="5E1C3702" w14:textId="77777777" w:rsidR="00B57CD1" w:rsidRPr="00B57CD1" w:rsidRDefault="00B57CD1" w:rsidP="00B57CD1">
            <w:pPr>
              <w:keepNext/>
              <w:spacing w:before="0" w:after="0" w:line="240" w:lineRule="auto"/>
              <w:rPr>
                <w:rFonts w:ascii="Arial" w:hAnsi="Arial" w:cs="Arial"/>
                <w:color w:val="000000"/>
                <w:szCs w:val="20"/>
              </w:rPr>
            </w:pPr>
            <w:r w:rsidRPr="00B57CD1">
              <w:rPr>
                <w:rFonts w:ascii="Arial" w:hAnsi="Arial" w:cs="Arial"/>
                <w:color w:val="000000"/>
                <w:szCs w:val="20"/>
              </w:rPr>
              <w:t>Somewhat unlikely</w:t>
            </w:r>
          </w:p>
        </w:tc>
        <w:tc>
          <w:tcPr>
            <w:tcW w:w="964" w:type="dxa"/>
            <w:tcBorders>
              <w:top w:val="nil"/>
              <w:left w:val="nil"/>
              <w:bottom w:val="nil"/>
              <w:right w:val="nil"/>
            </w:tcBorders>
            <w:shd w:val="clear" w:color="000000" w:fill="F2F2F2"/>
            <w:noWrap/>
            <w:vAlign w:val="center"/>
            <w:hideMark/>
          </w:tcPr>
          <w:p w14:paraId="7B772010"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w:t>
            </w:r>
          </w:p>
        </w:tc>
        <w:tc>
          <w:tcPr>
            <w:tcW w:w="1191" w:type="dxa"/>
            <w:tcBorders>
              <w:top w:val="nil"/>
              <w:left w:val="nil"/>
              <w:bottom w:val="nil"/>
              <w:right w:val="nil"/>
            </w:tcBorders>
            <w:shd w:val="clear" w:color="000000" w:fill="F2F2F2"/>
            <w:noWrap/>
            <w:vAlign w:val="center"/>
            <w:hideMark/>
          </w:tcPr>
          <w:p w14:paraId="24160BF0"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w:t>
            </w:r>
          </w:p>
        </w:tc>
        <w:tc>
          <w:tcPr>
            <w:tcW w:w="737" w:type="dxa"/>
            <w:tcBorders>
              <w:top w:val="nil"/>
              <w:left w:val="nil"/>
              <w:bottom w:val="nil"/>
              <w:right w:val="nil"/>
            </w:tcBorders>
            <w:shd w:val="clear" w:color="000000" w:fill="F2F2F2"/>
            <w:noWrap/>
            <w:vAlign w:val="center"/>
            <w:hideMark/>
          </w:tcPr>
          <w:p w14:paraId="7CD4AF0E"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w:t>
            </w:r>
          </w:p>
        </w:tc>
        <w:tc>
          <w:tcPr>
            <w:tcW w:w="964" w:type="dxa"/>
            <w:tcBorders>
              <w:top w:val="nil"/>
              <w:left w:val="nil"/>
              <w:bottom w:val="nil"/>
              <w:right w:val="nil"/>
            </w:tcBorders>
            <w:shd w:val="clear" w:color="000000" w:fill="F2F2F2"/>
            <w:noWrap/>
            <w:vAlign w:val="center"/>
            <w:hideMark/>
          </w:tcPr>
          <w:p w14:paraId="064CA71F"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0.0</w:t>
            </w:r>
          </w:p>
        </w:tc>
        <w:tc>
          <w:tcPr>
            <w:tcW w:w="1191" w:type="dxa"/>
            <w:tcBorders>
              <w:top w:val="nil"/>
              <w:left w:val="nil"/>
              <w:bottom w:val="nil"/>
              <w:right w:val="nil"/>
            </w:tcBorders>
            <w:shd w:val="clear" w:color="000000" w:fill="F2F2F2"/>
            <w:noWrap/>
            <w:vAlign w:val="center"/>
            <w:hideMark/>
          </w:tcPr>
          <w:p w14:paraId="45B40DA1"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0.0</w:t>
            </w:r>
          </w:p>
        </w:tc>
        <w:tc>
          <w:tcPr>
            <w:tcW w:w="737" w:type="dxa"/>
            <w:tcBorders>
              <w:top w:val="nil"/>
              <w:left w:val="nil"/>
              <w:bottom w:val="nil"/>
              <w:right w:val="nil"/>
            </w:tcBorders>
            <w:shd w:val="clear" w:color="000000" w:fill="F2F2F2"/>
            <w:noWrap/>
            <w:vAlign w:val="center"/>
            <w:hideMark/>
          </w:tcPr>
          <w:p w14:paraId="277BAA43" w14:textId="77777777" w:rsidR="00B57CD1" w:rsidRPr="00B57CD1" w:rsidRDefault="00B57CD1" w:rsidP="00B57CD1">
            <w:pPr>
              <w:keepNext/>
              <w:spacing w:before="0" w:after="0" w:line="240" w:lineRule="auto"/>
              <w:jc w:val="right"/>
              <w:rPr>
                <w:rFonts w:ascii="Arial" w:hAnsi="Arial" w:cs="Arial"/>
                <w:color w:val="000000"/>
                <w:szCs w:val="20"/>
              </w:rPr>
            </w:pPr>
            <w:r w:rsidRPr="00B57CD1">
              <w:rPr>
                <w:rFonts w:ascii="Arial" w:hAnsi="Arial" w:cs="Arial"/>
                <w:color w:val="000000"/>
                <w:szCs w:val="20"/>
              </w:rPr>
              <w:t>0.0</w:t>
            </w:r>
          </w:p>
        </w:tc>
      </w:tr>
      <w:tr w:rsidR="00B57CD1" w:rsidRPr="00B57CD1" w14:paraId="2F0A89A5" w14:textId="77777777" w:rsidTr="00031521">
        <w:trPr>
          <w:trHeight w:val="288"/>
        </w:trPr>
        <w:tc>
          <w:tcPr>
            <w:tcW w:w="2438" w:type="dxa"/>
            <w:tcBorders>
              <w:top w:val="nil"/>
              <w:left w:val="nil"/>
              <w:bottom w:val="nil"/>
              <w:right w:val="nil"/>
            </w:tcBorders>
            <w:shd w:val="clear" w:color="000000" w:fill="F2F2F2"/>
            <w:noWrap/>
            <w:vAlign w:val="center"/>
            <w:hideMark/>
          </w:tcPr>
          <w:p w14:paraId="79BD510E" w14:textId="77777777" w:rsidR="00B57CD1" w:rsidRPr="00B57CD1" w:rsidRDefault="00B57CD1" w:rsidP="00B57CD1">
            <w:pPr>
              <w:spacing w:before="0" w:after="0" w:line="240" w:lineRule="auto"/>
              <w:rPr>
                <w:rFonts w:ascii="Arial" w:hAnsi="Arial" w:cs="Arial"/>
                <w:color w:val="000000"/>
                <w:szCs w:val="20"/>
              </w:rPr>
            </w:pPr>
            <w:r w:rsidRPr="00B57CD1">
              <w:rPr>
                <w:rFonts w:ascii="Arial" w:hAnsi="Arial" w:cs="Arial"/>
                <w:color w:val="000000"/>
                <w:szCs w:val="20"/>
              </w:rPr>
              <w:t>Very unlikely</w:t>
            </w:r>
          </w:p>
        </w:tc>
        <w:tc>
          <w:tcPr>
            <w:tcW w:w="964" w:type="dxa"/>
            <w:tcBorders>
              <w:top w:val="nil"/>
              <w:left w:val="nil"/>
              <w:bottom w:val="nil"/>
              <w:right w:val="nil"/>
            </w:tcBorders>
            <w:shd w:val="clear" w:color="000000" w:fill="F2F2F2"/>
            <w:noWrap/>
            <w:vAlign w:val="center"/>
            <w:hideMark/>
          </w:tcPr>
          <w:p w14:paraId="6EDB73B4" w14:textId="77777777" w:rsidR="00B57CD1" w:rsidRPr="00B57CD1" w:rsidRDefault="00B57CD1" w:rsidP="00B57CD1">
            <w:pPr>
              <w:spacing w:before="0" w:after="0" w:line="240" w:lineRule="auto"/>
              <w:jc w:val="right"/>
              <w:rPr>
                <w:rFonts w:ascii="Arial" w:hAnsi="Arial" w:cs="Arial"/>
                <w:color w:val="000000"/>
                <w:szCs w:val="20"/>
              </w:rPr>
            </w:pPr>
            <w:r w:rsidRPr="00B57CD1">
              <w:rPr>
                <w:rFonts w:ascii="Arial" w:hAnsi="Arial" w:cs="Arial"/>
                <w:color w:val="000000"/>
                <w:szCs w:val="20"/>
              </w:rPr>
              <w:t>0</w:t>
            </w:r>
          </w:p>
        </w:tc>
        <w:tc>
          <w:tcPr>
            <w:tcW w:w="1191" w:type="dxa"/>
            <w:tcBorders>
              <w:top w:val="nil"/>
              <w:left w:val="nil"/>
              <w:bottom w:val="nil"/>
              <w:right w:val="nil"/>
            </w:tcBorders>
            <w:shd w:val="clear" w:color="000000" w:fill="F2F2F2"/>
            <w:noWrap/>
            <w:vAlign w:val="center"/>
            <w:hideMark/>
          </w:tcPr>
          <w:p w14:paraId="73F2B6B3" w14:textId="77777777" w:rsidR="00B57CD1" w:rsidRPr="00B57CD1" w:rsidRDefault="00B57CD1" w:rsidP="00B57CD1">
            <w:pPr>
              <w:spacing w:before="0" w:after="0" w:line="240" w:lineRule="auto"/>
              <w:jc w:val="right"/>
              <w:rPr>
                <w:rFonts w:ascii="Arial" w:hAnsi="Arial" w:cs="Arial"/>
                <w:color w:val="000000"/>
                <w:szCs w:val="20"/>
              </w:rPr>
            </w:pPr>
            <w:r w:rsidRPr="00B57CD1">
              <w:rPr>
                <w:rFonts w:ascii="Arial" w:hAnsi="Arial" w:cs="Arial"/>
                <w:color w:val="000000"/>
                <w:szCs w:val="20"/>
              </w:rPr>
              <w:t>0</w:t>
            </w:r>
          </w:p>
        </w:tc>
        <w:tc>
          <w:tcPr>
            <w:tcW w:w="737" w:type="dxa"/>
            <w:tcBorders>
              <w:top w:val="nil"/>
              <w:left w:val="nil"/>
              <w:bottom w:val="nil"/>
              <w:right w:val="nil"/>
            </w:tcBorders>
            <w:shd w:val="clear" w:color="000000" w:fill="F2F2F2"/>
            <w:noWrap/>
            <w:vAlign w:val="center"/>
            <w:hideMark/>
          </w:tcPr>
          <w:p w14:paraId="4157EA09" w14:textId="77777777" w:rsidR="00B57CD1" w:rsidRPr="00B57CD1" w:rsidRDefault="00B57CD1" w:rsidP="00B57CD1">
            <w:pPr>
              <w:spacing w:before="0" w:after="0" w:line="240" w:lineRule="auto"/>
              <w:jc w:val="right"/>
              <w:rPr>
                <w:rFonts w:ascii="Arial" w:hAnsi="Arial" w:cs="Arial"/>
                <w:color w:val="000000"/>
                <w:szCs w:val="20"/>
              </w:rPr>
            </w:pPr>
            <w:r w:rsidRPr="00B57CD1">
              <w:rPr>
                <w:rFonts w:ascii="Arial" w:hAnsi="Arial" w:cs="Arial"/>
                <w:color w:val="000000"/>
                <w:szCs w:val="20"/>
              </w:rPr>
              <w:t>0</w:t>
            </w:r>
          </w:p>
        </w:tc>
        <w:tc>
          <w:tcPr>
            <w:tcW w:w="964" w:type="dxa"/>
            <w:tcBorders>
              <w:top w:val="nil"/>
              <w:left w:val="nil"/>
              <w:bottom w:val="nil"/>
              <w:right w:val="nil"/>
            </w:tcBorders>
            <w:shd w:val="clear" w:color="000000" w:fill="F2F2F2"/>
            <w:noWrap/>
            <w:vAlign w:val="center"/>
            <w:hideMark/>
          </w:tcPr>
          <w:p w14:paraId="64BA4298" w14:textId="77777777" w:rsidR="00B57CD1" w:rsidRPr="00B57CD1" w:rsidRDefault="00B57CD1" w:rsidP="00B57CD1">
            <w:pPr>
              <w:spacing w:before="0" w:after="0" w:line="240" w:lineRule="auto"/>
              <w:jc w:val="right"/>
              <w:rPr>
                <w:rFonts w:ascii="Arial" w:hAnsi="Arial" w:cs="Arial"/>
                <w:color w:val="000000"/>
                <w:szCs w:val="20"/>
              </w:rPr>
            </w:pPr>
            <w:r w:rsidRPr="00B57CD1">
              <w:rPr>
                <w:rFonts w:ascii="Arial" w:hAnsi="Arial" w:cs="Arial"/>
                <w:color w:val="000000"/>
                <w:szCs w:val="20"/>
              </w:rPr>
              <w:t>0.0</w:t>
            </w:r>
          </w:p>
        </w:tc>
        <w:tc>
          <w:tcPr>
            <w:tcW w:w="1191" w:type="dxa"/>
            <w:tcBorders>
              <w:top w:val="nil"/>
              <w:left w:val="nil"/>
              <w:bottom w:val="nil"/>
              <w:right w:val="nil"/>
            </w:tcBorders>
            <w:shd w:val="clear" w:color="000000" w:fill="F2F2F2"/>
            <w:noWrap/>
            <w:vAlign w:val="center"/>
            <w:hideMark/>
          </w:tcPr>
          <w:p w14:paraId="5899AD90" w14:textId="77777777" w:rsidR="00B57CD1" w:rsidRPr="00B57CD1" w:rsidRDefault="00B57CD1" w:rsidP="00B57CD1">
            <w:pPr>
              <w:spacing w:before="0" w:after="0" w:line="240" w:lineRule="auto"/>
              <w:jc w:val="right"/>
              <w:rPr>
                <w:rFonts w:ascii="Arial" w:hAnsi="Arial" w:cs="Arial"/>
                <w:color w:val="000000"/>
                <w:szCs w:val="20"/>
              </w:rPr>
            </w:pPr>
            <w:r w:rsidRPr="00B57CD1">
              <w:rPr>
                <w:rFonts w:ascii="Arial" w:hAnsi="Arial" w:cs="Arial"/>
                <w:color w:val="000000"/>
                <w:szCs w:val="20"/>
              </w:rPr>
              <w:t>0.0</w:t>
            </w:r>
          </w:p>
        </w:tc>
        <w:tc>
          <w:tcPr>
            <w:tcW w:w="737" w:type="dxa"/>
            <w:tcBorders>
              <w:top w:val="nil"/>
              <w:left w:val="nil"/>
              <w:bottom w:val="nil"/>
              <w:right w:val="nil"/>
            </w:tcBorders>
            <w:shd w:val="clear" w:color="000000" w:fill="F2F2F2"/>
            <w:noWrap/>
            <w:vAlign w:val="center"/>
            <w:hideMark/>
          </w:tcPr>
          <w:p w14:paraId="1AA4602E" w14:textId="77777777" w:rsidR="00B57CD1" w:rsidRPr="00B57CD1" w:rsidRDefault="00B57CD1" w:rsidP="00B57CD1">
            <w:pPr>
              <w:spacing w:before="0" w:after="0" w:line="240" w:lineRule="auto"/>
              <w:jc w:val="right"/>
              <w:rPr>
                <w:rFonts w:ascii="Arial" w:hAnsi="Arial" w:cs="Arial"/>
                <w:color w:val="000000"/>
                <w:szCs w:val="20"/>
              </w:rPr>
            </w:pPr>
            <w:r w:rsidRPr="00B57CD1">
              <w:rPr>
                <w:rFonts w:ascii="Arial" w:hAnsi="Arial" w:cs="Arial"/>
                <w:color w:val="000000"/>
                <w:szCs w:val="20"/>
              </w:rPr>
              <w:t>0.0</w:t>
            </w:r>
          </w:p>
        </w:tc>
      </w:tr>
    </w:tbl>
    <w:p w14:paraId="581F8372" w14:textId="4ED76F07" w:rsidR="000059F8" w:rsidRDefault="000059F8" w:rsidP="00E84ACD">
      <w:pPr>
        <w:pStyle w:val="Heading4"/>
      </w:pPr>
      <w:r>
        <w:t>Comparisons of baseline and endline survey respon</w:t>
      </w:r>
      <w:r w:rsidR="00714821">
        <w:t>se</w:t>
      </w:r>
      <w:r w:rsidR="00B64A14">
        <w:t>s</w:t>
      </w:r>
    </w:p>
    <w:p w14:paraId="4C02910B" w14:textId="77777777" w:rsidR="000059F8" w:rsidRPr="006E501B" w:rsidRDefault="000059F8" w:rsidP="004A1EBF">
      <w:r w:rsidRPr="006E501B">
        <w:t>The students who responded to the endline survey were somewhat different from the overall sample frame. Endline respondents were more likely to be: domestic students (71 versus 64 per cent), enrolled in a Bachelor of Economics (49 versus 44 per cent), and a first</w:t>
      </w:r>
      <w:r w:rsidRPr="006E501B">
        <w:noBreakHyphen/>
        <w:t xml:space="preserve">year student at baseline (49 versus 44 per cent). </w:t>
      </w:r>
    </w:p>
    <w:p w14:paraId="19832AAA" w14:textId="77777777" w:rsidR="000059F8" w:rsidRPr="006E501B" w:rsidRDefault="000059F8" w:rsidP="004A1EBF">
      <w:r w:rsidRPr="006E501B">
        <w:t>There were also differences between the endline respondents from the control and treatment groups. More of the control group respondents were enrolled in a Bachelor of Economics and more were in second year by the time of the endline survey. Such differences could confound comparisons between treatment and control.</w:t>
      </w:r>
    </w:p>
    <w:p w14:paraId="7756E871" w14:textId="1DE5E834" w:rsidR="001266F9" w:rsidRDefault="00BF743C" w:rsidP="00BF743C">
      <w:pPr>
        <w:pStyle w:val="FigureHeading"/>
        <w:numPr>
          <w:ilvl w:val="0"/>
          <w:numId w:val="0"/>
        </w:numPr>
        <w:ind w:left="1430" w:hanging="720"/>
      </w:pPr>
      <w:r>
        <w:t xml:space="preserve">Figure 27: </w:t>
      </w:r>
      <w:r w:rsidR="000059F8">
        <w:t xml:space="preserve"> </w:t>
      </w:r>
      <w:r w:rsidR="001266F9">
        <w:t>Respondents’ characteristics at baseline and endline</w:t>
      </w:r>
    </w:p>
    <w:tbl>
      <w:tblPr>
        <w:tblW w:w="8290" w:type="dxa"/>
        <w:tblLook w:val="04A0" w:firstRow="1" w:lastRow="0" w:firstColumn="1" w:lastColumn="0" w:noHBand="0" w:noVBand="1"/>
        <w:tblCaption w:val="Figure 27:  Respondents’ characteristics at baseline and endline"/>
      </w:tblPr>
      <w:tblGrid>
        <w:gridCol w:w="2214"/>
        <w:gridCol w:w="952"/>
        <w:gridCol w:w="1134"/>
        <w:gridCol w:w="952"/>
        <w:gridCol w:w="952"/>
        <w:gridCol w:w="1134"/>
        <w:gridCol w:w="952"/>
      </w:tblGrid>
      <w:tr w:rsidR="001C2611" w:rsidRPr="001C2611" w14:paraId="270ABD62" w14:textId="77777777" w:rsidTr="00731CEB">
        <w:trPr>
          <w:trHeight w:val="288"/>
          <w:tblHeader/>
        </w:trPr>
        <w:tc>
          <w:tcPr>
            <w:tcW w:w="2214" w:type="dxa"/>
            <w:tcBorders>
              <w:top w:val="nil"/>
              <w:left w:val="nil"/>
              <w:bottom w:val="nil"/>
              <w:right w:val="nil"/>
            </w:tcBorders>
            <w:shd w:val="clear" w:color="000000" w:fill="142E3A"/>
            <w:noWrap/>
            <w:vAlign w:val="center"/>
            <w:hideMark/>
          </w:tcPr>
          <w:p w14:paraId="0C4469CA" w14:textId="77777777" w:rsidR="001C2611" w:rsidRPr="001C2611" w:rsidRDefault="001C2611" w:rsidP="001266F9">
            <w:pPr>
              <w:keepNext/>
              <w:spacing w:before="0" w:after="0" w:line="240" w:lineRule="auto"/>
              <w:rPr>
                <w:rFonts w:ascii="Arial" w:hAnsi="Arial" w:cs="Arial"/>
                <w:b/>
                <w:bCs/>
                <w:color w:val="FFFFFF"/>
                <w:szCs w:val="20"/>
              </w:rPr>
            </w:pPr>
            <w:r w:rsidRPr="001C2611">
              <w:rPr>
                <w:rFonts w:ascii="Arial" w:hAnsi="Arial" w:cs="Arial"/>
                <w:b/>
                <w:bCs/>
                <w:color w:val="FFFFFF"/>
                <w:szCs w:val="20"/>
              </w:rPr>
              <w:t> </w:t>
            </w:r>
          </w:p>
        </w:tc>
        <w:tc>
          <w:tcPr>
            <w:tcW w:w="3038" w:type="dxa"/>
            <w:gridSpan w:val="3"/>
            <w:tcBorders>
              <w:top w:val="nil"/>
              <w:left w:val="nil"/>
              <w:bottom w:val="nil"/>
              <w:right w:val="nil"/>
            </w:tcBorders>
            <w:shd w:val="clear" w:color="000000" w:fill="142E3A"/>
            <w:noWrap/>
            <w:vAlign w:val="center"/>
            <w:hideMark/>
          </w:tcPr>
          <w:p w14:paraId="61828B2C" w14:textId="67D68B6A" w:rsidR="001C2611" w:rsidRPr="001C2611" w:rsidRDefault="001C2611" w:rsidP="001266F9">
            <w:pPr>
              <w:keepNext/>
              <w:spacing w:before="0" w:after="0" w:line="240" w:lineRule="auto"/>
              <w:jc w:val="center"/>
              <w:rPr>
                <w:rFonts w:ascii="Arial" w:hAnsi="Arial" w:cs="Arial"/>
                <w:b/>
                <w:bCs/>
                <w:color w:val="FFFFFF"/>
                <w:szCs w:val="20"/>
              </w:rPr>
            </w:pPr>
            <w:r w:rsidRPr="001C2611">
              <w:rPr>
                <w:rFonts w:ascii="Arial" w:hAnsi="Arial" w:cs="Arial"/>
                <w:b/>
                <w:bCs/>
                <w:color w:val="FFFFFF"/>
                <w:szCs w:val="20"/>
              </w:rPr>
              <w:t>Baseline</w:t>
            </w:r>
            <w:r>
              <w:rPr>
                <w:rFonts w:ascii="Arial" w:hAnsi="Arial" w:cs="Arial"/>
                <w:b/>
                <w:bCs/>
                <w:color w:val="FFFFFF"/>
                <w:szCs w:val="20"/>
              </w:rPr>
              <w:t xml:space="preserve"> survey</w:t>
            </w:r>
            <w:r w:rsidRPr="001C2611">
              <w:rPr>
                <w:rFonts w:ascii="Arial" w:hAnsi="Arial" w:cs="Arial"/>
                <w:b/>
                <w:bCs/>
                <w:color w:val="FFFFFF"/>
                <w:szCs w:val="20"/>
              </w:rPr>
              <w:t xml:space="preserve"> (%) </w:t>
            </w:r>
          </w:p>
        </w:tc>
        <w:tc>
          <w:tcPr>
            <w:tcW w:w="3038" w:type="dxa"/>
            <w:gridSpan w:val="3"/>
            <w:tcBorders>
              <w:top w:val="nil"/>
              <w:left w:val="nil"/>
              <w:bottom w:val="nil"/>
              <w:right w:val="nil"/>
            </w:tcBorders>
            <w:shd w:val="clear" w:color="000000" w:fill="142E3A"/>
            <w:noWrap/>
            <w:vAlign w:val="center"/>
            <w:hideMark/>
          </w:tcPr>
          <w:p w14:paraId="2495EF51" w14:textId="50C6A3E3" w:rsidR="001C2611" w:rsidRPr="001C2611" w:rsidRDefault="001C2611" w:rsidP="001266F9">
            <w:pPr>
              <w:keepNext/>
              <w:spacing w:before="0" w:after="0" w:line="240" w:lineRule="auto"/>
              <w:jc w:val="center"/>
              <w:rPr>
                <w:rFonts w:ascii="Arial" w:hAnsi="Arial" w:cs="Arial"/>
                <w:b/>
                <w:bCs/>
                <w:color w:val="FFFFFF"/>
                <w:szCs w:val="20"/>
              </w:rPr>
            </w:pPr>
            <w:r w:rsidRPr="001C2611">
              <w:rPr>
                <w:rFonts w:ascii="Arial" w:hAnsi="Arial" w:cs="Arial"/>
                <w:b/>
                <w:bCs/>
                <w:color w:val="FFFFFF"/>
                <w:szCs w:val="20"/>
              </w:rPr>
              <w:t xml:space="preserve">Endline </w:t>
            </w:r>
            <w:r>
              <w:rPr>
                <w:rFonts w:ascii="Arial" w:hAnsi="Arial" w:cs="Arial"/>
                <w:b/>
                <w:bCs/>
                <w:color w:val="FFFFFF"/>
                <w:szCs w:val="20"/>
              </w:rPr>
              <w:t xml:space="preserve">survey </w:t>
            </w:r>
            <w:r w:rsidRPr="001C2611">
              <w:rPr>
                <w:rFonts w:ascii="Arial" w:hAnsi="Arial" w:cs="Arial"/>
                <w:b/>
                <w:bCs/>
                <w:color w:val="FFFFFF"/>
                <w:szCs w:val="20"/>
              </w:rPr>
              <w:t>(%) </w:t>
            </w:r>
          </w:p>
        </w:tc>
      </w:tr>
      <w:tr w:rsidR="001C2611" w:rsidRPr="001C2611" w14:paraId="43C2F5AD" w14:textId="77777777" w:rsidTr="00731CEB">
        <w:trPr>
          <w:trHeight w:val="288"/>
          <w:tblHeader/>
        </w:trPr>
        <w:tc>
          <w:tcPr>
            <w:tcW w:w="2214" w:type="dxa"/>
            <w:tcBorders>
              <w:top w:val="nil"/>
              <w:left w:val="nil"/>
              <w:bottom w:val="nil"/>
              <w:right w:val="nil"/>
            </w:tcBorders>
            <w:shd w:val="clear" w:color="000000" w:fill="142E3A"/>
            <w:noWrap/>
            <w:vAlign w:val="center"/>
            <w:hideMark/>
          </w:tcPr>
          <w:p w14:paraId="621032F7" w14:textId="77777777" w:rsidR="001C2611" w:rsidRPr="001C2611" w:rsidRDefault="001C2611" w:rsidP="001266F9">
            <w:pPr>
              <w:keepNext/>
              <w:spacing w:before="0" w:after="0" w:line="240" w:lineRule="auto"/>
              <w:rPr>
                <w:rFonts w:ascii="Arial" w:hAnsi="Arial" w:cs="Arial"/>
                <w:color w:val="FFFFFF"/>
                <w:szCs w:val="20"/>
              </w:rPr>
            </w:pPr>
            <w:r w:rsidRPr="001C2611">
              <w:rPr>
                <w:rFonts w:ascii="Arial" w:hAnsi="Arial" w:cs="Arial"/>
                <w:color w:val="FFFFFF"/>
                <w:szCs w:val="20"/>
              </w:rPr>
              <w:t> </w:t>
            </w:r>
          </w:p>
        </w:tc>
        <w:tc>
          <w:tcPr>
            <w:tcW w:w="952" w:type="dxa"/>
            <w:tcBorders>
              <w:top w:val="nil"/>
              <w:left w:val="nil"/>
              <w:bottom w:val="nil"/>
              <w:right w:val="nil"/>
            </w:tcBorders>
            <w:shd w:val="clear" w:color="000000" w:fill="142E3A"/>
            <w:noWrap/>
            <w:vAlign w:val="center"/>
            <w:hideMark/>
          </w:tcPr>
          <w:p w14:paraId="228009D2" w14:textId="77777777" w:rsidR="001C2611" w:rsidRPr="001C2611" w:rsidRDefault="001C2611" w:rsidP="001266F9">
            <w:pPr>
              <w:keepNext/>
              <w:spacing w:before="0" w:after="0" w:line="240" w:lineRule="auto"/>
              <w:jc w:val="center"/>
              <w:rPr>
                <w:rFonts w:ascii="Arial" w:hAnsi="Arial" w:cs="Arial"/>
                <w:color w:val="FFFFFF"/>
                <w:szCs w:val="20"/>
              </w:rPr>
            </w:pPr>
            <w:r w:rsidRPr="001C2611">
              <w:rPr>
                <w:rFonts w:ascii="Arial" w:hAnsi="Arial" w:cs="Arial"/>
                <w:color w:val="FFFFFF"/>
                <w:szCs w:val="20"/>
              </w:rPr>
              <w:t>Control</w:t>
            </w:r>
          </w:p>
        </w:tc>
        <w:tc>
          <w:tcPr>
            <w:tcW w:w="1134" w:type="dxa"/>
            <w:tcBorders>
              <w:top w:val="nil"/>
              <w:left w:val="nil"/>
              <w:bottom w:val="nil"/>
              <w:right w:val="nil"/>
            </w:tcBorders>
            <w:shd w:val="clear" w:color="000000" w:fill="142E3A"/>
            <w:noWrap/>
            <w:vAlign w:val="center"/>
            <w:hideMark/>
          </w:tcPr>
          <w:p w14:paraId="250579D5" w14:textId="77777777" w:rsidR="001C2611" w:rsidRPr="001C2611" w:rsidRDefault="001C2611" w:rsidP="001266F9">
            <w:pPr>
              <w:keepNext/>
              <w:spacing w:before="0" w:after="0" w:line="240" w:lineRule="auto"/>
              <w:jc w:val="center"/>
              <w:rPr>
                <w:rFonts w:ascii="Arial" w:hAnsi="Arial" w:cs="Arial"/>
                <w:color w:val="FFFFFF"/>
                <w:szCs w:val="20"/>
              </w:rPr>
            </w:pPr>
            <w:r w:rsidRPr="001C2611">
              <w:rPr>
                <w:rFonts w:ascii="Arial" w:hAnsi="Arial" w:cs="Arial"/>
                <w:color w:val="FFFFFF"/>
                <w:szCs w:val="20"/>
              </w:rPr>
              <w:t>Treatment</w:t>
            </w:r>
          </w:p>
        </w:tc>
        <w:tc>
          <w:tcPr>
            <w:tcW w:w="952" w:type="dxa"/>
            <w:tcBorders>
              <w:top w:val="nil"/>
              <w:left w:val="nil"/>
              <w:bottom w:val="nil"/>
              <w:right w:val="nil"/>
            </w:tcBorders>
            <w:shd w:val="clear" w:color="000000" w:fill="142E3A"/>
            <w:noWrap/>
            <w:vAlign w:val="center"/>
            <w:hideMark/>
          </w:tcPr>
          <w:p w14:paraId="5E1FB13A" w14:textId="77777777" w:rsidR="001C2611" w:rsidRPr="001C2611" w:rsidRDefault="001C2611" w:rsidP="001266F9">
            <w:pPr>
              <w:keepNext/>
              <w:spacing w:before="0" w:after="0" w:line="240" w:lineRule="auto"/>
              <w:jc w:val="center"/>
              <w:rPr>
                <w:rFonts w:ascii="Arial" w:hAnsi="Arial" w:cs="Arial"/>
                <w:color w:val="FFFFFF"/>
                <w:szCs w:val="20"/>
              </w:rPr>
            </w:pPr>
            <w:r w:rsidRPr="001C2611">
              <w:rPr>
                <w:rFonts w:ascii="Arial" w:hAnsi="Arial" w:cs="Arial"/>
                <w:color w:val="FFFFFF"/>
                <w:szCs w:val="20"/>
              </w:rPr>
              <w:t>All</w:t>
            </w:r>
          </w:p>
        </w:tc>
        <w:tc>
          <w:tcPr>
            <w:tcW w:w="952" w:type="dxa"/>
            <w:tcBorders>
              <w:top w:val="nil"/>
              <w:left w:val="nil"/>
              <w:bottom w:val="nil"/>
              <w:right w:val="nil"/>
            </w:tcBorders>
            <w:shd w:val="clear" w:color="000000" w:fill="142E3A"/>
            <w:noWrap/>
            <w:vAlign w:val="center"/>
            <w:hideMark/>
          </w:tcPr>
          <w:p w14:paraId="00DED78A" w14:textId="77777777" w:rsidR="001C2611" w:rsidRPr="001C2611" w:rsidRDefault="001C2611" w:rsidP="001266F9">
            <w:pPr>
              <w:keepNext/>
              <w:spacing w:before="0" w:after="0" w:line="240" w:lineRule="auto"/>
              <w:jc w:val="center"/>
              <w:rPr>
                <w:rFonts w:ascii="Arial" w:hAnsi="Arial" w:cs="Arial"/>
                <w:color w:val="FFFFFF"/>
                <w:szCs w:val="20"/>
              </w:rPr>
            </w:pPr>
            <w:r w:rsidRPr="001C2611">
              <w:rPr>
                <w:rFonts w:ascii="Arial" w:hAnsi="Arial" w:cs="Arial"/>
                <w:color w:val="FFFFFF"/>
                <w:szCs w:val="20"/>
              </w:rPr>
              <w:t>Control</w:t>
            </w:r>
          </w:p>
        </w:tc>
        <w:tc>
          <w:tcPr>
            <w:tcW w:w="1134" w:type="dxa"/>
            <w:tcBorders>
              <w:top w:val="nil"/>
              <w:left w:val="nil"/>
              <w:bottom w:val="nil"/>
              <w:right w:val="nil"/>
            </w:tcBorders>
            <w:shd w:val="clear" w:color="000000" w:fill="142E3A"/>
            <w:noWrap/>
            <w:vAlign w:val="center"/>
            <w:hideMark/>
          </w:tcPr>
          <w:p w14:paraId="7FFF77F6" w14:textId="77777777" w:rsidR="001C2611" w:rsidRPr="001C2611" w:rsidRDefault="001C2611" w:rsidP="001266F9">
            <w:pPr>
              <w:keepNext/>
              <w:spacing w:before="0" w:after="0" w:line="240" w:lineRule="auto"/>
              <w:jc w:val="center"/>
              <w:rPr>
                <w:rFonts w:ascii="Arial" w:hAnsi="Arial" w:cs="Arial"/>
                <w:color w:val="FFFFFF"/>
                <w:szCs w:val="20"/>
              </w:rPr>
            </w:pPr>
            <w:r w:rsidRPr="001C2611">
              <w:rPr>
                <w:rFonts w:ascii="Arial" w:hAnsi="Arial" w:cs="Arial"/>
                <w:color w:val="FFFFFF"/>
                <w:szCs w:val="20"/>
              </w:rPr>
              <w:t>Treatment</w:t>
            </w:r>
          </w:p>
        </w:tc>
        <w:tc>
          <w:tcPr>
            <w:tcW w:w="952" w:type="dxa"/>
            <w:tcBorders>
              <w:top w:val="nil"/>
              <w:left w:val="nil"/>
              <w:bottom w:val="nil"/>
              <w:right w:val="nil"/>
            </w:tcBorders>
            <w:shd w:val="clear" w:color="000000" w:fill="142E3A"/>
            <w:noWrap/>
            <w:vAlign w:val="center"/>
            <w:hideMark/>
          </w:tcPr>
          <w:p w14:paraId="06AA065E" w14:textId="77777777" w:rsidR="001C2611" w:rsidRPr="001C2611" w:rsidRDefault="001C2611" w:rsidP="001266F9">
            <w:pPr>
              <w:keepNext/>
              <w:spacing w:before="0" w:after="0" w:line="240" w:lineRule="auto"/>
              <w:jc w:val="center"/>
              <w:rPr>
                <w:rFonts w:ascii="Arial" w:hAnsi="Arial" w:cs="Arial"/>
                <w:color w:val="FFFFFF"/>
                <w:szCs w:val="20"/>
              </w:rPr>
            </w:pPr>
            <w:r w:rsidRPr="001C2611">
              <w:rPr>
                <w:rFonts w:ascii="Arial" w:hAnsi="Arial" w:cs="Arial"/>
                <w:color w:val="FFFFFF"/>
                <w:szCs w:val="20"/>
              </w:rPr>
              <w:t>All</w:t>
            </w:r>
          </w:p>
        </w:tc>
      </w:tr>
      <w:tr w:rsidR="001C2611" w:rsidRPr="001C2611" w14:paraId="09C8294F" w14:textId="77777777" w:rsidTr="001C2611">
        <w:trPr>
          <w:trHeight w:val="288"/>
        </w:trPr>
        <w:tc>
          <w:tcPr>
            <w:tcW w:w="2214" w:type="dxa"/>
            <w:tcBorders>
              <w:top w:val="nil"/>
              <w:left w:val="nil"/>
              <w:bottom w:val="nil"/>
              <w:right w:val="nil"/>
            </w:tcBorders>
            <w:shd w:val="clear" w:color="000000" w:fill="F2F2F2"/>
            <w:noWrap/>
            <w:vAlign w:val="center"/>
            <w:hideMark/>
          </w:tcPr>
          <w:p w14:paraId="2957CA29" w14:textId="77777777" w:rsidR="001C2611" w:rsidRPr="001C2611" w:rsidRDefault="001C2611" w:rsidP="001266F9">
            <w:pPr>
              <w:keepNext/>
              <w:spacing w:before="0" w:after="0" w:line="240" w:lineRule="auto"/>
              <w:rPr>
                <w:rFonts w:ascii="Arial" w:hAnsi="Arial" w:cs="Arial"/>
                <w:color w:val="000000"/>
                <w:szCs w:val="20"/>
              </w:rPr>
            </w:pPr>
            <w:r w:rsidRPr="001C2611">
              <w:rPr>
                <w:rFonts w:ascii="Arial" w:hAnsi="Arial" w:cs="Arial"/>
                <w:color w:val="000000"/>
                <w:szCs w:val="20"/>
              </w:rPr>
              <w:t>n</w:t>
            </w:r>
          </w:p>
        </w:tc>
        <w:tc>
          <w:tcPr>
            <w:tcW w:w="952" w:type="dxa"/>
            <w:tcBorders>
              <w:top w:val="nil"/>
              <w:left w:val="nil"/>
              <w:bottom w:val="nil"/>
              <w:right w:val="nil"/>
            </w:tcBorders>
            <w:shd w:val="clear" w:color="000000" w:fill="F2F2F2"/>
            <w:noWrap/>
            <w:vAlign w:val="center"/>
            <w:hideMark/>
          </w:tcPr>
          <w:p w14:paraId="27F35858"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33</w:t>
            </w:r>
          </w:p>
        </w:tc>
        <w:tc>
          <w:tcPr>
            <w:tcW w:w="1134" w:type="dxa"/>
            <w:tcBorders>
              <w:top w:val="nil"/>
              <w:left w:val="nil"/>
              <w:bottom w:val="nil"/>
              <w:right w:val="nil"/>
            </w:tcBorders>
            <w:shd w:val="clear" w:color="000000" w:fill="F2F2F2"/>
            <w:noWrap/>
            <w:vAlign w:val="center"/>
            <w:hideMark/>
          </w:tcPr>
          <w:p w14:paraId="3D90EC74"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55</w:t>
            </w:r>
          </w:p>
        </w:tc>
        <w:tc>
          <w:tcPr>
            <w:tcW w:w="952" w:type="dxa"/>
            <w:tcBorders>
              <w:top w:val="nil"/>
              <w:left w:val="nil"/>
              <w:bottom w:val="nil"/>
              <w:right w:val="nil"/>
            </w:tcBorders>
            <w:shd w:val="clear" w:color="000000" w:fill="F2F2F2"/>
            <w:noWrap/>
            <w:vAlign w:val="center"/>
            <w:hideMark/>
          </w:tcPr>
          <w:p w14:paraId="7BCBF8BA"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88</w:t>
            </w:r>
          </w:p>
        </w:tc>
        <w:tc>
          <w:tcPr>
            <w:tcW w:w="952" w:type="dxa"/>
            <w:tcBorders>
              <w:top w:val="nil"/>
              <w:left w:val="nil"/>
              <w:bottom w:val="nil"/>
              <w:right w:val="nil"/>
            </w:tcBorders>
            <w:shd w:val="clear" w:color="000000" w:fill="F2F2F2"/>
            <w:noWrap/>
            <w:vAlign w:val="center"/>
            <w:hideMark/>
          </w:tcPr>
          <w:p w14:paraId="5B11E890"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15</w:t>
            </w:r>
          </w:p>
        </w:tc>
        <w:tc>
          <w:tcPr>
            <w:tcW w:w="1134" w:type="dxa"/>
            <w:tcBorders>
              <w:top w:val="nil"/>
              <w:left w:val="nil"/>
              <w:bottom w:val="nil"/>
              <w:right w:val="nil"/>
            </w:tcBorders>
            <w:shd w:val="clear" w:color="000000" w:fill="F2F2F2"/>
            <w:noWrap/>
            <w:vAlign w:val="center"/>
            <w:hideMark/>
          </w:tcPr>
          <w:p w14:paraId="5913B2DA"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30</w:t>
            </w:r>
          </w:p>
        </w:tc>
        <w:tc>
          <w:tcPr>
            <w:tcW w:w="952" w:type="dxa"/>
            <w:tcBorders>
              <w:top w:val="nil"/>
              <w:left w:val="nil"/>
              <w:bottom w:val="nil"/>
              <w:right w:val="nil"/>
            </w:tcBorders>
            <w:shd w:val="clear" w:color="000000" w:fill="F2F2F2"/>
            <w:noWrap/>
            <w:vAlign w:val="center"/>
            <w:hideMark/>
          </w:tcPr>
          <w:p w14:paraId="63C14D87"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45</w:t>
            </w:r>
          </w:p>
        </w:tc>
      </w:tr>
      <w:tr w:rsidR="001266F9" w:rsidRPr="001C2611" w14:paraId="66F4B9B6" w14:textId="77777777" w:rsidTr="001266F9">
        <w:trPr>
          <w:trHeight w:val="288"/>
        </w:trPr>
        <w:tc>
          <w:tcPr>
            <w:tcW w:w="3166" w:type="dxa"/>
            <w:gridSpan w:val="2"/>
            <w:tcBorders>
              <w:top w:val="nil"/>
              <w:left w:val="nil"/>
              <w:bottom w:val="nil"/>
              <w:right w:val="nil"/>
            </w:tcBorders>
            <w:shd w:val="clear" w:color="000000" w:fill="F2F2F2"/>
            <w:noWrap/>
            <w:vAlign w:val="center"/>
            <w:hideMark/>
          </w:tcPr>
          <w:p w14:paraId="2470B14E" w14:textId="022B3DC1" w:rsidR="001266F9" w:rsidRPr="001C2611" w:rsidRDefault="001266F9" w:rsidP="001266F9">
            <w:pPr>
              <w:keepNext/>
              <w:spacing w:before="0" w:after="0" w:line="240" w:lineRule="auto"/>
              <w:rPr>
                <w:rFonts w:ascii="Arial" w:hAnsi="Arial" w:cs="Arial"/>
                <w:b/>
                <w:color w:val="000000"/>
                <w:szCs w:val="20"/>
              </w:rPr>
            </w:pPr>
            <w:r w:rsidRPr="001266F9">
              <w:rPr>
                <w:rFonts w:ascii="Arial" w:hAnsi="Arial" w:cs="Arial"/>
                <w:b/>
                <w:color w:val="000000"/>
                <w:szCs w:val="20"/>
              </w:rPr>
              <w:t>General characteristics</w:t>
            </w:r>
            <w:r w:rsidRPr="001C2611">
              <w:rPr>
                <w:rFonts w:ascii="Arial" w:hAnsi="Arial" w:cs="Arial"/>
                <w:b/>
                <w:color w:val="000000"/>
                <w:szCs w:val="20"/>
              </w:rPr>
              <w:t> </w:t>
            </w:r>
          </w:p>
        </w:tc>
        <w:tc>
          <w:tcPr>
            <w:tcW w:w="1134" w:type="dxa"/>
            <w:tcBorders>
              <w:top w:val="nil"/>
              <w:left w:val="nil"/>
              <w:bottom w:val="nil"/>
              <w:right w:val="nil"/>
            </w:tcBorders>
            <w:shd w:val="clear" w:color="000000" w:fill="F2F2F2"/>
            <w:noWrap/>
            <w:vAlign w:val="center"/>
            <w:hideMark/>
          </w:tcPr>
          <w:p w14:paraId="124EBB3B" w14:textId="77777777" w:rsidR="001266F9" w:rsidRPr="001C2611" w:rsidRDefault="001266F9" w:rsidP="001266F9">
            <w:pPr>
              <w:keepNext/>
              <w:spacing w:before="0" w:after="0" w:line="240" w:lineRule="auto"/>
              <w:rPr>
                <w:rFonts w:ascii="Arial" w:hAnsi="Arial" w:cs="Arial"/>
                <w:color w:val="000000"/>
                <w:szCs w:val="20"/>
              </w:rPr>
            </w:pPr>
            <w:r w:rsidRPr="001C2611">
              <w:rPr>
                <w:rFonts w:ascii="Arial" w:hAnsi="Arial" w:cs="Arial"/>
                <w:color w:val="000000"/>
                <w:szCs w:val="20"/>
              </w:rPr>
              <w:t> </w:t>
            </w:r>
          </w:p>
        </w:tc>
        <w:tc>
          <w:tcPr>
            <w:tcW w:w="952" w:type="dxa"/>
            <w:tcBorders>
              <w:top w:val="nil"/>
              <w:left w:val="nil"/>
              <w:bottom w:val="nil"/>
              <w:right w:val="nil"/>
            </w:tcBorders>
            <w:shd w:val="clear" w:color="000000" w:fill="F2F2F2"/>
            <w:noWrap/>
            <w:vAlign w:val="center"/>
            <w:hideMark/>
          </w:tcPr>
          <w:p w14:paraId="71717B41" w14:textId="77777777" w:rsidR="001266F9" w:rsidRPr="001C2611" w:rsidRDefault="001266F9" w:rsidP="001266F9">
            <w:pPr>
              <w:keepNext/>
              <w:spacing w:before="0" w:after="0" w:line="240" w:lineRule="auto"/>
              <w:rPr>
                <w:rFonts w:ascii="Arial" w:hAnsi="Arial" w:cs="Arial"/>
                <w:color w:val="000000"/>
                <w:szCs w:val="20"/>
              </w:rPr>
            </w:pPr>
            <w:r w:rsidRPr="001C2611">
              <w:rPr>
                <w:rFonts w:ascii="Arial" w:hAnsi="Arial" w:cs="Arial"/>
                <w:color w:val="000000"/>
                <w:szCs w:val="20"/>
              </w:rPr>
              <w:t> </w:t>
            </w:r>
          </w:p>
        </w:tc>
        <w:tc>
          <w:tcPr>
            <w:tcW w:w="952" w:type="dxa"/>
            <w:tcBorders>
              <w:top w:val="nil"/>
              <w:left w:val="nil"/>
              <w:bottom w:val="nil"/>
              <w:right w:val="nil"/>
            </w:tcBorders>
            <w:shd w:val="clear" w:color="000000" w:fill="F2F2F2"/>
            <w:noWrap/>
            <w:vAlign w:val="center"/>
            <w:hideMark/>
          </w:tcPr>
          <w:p w14:paraId="29926EFD" w14:textId="77777777" w:rsidR="001266F9" w:rsidRPr="001C2611" w:rsidRDefault="001266F9" w:rsidP="001266F9">
            <w:pPr>
              <w:keepNext/>
              <w:spacing w:before="0" w:after="0" w:line="240" w:lineRule="auto"/>
              <w:rPr>
                <w:rFonts w:ascii="Arial" w:hAnsi="Arial" w:cs="Arial"/>
                <w:color w:val="000000"/>
                <w:szCs w:val="20"/>
              </w:rPr>
            </w:pPr>
            <w:r w:rsidRPr="001C2611">
              <w:rPr>
                <w:rFonts w:ascii="Arial" w:hAnsi="Arial" w:cs="Arial"/>
                <w:color w:val="000000"/>
                <w:szCs w:val="20"/>
              </w:rPr>
              <w:t> </w:t>
            </w:r>
          </w:p>
        </w:tc>
        <w:tc>
          <w:tcPr>
            <w:tcW w:w="1134" w:type="dxa"/>
            <w:tcBorders>
              <w:top w:val="nil"/>
              <w:left w:val="nil"/>
              <w:bottom w:val="nil"/>
              <w:right w:val="nil"/>
            </w:tcBorders>
            <w:shd w:val="clear" w:color="000000" w:fill="F2F2F2"/>
            <w:noWrap/>
            <w:vAlign w:val="center"/>
            <w:hideMark/>
          </w:tcPr>
          <w:p w14:paraId="71B8BBD8" w14:textId="77777777" w:rsidR="001266F9" w:rsidRPr="001C2611" w:rsidRDefault="001266F9" w:rsidP="001266F9">
            <w:pPr>
              <w:keepNext/>
              <w:spacing w:before="0" w:after="0" w:line="240" w:lineRule="auto"/>
              <w:rPr>
                <w:rFonts w:ascii="Arial" w:hAnsi="Arial" w:cs="Arial"/>
                <w:color w:val="000000"/>
                <w:szCs w:val="20"/>
              </w:rPr>
            </w:pPr>
            <w:r w:rsidRPr="001C2611">
              <w:rPr>
                <w:rFonts w:ascii="Arial" w:hAnsi="Arial" w:cs="Arial"/>
                <w:color w:val="000000"/>
                <w:szCs w:val="20"/>
              </w:rPr>
              <w:t> </w:t>
            </w:r>
          </w:p>
        </w:tc>
        <w:tc>
          <w:tcPr>
            <w:tcW w:w="952" w:type="dxa"/>
            <w:tcBorders>
              <w:top w:val="nil"/>
              <w:left w:val="nil"/>
              <w:bottom w:val="nil"/>
              <w:right w:val="nil"/>
            </w:tcBorders>
            <w:shd w:val="clear" w:color="000000" w:fill="F2F2F2"/>
            <w:noWrap/>
            <w:vAlign w:val="center"/>
            <w:hideMark/>
          </w:tcPr>
          <w:p w14:paraId="570B48CD" w14:textId="77777777" w:rsidR="001266F9" w:rsidRPr="001C2611" w:rsidRDefault="001266F9" w:rsidP="001266F9">
            <w:pPr>
              <w:keepNext/>
              <w:spacing w:before="0" w:after="0" w:line="240" w:lineRule="auto"/>
              <w:rPr>
                <w:rFonts w:ascii="Arial" w:hAnsi="Arial" w:cs="Arial"/>
                <w:color w:val="000000"/>
                <w:szCs w:val="20"/>
              </w:rPr>
            </w:pPr>
            <w:r w:rsidRPr="001C2611">
              <w:rPr>
                <w:rFonts w:ascii="Arial" w:hAnsi="Arial" w:cs="Arial"/>
                <w:color w:val="000000"/>
                <w:szCs w:val="20"/>
              </w:rPr>
              <w:t> </w:t>
            </w:r>
          </w:p>
        </w:tc>
      </w:tr>
      <w:tr w:rsidR="001C2611" w:rsidRPr="001C2611" w14:paraId="5E10425A" w14:textId="77777777" w:rsidTr="001C2611">
        <w:trPr>
          <w:trHeight w:val="288"/>
        </w:trPr>
        <w:tc>
          <w:tcPr>
            <w:tcW w:w="2214" w:type="dxa"/>
            <w:tcBorders>
              <w:top w:val="nil"/>
              <w:left w:val="nil"/>
              <w:bottom w:val="nil"/>
              <w:right w:val="nil"/>
            </w:tcBorders>
            <w:shd w:val="clear" w:color="000000" w:fill="F2F2F2"/>
            <w:noWrap/>
            <w:vAlign w:val="center"/>
            <w:hideMark/>
          </w:tcPr>
          <w:p w14:paraId="558561C5" w14:textId="77777777" w:rsidR="001C2611" w:rsidRPr="001C2611" w:rsidRDefault="001C2611" w:rsidP="001266F9">
            <w:pPr>
              <w:keepNext/>
              <w:spacing w:before="0" w:after="0" w:line="240" w:lineRule="auto"/>
              <w:rPr>
                <w:rFonts w:ascii="Arial" w:hAnsi="Arial" w:cs="Arial"/>
                <w:color w:val="000000"/>
                <w:szCs w:val="20"/>
              </w:rPr>
            </w:pPr>
            <w:r w:rsidRPr="001C2611">
              <w:rPr>
                <w:rFonts w:ascii="Arial" w:hAnsi="Arial" w:cs="Arial"/>
                <w:color w:val="000000"/>
                <w:szCs w:val="20"/>
              </w:rPr>
              <w:t>Domestic student</w:t>
            </w:r>
          </w:p>
        </w:tc>
        <w:tc>
          <w:tcPr>
            <w:tcW w:w="952" w:type="dxa"/>
            <w:tcBorders>
              <w:top w:val="nil"/>
              <w:left w:val="nil"/>
              <w:bottom w:val="nil"/>
              <w:right w:val="nil"/>
            </w:tcBorders>
            <w:shd w:val="clear" w:color="000000" w:fill="F2F2F2"/>
            <w:noWrap/>
            <w:vAlign w:val="center"/>
            <w:hideMark/>
          </w:tcPr>
          <w:p w14:paraId="7904968F"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63.6</w:t>
            </w:r>
          </w:p>
        </w:tc>
        <w:tc>
          <w:tcPr>
            <w:tcW w:w="1134" w:type="dxa"/>
            <w:tcBorders>
              <w:top w:val="nil"/>
              <w:left w:val="nil"/>
              <w:bottom w:val="nil"/>
              <w:right w:val="nil"/>
            </w:tcBorders>
            <w:shd w:val="clear" w:color="000000" w:fill="F2F2F2"/>
            <w:noWrap/>
            <w:vAlign w:val="center"/>
            <w:hideMark/>
          </w:tcPr>
          <w:p w14:paraId="4010DD8A"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63.6</w:t>
            </w:r>
          </w:p>
        </w:tc>
        <w:tc>
          <w:tcPr>
            <w:tcW w:w="952" w:type="dxa"/>
            <w:tcBorders>
              <w:top w:val="nil"/>
              <w:left w:val="nil"/>
              <w:bottom w:val="nil"/>
              <w:right w:val="nil"/>
            </w:tcBorders>
            <w:shd w:val="clear" w:color="000000" w:fill="F2F2F2"/>
            <w:noWrap/>
            <w:vAlign w:val="center"/>
            <w:hideMark/>
          </w:tcPr>
          <w:p w14:paraId="620FDF0E"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63.6</w:t>
            </w:r>
          </w:p>
        </w:tc>
        <w:tc>
          <w:tcPr>
            <w:tcW w:w="952" w:type="dxa"/>
            <w:tcBorders>
              <w:top w:val="nil"/>
              <w:left w:val="nil"/>
              <w:bottom w:val="nil"/>
              <w:right w:val="nil"/>
            </w:tcBorders>
            <w:shd w:val="clear" w:color="000000" w:fill="F2F2F2"/>
            <w:noWrap/>
            <w:vAlign w:val="center"/>
            <w:hideMark/>
          </w:tcPr>
          <w:p w14:paraId="15ED19D2"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73.3</w:t>
            </w:r>
          </w:p>
        </w:tc>
        <w:tc>
          <w:tcPr>
            <w:tcW w:w="1134" w:type="dxa"/>
            <w:tcBorders>
              <w:top w:val="nil"/>
              <w:left w:val="nil"/>
              <w:bottom w:val="nil"/>
              <w:right w:val="nil"/>
            </w:tcBorders>
            <w:shd w:val="clear" w:color="000000" w:fill="F2F2F2"/>
            <w:noWrap/>
            <w:vAlign w:val="center"/>
            <w:hideMark/>
          </w:tcPr>
          <w:p w14:paraId="440438D3"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70.0</w:t>
            </w:r>
          </w:p>
        </w:tc>
        <w:tc>
          <w:tcPr>
            <w:tcW w:w="952" w:type="dxa"/>
            <w:tcBorders>
              <w:top w:val="nil"/>
              <w:left w:val="nil"/>
              <w:bottom w:val="nil"/>
              <w:right w:val="nil"/>
            </w:tcBorders>
            <w:shd w:val="clear" w:color="000000" w:fill="F2F2F2"/>
            <w:noWrap/>
            <w:vAlign w:val="center"/>
            <w:hideMark/>
          </w:tcPr>
          <w:p w14:paraId="7104BE95" w14:textId="68DEB020" w:rsidR="001C2611" w:rsidRPr="001C2611" w:rsidRDefault="001C2611" w:rsidP="001266F9">
            <w:pPr>
              <w:keepNext/>
              <w:spacing w:before="0" w:after="0" w:line="240" w:lineRule="auto"/>
              <w:jc w:val="right"/>
              <w:rPr>
                <w:rFonts w:ascii="Arial" w:hAnsi="Arial" w:cs="Arial"/>
                <w:color w:val="000000"/>
                <w:szCs w:val="20"/>
              </w:rPr>
            </w:pPr>
            <w:r>
              <w:rPr>
                <w:rFonts w:ascii="Arial" w:hAnsi="Arial" w:cs="Arial"/>
                <w:color w:val="000000"/>
                <w:szCs w:val="20"/>
              </w:rPr>
              <w:t>71.1</w:t>
            </w:r>
          </w:p>
        </w:tc>
      </w:tr>
      <w:tr w:rsidR="001C2611" w:rsidRPr="001C2611" w14:paraId="72AC70BC" w14:textId="77777777" w:rsidTr="001C2611">
        <w:trPr>
          <w:trHeight w:val="288"/>
        </w:trPr>
        <w:tc>
          <w:tcPr>
            <w:tcW w:w="2214" w:type="dxa"/>
            <w:tcBorders>
              <w:top w:val="nil"/>
              <w:left w:val="nil"/>
              <w:bottom w:val="nil"/>
              <w:right w:val="nil"/>
            </w:tcBorders>
            <w:shd w:val="clear" w:color="000000" w:fill="F2F2F2"/>
            <w:noWrap/>
            <w:vAlign w:val="center"/>
            <w:hideMark/>
          </w:tcPr>
          <w:p w14:paraId="30CE6A03" w14:textId="77777777" w:rsidR="001C2611" w:rsidRPr="001C2611" w:rsidRDefault="001C2611" w:rsidP="001266F9">
            <w:pPr>
              <w:keepNext/>
              <w:spacing w:before="0" w:after="0" w:line="240" w:lineRule="auto"/>
              <w:rPr>
                <w:rFonts w:ascii="Arial" w:hAnsi="Arial" w:cs="Arial"/>
                <w:color w:val="000000"/>
                <w:szCs w:val="20"/>
              </w:rPr>
            </w:pPr>
            <w:r w:rsidRPr="001C2611">
              <w:rPr>
                <w:rFonts w:ascii="Arial" w:hAnsi="Arial" w:cs="Arial"/>
                <w:color w:val="000000"/>
                <w:szCs w:val="20"/>
              </w:rPr>
              <w:t>Full-time student</w:t>
            </w:r>
          </w:p>
        </w:tc>
        <w:tc>
          <w:tcPr>
            <w:tcW w:w="952" w:type="dxa"/>
            <w:tcBorders>
              <w:top w:val="nil"/>
              <w:left w:val="nil"/>
              <w:bottom w:val="nil"/>
              <w:right w:val="nil"/>
            </w:tcBorders>
            <w:shd w:val="clear" w:color="000000" w:fill="F2F2F2"/>
            <w:noWrap/>
            <w:vAlign w:val="center"/>
            <w:hideMark/>
          </w:tcPr>
          <w:p w14:paraId="79C5BD78"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93.9</w:t>
            </w:r>
          </w:p>
        </w:tc>
        <w:tc>
          <w:tcPr>
            <w:tcW w:w="1134" w:type="dxa"/>
            <w:tcBorders>
              <w:top w:val="nil"/>
              <w:left w:val="nil"/>
              <w:bottom w:val="nil"/>
              <w:right w:val="nil"/>
            </w:tcBorders>
            <w:shd w:val="clear" w:color="000000" w:fill="F2F2F2"/>
            <w:noWrap/>
            <w:vAlign w:val="center"/>
            <w:hideMark/>
          </w:tcPr>
          <w:p w14:paraId="32029044"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98.2</w:t>
            </w:r>
          </w:p>
        </w:tc>
        <w:tc>
          <w:tcPr>
            <w:tcW w:w="952" w:type="dxa"/>
            <w:tcBorders>
              <w:top w:val="nil"/>
              <w:left w:val="nil"/>
              <w:bottom w:val="nil"/>
              <w:right w:val="nil"/>
            </w:tcBorders>
            <w:shd w:val="clear" w:color="000000" w:fill="F2F2F2"/>
            <w:noWrap/>
            <w:vAlign w:val="center"/>
            <w:hideMark/>
          </w:tcPr>
          <w:p w14:paraId="27655B4B"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96.6</w:t>
            </w:r>
          </w:p>
        </w:tc>
        <w:tc>
          <w:tcPr>
            <w:tcW w:w="952" w:type="dxa"/>
            <w:tcBorders>
              <w:top w:val="nil"/>
              <w:left w:val="nil"/>
              <w:bottom w:val="nil"/>
              <w:right w:val="nil"/>
            </w:tcBorders>
            <w:shd w:val="clear" w:color="000000" w:fill="F2F2F2"/>
            <w:noWrap/>
            <w:vAlign w:val="center"/>
            <w:hideMark/>
          </w:tcPr>
          <w:p w14:paraId="766C16DF"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93.3</w:t>
            </w:r>
          </w:p>
        </w:tc>
        <w:tc>
          <w:tcPr>
            <w:tcW w:w="1134" w:type="dxa"/>
            <w:tcBorders>
              <w:top w:val="nil"/>
              <w:left w:val="nil"/>
              <w:bottom w:val="nil"/>
              <w:right w:val="nil"/>
            </w:tcBorders>
            <w:shd w:val="clear" w:color="000000" w:fill="F2F2F2"/>
            <w:noWrap/>
            <w:vAlign w:val="center"/>
            <w:hideMark/>
          </w:tcPr>
          <w:p w14:paraId="2BB665EB"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93.3</w:t>
            </w:r>
          </w:p>
        </w:tc>
        <w:tc>
          <w:tcPr>
            <w:tcW w:w="952" w:type="dxa"/>
            <w:tcBorders>
              <w:top w:val="nil"/>
              <w:left w:val="nil"/>
              <w:bottom w:val="nil"/>
              <w:right w:val="nil"/>
            </w:tcBorders>
            <w:shd w:val="clear" w:color="000000" w:fill="F2F2F2"/>
            <w:noWrap/>
            <w:vAlign w:val="center"/>
            <w:hideMark/>
          </w:tcPr>
          <w:p w14:paraId="0F70BA6C" w14:textId="1E7A4025" w:rsidR="001C2611" w:rsidRPr="001C2611" w:rsidRDefault="001C2611" w:rsidP="001266F9">
            <w:pPr>
              <w:keepNext/>
              <w:spacing w:before="0" w:after="0" w:line="240" w:lineRule="auto"/>
              <w:jc w:val="right"/>
              <w:rPr>
                <w:rFonts w:ascii="Arial" w:hAnsi="Arial" w:cs="Arial"/>
                <w:color w:val="000000"/>
                <w:szCs w:val="20"/>
              </w:rPr>
            </w:pPr>
            <w:r>
              <w:rPr>
                <w:rFonts w:ascii="Arial" w:hAnsi="Arial" w:cs="Arial"/>
                <w:color w:val="000000"/>
                <w:szCs w:val="20"/>
              </w:rPr>
              <w:t>93.3</w:t>
            </w:r>
          </w:p>
        </w:tc>
      </w:tr>
      <w:tr w:rsidR="001266F9" w:rsidRPr="001C2611" w14:paraId="1C18E7C2" w14:textId="77777777" w:rsidTr="001C2611">
        <w:trPr>
          <w:trHeight w:val="288"/>
        </w:trPr>
        <w:tc>
          <w:tcPr>
            <w:tcW w:w="2214" w:type="dxa"/>
            <w:tcBorders>
              <w:top w:val="nil"/>
              <w:left w:val="nil"/>
              <w:bottom w:val="nil"/>
              <w:right w:val="nil"/>
            </w:tcBorders>
            <w:shd w:val="clear" w:color="000000" w:fill="F2F2F2"/>
            <w:noWrap/>
            <w:vAlign w:val="center"/>
            <w:hideMark/>
          </w:tcPr>
          <w:p w14:paraId="5C6DE2A4" w14:textId="77777777" w:rsidR="001266F9" w:rsidRPr="001C2611" w:rsidRDefault="001266F9" w:rsidP="001266F9">
            <w:pPr>
              <w:keepNext/>
              <w:spacing w:before="0" w:after="0" w:line="240" w:lineRule="auto"/>
              <w:rPr>
                <w:rFonts w:ascii="Arial" w:hAnsi="Arial" w:cs="Arial"/>
                <w:color w:val="000000"/>
                <w:szCs w:val="20"/>
              </w:rPr>
            </w:pPr>
            <w:r w:rsidRPr="001C2611">
              <w:rPr>
                <w:rFonts w:ascii="Arial" w:hAnsi="Arial" w:cs="Arial"/>
                <w:color w:val="000000"/>
                <w:szCs w:val="20"/>
              </w:rPr>
              <w:t>Enrolled in a B.Ec</w:t>
            </w:r>
          </w:p>
        </w:tc>
        <w:tc>
          <w:tcPr>
            <w:tcW w:w="952" w:type="dxa"/>
            <w:tcBorders>
              <w:top w:val="nil"/>
              <w:left w:val="nil"/>
              <w:bottom w:val="nil"/>
              <w:right w:val="nil"/>
            </w:tcBorders>
            <w:shd w:val="clear" w:color="000000" w:fill="F2F2F2"/>
            <w:noWrap/>
            <w:vAlign w:val="center"/>
            <w:hideMark/>
          </w:tcPr>
          <w:p w14:paraId="7E9CA1A3" w14:textId="7E6DB1C1" w:rsidR="001266F9" w:rsidRPr="001C2611" w:rsidRDefault="001266F9" w:rsidP="001266F9">
            <w:pPr>
              <w:keepNext/>
              <w:spacing w:before="0" w:after="0" w:line="240" w:lineRule="auto"/>
              <w:jc w:val="right"/>
              <w:rPr>
                <w:rFonts w:ascii="Arial" w:hAnsi="Arial" w:cs="Arial"/>
                <w:color w:val="000000"/>
                <w:szCs w:val="20"/>
              </w:rPr>
            </w:pPr>
            <w:r>
              <w:rPr>
                <w:rFonts w:ascii="Arial" w:hAnsi="Arial" w:cs="Arial"/>
                <w:color w:val="000000"/>
                <w:szCs w:val="20"/>
              </w:rPr>
              <w:t>45.5</w:t>
            </w:r>
          </w:p>
        </w:tc>
        <w:tc>
          <w:tcPr>
            <w:tcW w:w="1134" w:type="dxa"/>
            <w:tcBorders>
              <w:top w:val="nil"/>
              <w:left w:val="nil"/>
              <w:bottom w:val="nil"/>
              <w:right w:val="nil"/>
            </w:tcBorders>
            <w:shd w:val="clear" w:color="000000" w:fill="F2F2F2"/>
            <w:noWrap/>
            <w:vAlign w:val="center"/>
            <w:hideMark/>
          </w:tcPr>
          <w:p w14:paraId="59F1F847" w14:textId="00D82DCC" w:rsidR="001266F9" w:rsidRPr="001C2611" w:rsidRDefault="001266F9" w:rsidP="001266F9">
            <w:pPr>
              <w:keepNext/>
              <w:spacing w:before="0" w:after="0" w:line="240" w:lineRule="auto"/>
              <w:jc w:val="right"/>
              <w:rPr>
                <w:rFonts w:ascii="Arial" w:hAnsi="Arial" w:cs="Arial"/>
                <w:color w:val="000000"/>
                <w:szCs w:val="20"/>
              </w:rPr>
            </w:pPr>
            <w:r>
              <w:rPr>
                <w:rFonts w:ascii="Arial" w:hAnsi="Arial" w:cs="Arial"/>
                <w:color w:val="000000"/>
                <w:szCs w:val="20"/>
              </w:rPr>
              <w:t>43.6</w:t>
            </w:r>
          </w:p>
        </w:tc>
        <w:tc>
          <w:tcPr>
            <w:tcW w:w="952" w:type="dxa"/>
            <w:tcBorders>
              <w:top w:val="nil"/>
              <w:left w:val="nil"/>
              <w:bottom w:val="nil"/>
              <w:right w:val="nil"/>
            </w:tcBorders>
            <w:shd w:val="clear" w:color="000000" w:fill="F2F2F2"/>
            <w:noWrap/>
            <w:vAlign w:val="center"/>
            <w:hideMark/>
          </w:tcPr>
          <w:p w14:paraId="32CEA49E" w14:textId="3D134666" w:rsidR="001266F9" w:rsidRPr="001C2611" w:rsidRDefault="001266F9" w:rsidP="001266F9">
            <w:pPr>
              <w:keepNext/>
              <w:spacing w:before="0" w:after="0" w:line="240" w:lineRule="auto"/>
              <w:jc w:val="right"/>
              <w:rPr>
                <w:rFonts w:ascii="Arial" w:hAnsi="Arial" w:cs="Arial"/>
                <w:color w:val="000000"/>
                <w:szCs w:val="20"/>
              </w:rPr>
            </w:pPr>
            <w:r>
              <w:rPr>
                <w:rFonts w:ascii="Arial" w:hAnsi="Arial" w:cs="Arial"/>
                <w:color w:val="000000"/>
                <w:szCs w:val="20"/>
              </w:rPr>
              <w:t>44.3</w:t>
            </w:r>
          </w:p>
        </w:tc>
        <w:tc>
          <w:tcPr>
            <w:tcW w:w="952" w:type="dxa"/>
            <w:tcBorders>
              <w:top w:val="nil"/>
              <w:left w:val="nil"/>
              <w:bottom w:val="nil"/>
              <w:right w:val="nil"/>
            </w:tcBorders>
            <w:shd w:val="clear" w:color="000000" w:fill="F2F2F2"/>
            <w:noWrap/>
            <w:vAlign w:val="center"/>
            <w:hideMark/>
          </w:tcPr>
          <w:p w14:paraId="3C8E1FA9" w14:textId="07762F04" w:rsidR="001266F9" w:rsidRPr="001C2611" w:rsidRDefault="001266F9" w:rsidP="001266F9">
            <w:pPr>
              <w:keepNext/>
              <w:spacing w:before="0" w:after="0" w:line="240" w:lineRule="auto"/>
              <w:jc w:val="right"/>
              <w:rPr>
                <w:rFonts w:ascii="Arial" w:hAnsi="Arial" w:cs="Arial"/>
                <w:color w:val="000000"/>
                <w:szCs w:val="20"/>
              </w:rPr>
            </w:pPr>
            <w:r>
              <w:rPr>
                <w:rFonts w:ascii="Arial" w:hAnsi="Arial" w:cs="Arial"/>
                <w:color w:val="000000"/>
                <w:szCs w:val="20"/>
              </w:rPr>
              <w:t>60.0</w:t>
            </w:r>
          </w:p>
        </w:tc>
        <w:tc>
          <w:tcPr>
            <w:tcW w:w="1134" w:type="dxa"/>
            <w:tcBorders>
              <w:top w:val="nil"/>
              <w:left w:val="nil"/>
              <w:bottom w:val="nil"/>
              <w:right w:val="nil"/>
            </w:tcBorders>
            <w:shd w:val="clear" w:color="000000" w:fill="F2F2F2"/>
            <w:noWrap/>
            <w:vAlign w:val="center"/>
            <w:hideMark/>
          </w:tcPr>
          <w:p w14:paraId="33615D34" w14:textId="15E7BDD8" w:rsidR="001266F9" w:rsidRPr="001C2611" w:rsidRDefault="001266F9" w:rsidP="001266F9">
            <w:pPr>
              <w:keepNext/>
              <w:spacing w:before="0" w:after="0" w:line="240" w:lineRule="auto"/>
              <w:jc w:val="right"/>
              <w:rPr>
                <w:rFonts w:ascii="Arial" w:hAnsi="Arial" w:cs="Arial"/>
                <w:color w:val="000000"/>
                <w:szCs w:val="20"/>
              </w:rPr>
            </w:pPr>
            <w:r>
              <w:rPr>
                <w:rFonts w:ascii="Arial" w:hAnsi="Arial" w:cs="Arial"/>
                <w:color w:val="000000"/>
                <w:szCs w:val="20"/>
              </w:rPr>
              <w:t>43.3</w:t>
            </w:r>
          </w:p>
        </w:tc>
        <w:tc>
          <w:tcPr>
            <w:tcW w:w="952" w:type="dxa"/>
            <w:tcBorders>
              <w:top w:val="nil"/>
              <w:left w:val="nil"/>
              <w:bottom w:val="nil"/>
              <w:right w:val="nil"/>
            </w:tcBorders>
            <w:shd w:val="clear" w:color="000000" w:fill="F2F2F2"/>
            <w:noWrap/>
            <w:vAlign w:val="center"/>
            <w:hideMark/>
          </w:tcPr>
          <w:p w14:paraId="39416051" w14:textId="77142D46" w:rsidR="001266F9" w:rsidRPr="001C2611" w:rsidRDefault="001266F9" w:rsidP="001266F9">
            <w:pPr>
              <w:keepNext/>
              <w:spacing w:before="0" w:after="0" w:line="240" w:lineRule="auto"/>
              <w:jc w:val="right"/>
              <w:rPr>
                <w:rFonts w:ascii="Arial" w:hAnsi="Arial" w:cs="Arial"/>
                <w:color w:val="000000"/>
                <w:szCs w:val="20"/>
              </w:rPr>
            </w:pPr>
            <w:r>
              <w:rPr>
                <w:rFonts w:ascii="Arial" w:hAnsi="Arial" w:cs="Arial"/>
                <w:color w:val="000000"/>
                <w:szCs w:val="20"/>
              </w:rPr>
              <w:t>48.9</w:t>
            </w:r>
          </w:p>
        </w:tc>
      </w:tr>
      <w:tr w:rsidR="001C2611" w:rsidRPr="001C2611" w14:paraId="0954158A" w14:textId="77777777" w:rsidTr="001C2611">
        <w:trPr>
          <w:trHeight w:val="288"/>
        </w:trPr>
        <w:tc>
          <w:tcPr>
            <w:tcW w:w="2214" w:type="dxa"/>
            <w:tcBorders>
              <w:top w:val="nil"/>
              <w:left w:val="nil"/>
              <w:bottom w:val="nil"/>
              <w:right w:val="nil"/>
            </w:tcBorders>
            <w:shd w:val="clear" w:color="000000" w:fill="F2F2F2"/>
            <w:noWrap/>
            <w:vAlign w:val="center"/>
            <w:hideMark/>
          </w:tcPr>
          <w:p w14:paraId="027FB946" w14:textId="77777777" w:rsidR="001C2611" w:rsidRPr="001C2611" w:rsidRDefault="001C2611" w:rsidP="001266F9">
            <w:pPr>
              <w:keepNext/>
              <w:spacing w:before="0" w:after="0" w:line="240" w:lineRule="auto"/>
              <w:rPr>
                <w:rFonts w:ascii="Arial" w:hAnsi="Arial" w:cs="Arial"/>
                <w:color w:val="000000"/>
                <w:szCs w:val="20"/>
              </w:rPr>
            </w:pPr>
            <w:r w:rsidRPr="001C2611">
              <w:rPr>
                <w:rFonts w:ascii="Arial" w:hAnsi="Arial" w:cs="Arial"/>
                <w:color w:val="000000"/>
                <w:szCs w:val="20"/>
              </w:rPr>
              <w:t>Undergraduate</w:t>
            </w:r>
          </w:p>
        </w:tc>
        <w:tc>
          <w:tcPr>
            <w:tcW w:w="952" w:type="dxa"/>
            <w:tcBorders>
              <w:top w:val="nil"/>
              <w:left w:val="nil"/>
              <w:bottom w:val="nil"/>
              <w:right w:val="nil"/>
            </w:tcBorders>
            <w:shd w:val="clear" w:color="000000" w:fill="F2F2F2"/>
            <w:noWrap/>
            <w:vAlign w:val="center"/>
            <w:hideMark/>
          </w:tcPr>
          <w:p w14:paraId="78F363F4"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81.8</w:t>
            </w:r>
          </w:p>
        </w:tc>
        <w:tc>
          <w:tcPr>
            <w:tcW w:w="1134" w:type="dxa"/>
            <w:tcBorders>
              <w:top w:val="nil"/>
              <w:left w:val="nil"/>
              <w:bottom w:val="nil"/>
              <w:right w:val="nil"/>
            </w:tcBorders>
            <w:shd w:val="clear" w:color="000000" w:fill="F2F2F2"/>
            <w:noWrap/>
            <w:vAlign w:val="center"/>
            <w:hideMark/>
          </w:tcPr>
          <w:p w14:paraId="2C4E8A52"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72.7</w:t>
            </w:r>
          </w:p>
        </w:tc>
        <w:tc>
          <w:tcPr>
            <w:tcW w:w="952" w:type="dxa"/>
            <w:tcBorders>
              <w:top w:val="nil"/>
              <w:left w:val="nil"/>
              <w:bottom w:val="nil"/>
              <w:right w:val="nil"/>
            </w:tcBorders>
            <w:shd w:val="clear" w:color="000000" w:fill="F2F2F2"/>
            <w:noWrap/>
            <w:vAlign w:val="center"/>
            <w:hideMark/>
          </w:tcPr>
          <w:p w14:paraId="5C1D2DF3"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76.1</w:t>
            </w:r>
          </w:p>
        </w:tc>
        <w:tc>
          <w:tcPr>
            <w:tcW w:w="952" w:type="dxa"/>
            <w:tcBorders>
              <w:top w:val="nil"/>
              <w:left w:val="nil"/>
              <w:bottom w:val="nil"/>
              <w:right w:val="nil"/>
            </w:tcBorders>
            <w:shd w:val="clear" w:color="000000" w:fill="F2F2F2"/>
            <w:noWrap/>
            <w:vAlign w:val="center"/>
            <w:hideMark/>
          </w:tcPr>
          <w:p w14:paraId="6678AC06"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73.3</w:t>
            </w:r>
          </w:p>
        </w:tc>
        <w:tc>
          <w:tcPr>
            <w:tcW w:w="1134" w:type="dxa"/>
            <w:tcBorders>
              <w:top w:val="nil"/>
              <w:left w:val="nil"/>
              <w:bottom w:val="nil"/>
              <w:right w:val="nil"/>
            </w:tcBorders>
            <w:shd w:val="clear" w:color="000000" w:fill="F2F2F2"/>
            <w:noWrap/>
            <w:vAlign w:val="center"/>
            <w:hideMark/>
          </w:tcPr>
          <w:p w14:paraId="3E6C5FD6" w14:textId="77777777" w:rsidR="001C2611" w:rsidRPr="001C2611" w:rsidRDefault="001C2611"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76.7</w:t>
            </w:r>
          </w:p>
        </w:tc>
        <w:tc>
          <w:tcPr>
            <w:tcW w:w="952" w:type="dxa"/>
            <w:tcBorders>
              <w:top w:val="nil"/>
              <w:left w:val="nil"/>
              <w:bottom w:val="nil"/>
              <w:right w:val="nil"/>
            </w:tcBorders>
            <w:shd w:val="clear" w:color="000000" w:fill="F2F2F2"/>
            <w:noWrap/>
            <w:vAlign w:val="center"/>
            <w:hideMark/>
          </w:tcPr>
          <w:p w14:paraId="5EA55FAB" w14:textId="24CE6690" w:rsidR="001C2611" w:rsidRPr="001C2611" w:rsidRDefault="001C2611" w:rsidP="001266F9">
            <w:pPr>
              <w:keepNext/>
              <w:spacing w:before="0" w:after="0" w:line="240" w:lineRule="auto"/>
              <w:jc w:val="right"/>
              <w:rPr>
                <w:rFonts w:ascii="Arial" w:hAnsi="Arial" w:cs="Arial"/>
                <w:color w:val="000000"/>
                <w:szCs w:val="20"/>
              </w:rPr>
            </w:pPr>
            <w:r>
              <w:rPr>
                <w:rFonts w:ascii="Arial" w:hAnsi="Arial" w:cs="Arial"/>
                <w:color w:val="000000"/>
                <w:szCs w:val="20"/>
              </w:rPr>
              <w:t>75.6</w:t>
            </w:r>
          </w:p>
        </w:tc>
      </w:tr>
      <w:tr w:rsidR="001266F9" w:rsidRPr="001C2611" w14:paraId="1824F7BD" w14:textId="77777777" w:rsidTr="001266F9">
        <w:trPr>
          <w:trHeight w:val="288"/>
        </w:trPr>
        <w:tc>
          <w:tcPr>
            <w:tcW w:w="2214" w:type="dxa"/>
            <w:tcBorders>
              <w:top w:val="nil"/>
              <w:left w:val="nil"/>
              <w:bottom w:val="nil"/>
              <w:right w:val="nil"/>
            </w:tcBorders>
            <w:shd w:val="clear" w:color="000000" w:fill="F2F2F2"/>
            <w:noWrap/>
            <w:vAlign w:val="center"/>
            <w:hideMark/>
          </w:tcPr>
          <w:p w14:paraId="4565C28D" w14:textId="1EC21DC1" w:rsidR="001266F9" w:rsidRPr="001C2611" w:rsidRDefault="001266F9" w:rsidP="001266F9">
            <w:pPr>
              <w:keepNext/>
              <w:spacing w:before="0" w:after="0" w:line="240" w:lineRule="auto"/>
              <w:rPr>
                <w:rFonts w:ascii="Arial" w:hAnsi="Arial" w:cs="Arial"/>
                <w:b/>
                <w:color w:val="000000"/>
                <w:szCs w:val="20"/>
              </w:rPr>
            </w:pPr>
            <w:r>
              <w:rPr>
                <w:rFonts w:ascii="Arial" w:hAnsi="Arial" w:cs="Arial"/>
                <w:b/>
                <w:color w:val="000000"/>
                <w:szCs w:val="20"/>
              </w:rPr>
              <w:t>Year of study</w:t>
            </w:r>
          </w:p>
        </w:tc>
        <w:tc>
          <w:tcPr>
            <w:tcW w:w="952" w:type="dxa"/>
            <w:tcBorders>
              <w:top w:val="nil"/>
              <w:left w:val="nil"/>
              <w:bottom w:val="nil"/>
              <w:right w:val="nil"/>
            </w:tcBorders>
            <w:shd w:val="clear" w:color="000000" w:fill="F2F2F2"/>
            <w:noWrap/>
            <w:vAlign w:val="center"/>
            <w:hideMark/>
          </w:tcPr>
          <w:p w14:paraId="6BE57582" w14:textId="77777777" w:rsidR="001266F9" w:rsidRPr="001C2611" w:rsidRDefault="001266F9"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 </w:t>
            </w:r>
          </w:p>
        </w:tc>
        <w:tc>
          <w:tcPr>
            <w:tcW w:w="1134" w:type="dxa"/>
            <w:tcBorders>
              <w:top w:val="nil"/>
              <w:left w:val="nil"/>
              <w:bottom w:val="nil"/>
              <w:right w:val="nil"/>
            </w:tcBorders>
            <w:shd w:val="clear" w:color="000000" w:fill="F2F2F2"/>
            <w:noWrap/>
            <w:vAlign w:val="center"/>
            <w:hideMark/>
          </w:tcPr>
          <w:p w14:paraId="5CD9F7B5" w14:textId="77777777" w:rsidR="001266F9" w:rsidRPr="001C2611" w:rsidRDefault="001266F9"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 </w:t>
            </w:r>
          </w:p>
        </w:tc>
        <w:tc>
          <w:tcPr>
            <w:tcW w:w="952" w:type="dxa"/>
            <w:tcBorders>
              <w:top w:val="nil"/>
              <w:left w:val="nil"/>
              <w:bottom w:val="nil"/>
              <w:right w:val="nil"/>
            </w:tcBorders>
            <w:shd w:val="clear" w:color="000000" w:fill="F2F2F2"/>
            <w:noWrap/>
            <w:vAlign w:val="center"/>
            <w:hideMark/>
          </w:tcPr>
          <w:p w14:paraId="3100C1C8" w14:textId="77777777" w:rsidR="001266F9" w:rsidRPr="001C2611" w:rsidRDefault="001266F9"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 </w:t>
            </w:r>
          </w:p>
        </w:tc>
        <w:tc>
          <w:tcPr>
            <w:tcW w:w="952" w:type="dxa"/>
            <w:tcBorders>
              <w:top w:val="nil"/>
              <w:left w:val="nil"/>
              <w:bottom w:val="nil"/>
              <w:right w:val="nil"/>
            </w:tcBorders>
            <w:shd w:val="clear" w:color="000000" w:fill="F2F2F2"/>
            <w:noWrap/>
            <w:vAlign w:val="center"/>
            <w:hideMark/>
          </w:tcPr>
          <w:p w14:paraId="0516E622" w14:textId="77777777" w:rsidR="001266F9" w:rsidRPr="001C2611" w:rsidRDefault="001266F9"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 </w:t>
            </w:r>
          </w:p>
        </w:tc>
        <w:tc>
          <w:tcPr>
            <w:tcW w:w="1134" w:type="dxa"/>
            <w:tcBorders>
              <w:top w:val="nil"/>
              <w:left w:val="nil"/>
              <w:bottom w:val="nil"/>
              <w:right w:val="nil"/>
            </w:tcBorders>
            <w:shd w:val="clear" w:color="000000" w:fill="F2F2F2"/>
            <w:noWrap/>
            <w:vAlign w:val="center"/>
            <w:hideMark/>
          </w:tcPr>
          <w:p w14:paraId="5A875CF9" w14:textId="77777777" w:rsidR="001266F9" w:rsidRPr="001C2611" w:rsidRDefault="001266F9"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 </w:t>
            </w:r>
          </w:p>
        </w:tc>
        <w:tc>
          <w:tcPr>
            <w:tcW w:w="952" w:type="dxa"/>
            <w:tcBorders>
              <w:top w:val="nil"/>
              <w:left w:val="nil"/>
              <w:bottom w:val="nil"/>
              <w:right w:val="nil"/>
            </w:tcBorders>
            <w:shd w:val="clear" w:color="000000" w:fill="F2F2F2"/>
            <w:noWrap/>
            <w:vAlign w:val="center"/>
            <w:hideMark/>
          </w:tcPr>
          <w:p w14:paraId="1606A642" w14:textId="77777777" w:rsidR="001266F9" w:rsidRPr="001C2611" w:rsidRDefault="001266F9" w:rsidP="001266F9">
            <w:pPr>
              <w:keepNext/>
              <w:spacing w:before="0" w:after="0" w:line="240" w:lineRule="auto"/>
              <w:jc w:val="right"/>
              <w:rPr>
                <w:rFonts w:ascii="Arial" w:hAnsi="Arial" w:cs="Arial"/>
                <w:color w:val="000000"/>
                <w:szCs w:val="20"/>
              </w:rPr>
            </w:pPr>
            <w:r w:rsidRPr="001C2611">
              <w:rPr>
                <w:rFonts w:ascii="Arial" w:hAnsi="Arial" w:cs="Arial"/>
                <w:color w:val="000000"/>
                <w:szCs w:val="20"/>
              </w:rPr>
              <w:t> </w:t>
            </w:r>
          </w:p>
        </w:tc>
      </w:tr>
      <w:tr w:rsidR="001266F9" w:rsidRPr="001266F9" w14:paraId="063408FC" w14:textId="77777777" w:rsidTr="001266F9">
        <w:trPr>
          <w:trHeight w:val="288"/>
        </w:trPr>
        <w:tc>
          <w:tcPr>
            <w:tcW w:w="2214" w:type="dxa"/>
            <w:tcBorders>
              <w:top w:val="nil"/>
              <w:left w:val="nil"/>
              <w:bottom w:val="nil"/>
              <w:right w:val="nil"/>
            </w:tcBorders>
            <w:shd w:val="clear" w:color="000000" w:fill="F2F2F2"/>
            <w:noWrap/>
            <w:vAlign w:val="center"/>
            <w:hideMark/>
          </w:tcPr>
          <w:p w14:paraId="77B58EEF" w14:textId="77777777" w:rsidR="001266F9" w:rsidRPr="001266F9" w:rsidRDefault="001266F9" w:rsidP="001266F9">
            <w:pPr>
              <w:keepNext/>
              <w:spacing w:before="0" w:after="0" w:line="240" w:lineRule="auto"/>
              <w:rPr>
                <w:rFonts w:ascii="Arial" w:hAnsi="Arial" w:cs="Arial"/>
                <w:color w:val="000000"/>
                <w:szCs w:val="20"/>
              </w:rPr>
            </w:pPr>
            <w:r w:rsidRPr="001266F9">
              <w:rPr>
                <w:rFonts w:ascii="Arial" w:hAnsi="Arial" w:cs="Arial"/>
                <w:color w:val="000000"/>
                <w:szCs w:val="20"/>
              </w:rPr>
              <w:t>First year</w:t>
            </w:r>
          </w:p>
        </w:tc>
        <w:tc>
          <w:tcPr>
            <w:tcW w:w="952" w:type="dxa"/>
            <w:tcBorders>
              <w:top w:val="nil"/>
              <w:left w:val="nil"/>
              <w:bottom w:val="nil"/>
              <w:right w:val="nil"/>
            </w:tcBorders>
            <w:shd w:val="clear" w:color="000000" w:fill="F2F2F2"/>
            <w:noWrap/>
            <w:vAlign w:val="center"/>
            <w:hideMark/>
          </w:tcPr>
          <w:p w14:paraId="0B396622"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45.5</w:t>
            </w:r>
          </w:p>
        </w:tc>
        <w:tc>
          <w:tcPr>
            <w:tcW w:w="1134" w:type="dxa"/>
            <w:tcBorders>
              <w:top w:val="nil"/>
              <w:left w:val="nil"/>
              <w:bottom w:val="nil"/>
              <w:right w:val="nil"/>
            </w:tcBorders>
            <w:shd w:val="clear" w:color="000000" w:fill="F2F2F2"/>
            <w:noWrap/>
            <w:vAlign w:val="center"/>
            <w:hideMark/>
          </w:tcPr>
          <w:p w14:paraId="340FCAD8"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43.6</w:t>
            </w:r>
          </w:p>
        </w:tc>
        <w:tc>
          <w:tcPr>
            <w:tcW w:w="952" w:type="dxa"/>
            <w:tcBorders>
              <w:top w:val="nil"/>
              <w:left w:val="nil"/>
              <w:bottom w:val="nil"/>
              <w:right w:val="nil"/>
            </w:tcBorders>
            <w:shd w:val="clear" w:color="000000" w:fill="F2F2F2"/>
            <w:noWrap/>
            <w:vAlign w:val="center"/>
            <w:hideMark/>
          </w:tcPr>
          <w:p w14:paraId="5CE5858D"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44.3</w:t>
            </w:r>
          </w:p>
        </w:tc>
        <w:tc>
          <w:tcPr>
            <w:tcW w:w="952" w:type="dxa"/>
            <w:tcBorders>
              <w:top w:val="nil"/>
              <w:left w:val="nil"/>
              <w:bottom w:val="nil"/>
              <w:right w:val="nil"/>
            </w:tcBorders>
            <w:shd w:val="clear" w:color="000000" w:fill="F2F2F2"/>
            <w:noWrap/>
            <w:vAlign w:val="center"/>
            <w:hideMark/>
          </w:tcPr>
          <w:p w14:paraId="6C415E31"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0.0</w:t>
            </w:r>
          </w:p>
        </w:tc>
        <w:tc>
          <w:tcPr>
            <w:tcW w:w="1134" w:type="dxa"/>
            <w:tcBorders>
              <w:top w:val="nil"/>
              <w:left w:val="nil"/>
              <w:bottom w:val="nil"/>
              <w:right w:val="nil"/>
            </w:tcBorders>
            <w:shd w:val="clear" w:color="000000" w:fill="F2F2F2"/>
            <w:noWrap/>
            <w:vAlign w:val="center"/>
            <w:hideMark/>
          </w:tcPr>
          <w:p w14:paraId="22C77431"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3.3</w:t>
            </w:r>
          </w:p>
        </w:tc>
        <w:tc>
          <w:tcPr>
            <w:tcW w:w="952" w:type="dxa"/>
            <w:tcBorders>
              <w:top w:val="nil"/>
              <w:left w:val="nil"/>
              <w:bottom w:val="nil"/>
              <w:right w:val="nil"/>
            </w:tcBorders>
            <w:shd w:val="clear" w:color="000000" w:fill="F2F2F2"/>
            <w:noWrap/>
            <w:vAlign w:val="center"/>
            <w:hideMark/>
          </w:tcPr>
          <w:p w14:paraId="58C12EFA"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2.2</w:t>
            </w:r>
          </w:p>
        </w:tc>
      </w:tr>
      <w:tr w:rsidR="001266F9" w:rsidRPr="001266F9" w14:paraId="63A8CA55" w14:textId="77777777" w:rsidTr="001266F9">
        <w:trPr>
          <w:trHeight w:val="288"/>
        </w:trPr>
        <w:tc>
          <w:tcPr>
            <w:tcW w:w="2214" w:type="dxa"/>
            <w:tcBorders>
              <w:top w:val="nil"/>
              <w:left w:val="nil"/>
              <w:bottom w:val="nil"/>
              <w:right w:val="nil"/>
            </w:tcBorders>
            <w:shd w:val="clear" w:color="000000" w:fill="F2F2F2"/>
            <w:noWrap/>
            <w:vAlign w:val="center"/>
            <w:hideMark/>
          </w:tcPr>
          <w:p w14:paraId="15496F0F" w14:textId="77777777" w:rsidR="001266F9" w:rsidRPr="001266F9" w:rsidRDefault="001266F9" w:rsidP="001266F9">
            <w:pPr>
              <w:keepNext/>
              <w:spacing w:before="0" w:after="0" w:line="240" w:lineRule="auto"/>
              <w:rPr>
                <w:rFonts w:ascii="Arial" w:hAnsi="Arial" w:cs="Arial"/>
                <w:color w:val="000000"/>
                <w:szCs w:val="20"/>
              </w:rPr>
            </w:pPr>
            <w:r w:rsidRPr="001266F9">
              <w:rPr>
                <w:rFonts w:ascii="Arial" w:hAnsi="Arial" w:cs="Arial"/>
                <w:color w:val="000000"/>
                <w:szCs w:val="20"/>
              </w:rPr>
              <w:t>Second year</w:t>
            </w:r>
          </w:p>
        </w:tc>
        <w:tc>
          <w:tcPr>
            <w:tcW w:w="952" w:type="dxa"/>
            <w:tcBorders>
              <w:top w:val="nil"/>
              <w:left w:val="nil"/>
              <w:bottom w:val="nil"/>
              <w:right w:val="nil"/>
            </w:tcBorders>
            <w:shd w:val="clear" w:color="000000" w:fill="F2F2F2"/>
            <w:noWrap/>
            <w:vAlign w:val="center"/>
            <w:hideMark/>
          </w:tcPr>
          <w:p w14:paraId="3D365F2D"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30.3</w:t>
            </w:r>
          </w:p>
        </w:tc>
        <w:tc>
          <w:tcPr>
            <w:tcW w:w="1134" w:type="dxa"/>
            <w:tcBorders>
              <w:top w:val="nil"/>
              <w:left w:val="nil"/>
              <w:bottom w:val="nil"/>
              <w:right w:val="nil"/>
            </w:tcBorders>
            <w:shd w:val="clear" w:color="000000" w:fill="F2F2F2"/>
            <w:noWrap/>
            <w:vAlign w:val="center"/>
            <w:hideMark/>
          </w:tcPr>
          <w:p w14:paraId="69EE1B2F"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50.9</w:t>
            </w:r>
          </w:p>
        </w:tc>
        <w:tc>
          <w:tcPr>
            <w:tcW w:w="952" w:type="dxa"/>
            <w:tcBorders>
              <w:top w:val="nil"/>
              <w:left w:val="nil"/>
              <w:bottom w:val="nil"/>
              <w:right w:val="nil"/>
            </w:tcBorders>
            <w:shd w:val="clear" w:color="000000" w:fill="F2F2F2"/>
            <w:noWrap/>
            <w:vAlign w:val="center"/>
            <w:hideMark/>
          </w:tcPr>
          <w:p w14:paraId="6E95D21B"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43.2</w:t>
            </w:r>
          </w:p>
        </w:tc>
        <w:tc>
          <w:tcPr>
            <w:tcW w:w="952" w:type="dxa"/>
            <w:tcBorders>
              <w:top w:val="nil"/>
              <w:left w:val="nil"/>
              <w:bottom w:val="nil"/>
              <w:right w:val="nil"/>
            </w:tcBorders>
            <w:shd w:val="clear" w:color="000000" w:fill="F2F2F2"/>
            <w:noWrap/>
            <w:vAlign w:val="center"/>
            <w:hideMark/>
          </w:tcPr>
          <w:p w14:paraId="04AA5591"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60.0</w:t>
            </w:r>
          </w:p>
        </w:tc>
        <w:tc>
          <w:tcPr>
            <w:tcW w:w="1134" w:type="dxa"/>
            <w:tcBorders>
              <w:top w:val="nil"/>
              <w:left w:val="nil"/>
              <w:bottom w:val="nil"/>
              <w:right w:val="nil"/>
            </w:tcBorders>
            <w:shd w:val="clear" w:color="000000" w:fill="F2F2F2"/>
            <w:noWrap/>
            <w:vAlign w:val="center"/>
            <w:hideMark/>
          </w:tcPr>
          <w:p w14:paraId="15A1439E"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43.3</w:t>
            </w:r>
          </w:p>
        </w:tc>
        <w:tc>
          <w:tcPr>
            <w:tcW w:w="952" w:type="dxa"/>
            <w:tcBorders>
              <w:top w:val="nil"/>
              <w:left w:val="nil"/>
              <w:bottom w:val="nil"/>
              <w:right w:val="nil"/>
            </w:tcBorders>
            <w:shd w:val="clear" w:color="000000" w:fill="F2F2F2"/>
            <w:noWrap/>
            <w:vAlign w:val="center"/>
            <w:hideMark/>
          </w:tcPr>
          <w:p w14:paraId="66ABB0C1"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48.9</w:t>
            </w:r>
          </w:p>
        </w:tc>
      </w:tr>
      <w:tr w:rsidR="001266F9" w:rsidRPr="001266F9" w14:paraId="2BF20463" w14:textId="77777777" w:rsidTr="001266F9">
        <w:trPr>
          <w:trHeight w:val="288"/>
        </w:trPr>
        <w:tc>
          <w:tcPr>
            <w:tcW w:w="2214" w:type="dxa"/>
            <w:tcBorders>
              <w:top w:val="nil"/>
              <w:left w:val="nil"/>
              <w:bottom w:val="nil"/>
              <w:right w:val="nil"/>
            </w:tcBorders>
            <w:shd w:val="clear" w:color="000000" w:fill="F2F2F2"/>
            <w:noWrap/>
            <w:vAlign w:val="center"/>
            <w:hideMark/>
          </w:tcPr>
          <w:p w14:paraId="5D670022" w14:textId="77777777" w:rsidR="001266F9" w:rsidRPr="001266F9" w:rsidRDefault="001266F9" w:rsidP="001266F9">
            <w:pPr>
              <w:keepNext/>
              <w:spacing w:before="0" w:after="0" w:line="240" w:lineRule="auto"/>
              <w:rPr>
                <w:rFonts w:ascii="Arial" w:hAnsi="Arial" w:cs="Arial"/>
                <w:color w:val="000000"/>
                <w:szCs w:val="20"/>
              </w:rPr>
            </w:pPr>
            <w:r w:rsidRPr="001266F9">
              <w:rPr>
                <w:rFonts w:ascii="Arial" w:hAnsi="Arial" w:cs="Arial"/>
                <w:color w:val="000000"/>
                <w:szCs w:val="20"/>
              </w:rPr>
              <w:t>Third year</w:t>
            </w:r>
          </w:p>
        </w:tc>
        <w:tc>
          <w:tcPr>
            <w:tcW w:w="952" w:type="dxa"/>
            <w:tcBorders>
              <w:top w:val="nil"/>
              <w:left w:val="nil"/>
              <w:bottom w:val="nil"/>
              <w:right w:val="nil"/>
            </w:tcBorders>
            <w:shd w:val="clear" w:color="000000" w:fill="F2F2F2"/>
            <w:noWrap/>
            <w:vAlign w:val="center"/>
            <w:hideMark/>
          </w:tcPr>
          <w:p w14:paraId="537D0FB6"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12.1</w:t>
            </w:r>
          </w:p>
        </w:tc>
        <w:tc>
          <w:tcPr>
            <w:tcW w:w="1134" w:type="dxa"/>
            <w:tcBorders>
              <w:top w:val="nil"/>
              <w:left w:val="nil"/>
              <w:bottom w:val="nil"/>
              <w:right w:val="nil"/>
            </w:tcBorders>
            <w:shd w:val="clear" w:color="000000" w:fill="F2F2F2"/>
            <w:noWrap/>
            <w:vAlign w:val="center"/>
            <w:hideMark/>
          </w:tcPr>
          <w:p w14:paraId="7FD0A084"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5.5</w:t>
            </w:r>
          </w:p>
        </w:tc>
        <w:tc>
          <w:tcPr>
            <w:tcW w:w="952" w:type="dxa"/>
            <w:tcBorders>
              <w:top w:val="nil"/>
              <w:left w:val="nil"/>
              <w:bottom w:val="nil"/>
              <w:right w:val="nil"/>
            </w:tcBorders>
            <w:shd w:val="clear" w:color="000000" w:fill="F2F2F2"/>
            <w:noWrap/>
            <w:vAlign w:val="center"/>
            <w:hideMark/>
          </w:tcPr>
          <w:p w14:paraId="01AADB46"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8.0</w:t>
            </w:r>
          </w:p>
        </w:tc>
        <w:tc>
          <w:tcPr>
            <w:tcW w:w="952" w:type="dxa"/>
            <w:tcBorders>
              <w:top w:val="nil"/>
              <w:left w:val="nil"/>
              <w:bottom w:val="nil"/>
              <w:right w:val="nil"/>
            </w:tcBorders>
            <w:shd w:val="clear" w:color="000000" w:fill="F2F2F2"/>
            <w:noWrap/>
            <w:vAlign w:val="center"/>
            <w:hideMark/>
          </w:tcPr>
          <w:p w14:paraId="12AAAE86"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26.7</w:t>
            </w:r>
          </w:p>
        </w:tc>
        <w:tc>
          <w:tcPr>
            <w:tcW w:w="1134" w:type="dxa"/>
            <w:tcBorders>
              <w:top w:val="nil"/>
              <w:left w:val="nil"/>
              <w:bottom w:val="nil"/>
              <w:right w:val="nil"/>
            </w:tcBorders>
            <w:shd w:val="clear" w:color="000000" w:fill="F2F2F2"/>
            <w:noWrap/>
            <w:vAlign w:val="center"/>
            <w:hideMark/>
          </w:tcPr>
          <w:p w14:paraId="38F616F6"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43.3</w:t>
            </w:r>
          </w:p>
        </w:tc>
        <w:tc>
          <w:tcPr>
            <w:tcW w:w="952" w:type="dxa"/>
            <w:tcBorders>
              <w:top w:val="nil"/>
              <w:left w:val="nil"/>
              <w:bottom w:val="nil"/>
              <w:right w:val="nil"/>
            </w:tcBorders>
            <w:shd w:val="clear" w:color="000000" w:fill="F2F2F2"/>
            <w:noWrap/>
            <w:vAlign w:val="center"/>
            <w:hideMark/>
          </w:tcPr>
          <w:p w14:paraId="53DBA266"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37.8</w:t>
            </w:r>
          </w:p>
        </w:tc>
      </w:tr>
      <w:tr w:rsidR="001266F9" w:rsidRPr="001266F9" w14:paraId="202F8487" w14:textId="77777777" w:rsidTr="001266F9">
        <w:trPr>
          <w:trHeight w:val="288"/>
        </w:trPr>
        <w:tc>
          <w:tcPr>
            <w:tcW w:w="2214" w:type="dxa"/>
            <w:tcBorders>
              <w:top w:val="nil"/>
              <w:left w:val="nil"/>
              <w:bottom w:val="nil"/>
              <w:right w:val="nil"/>
            </w:tcBorders>
            <w:shd w:val="clear" w:color="000000" w:fill="F2F2F2"/>
            <w:noWrap/>
            <w:vAlign w:val="center"/>
            <w:hideMark/>
          </w:tcPr>
          <w:p w14:paraId="7E9F21ED" w14:textId="77777777" w:rsidR="001266F9" w:rsidRPr="001266F9" w:rsidRDefault="001266F9" w:rsidP="001266F9">
            <w:pPr>
              <w:keepNext/>
              <w:spacing w:before="0" w:after="0" w:line="240" w:lineRule="auto"/>
              <w:rPr>
                <w:rFonts w:ascii="Arial" w:hAnsi="Arial" w:cs="Arial"/>
                <w:color w:val="000000"/>
                <w:szCs w:val="20"/>
              </w:rPr>
            </w:pPr>
            <w:r w:rsidRPr="001266F9">
              <w:rPr>
                <w:rFonts w:ascii="Arial" w:hAnsi="Arial" w:cs="Arial"/>
                <w:color w:val="000000"/>
                <w:szCs w:val="20"/>
              </w:rPr>
              <w:t>Fourth year</w:t>
            </w:r>
          </w:p>
        </w:tc>
        <w:tc>
          <w:tcPr>
            <w:tcW w:w="952" w:type="dxa"/>
            <w:tcBorders>
              <w:top w:val="nil"/>
              <w:left w:val="nil"/>
              <w:bottom w:val="nil"/>
              <w:right w:val="nil"/>
            </w:tcBorders>
            <w:shd w:val="clear" w:color="000000" w:fill="F2F2F2"/>
            <w:noWrap/>
            <w:vAlign w:val="center"/>
            <w:hideMark/>
          </w:tcPr>
          <w:p w14:paraId="39E58ABE"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9.1</w:t>
            </w:r>
          </w:p>
        </w:tc>
        <w:tc>
          <w:tcPr>
            <w:tcW w:w="1134" w:type="dxa"/>
            <w:tcBorders>
              <w:top w:val="nil"/>
              <w:left w:val="nil"/>
              <w:bottom w:val="nil"/>
              <w:right w:val="nil"/>
            </w:tcBorders>
            <w:shd w:val="clear" w:color="000000" w:fill="F2F2F2"/>
            <w:noWrap/>
            <w:vAlign w:val="center"/>
            <w:hideMark/>
          </w:tcPr>
          <w:p w14:paraId="3608686D"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0.0</w:t>
            </w:r>
          </w:p>
        </w:tc>
        <w:tc>
          <w:tcPr>
            <w:tcW w:w="952" w:type="dxa"/>
            <w:tcBorders>
              <w:top w:val="nil"/>
              <w:left w:val="nil"/>
              <w:bottom w:val="nil"/>
              <w:right w:val="nil"/>
            </w:tcBorders>
            <w:shd w:val="clear" w:color="000000" w:fill="F2F2F2"/>
            <w:noWrap/>
            <w:vAlign w:val="center"/>
            <w:hideMark/>
          </w:tcPr>
          <w:p w14:paraId="7B9AE96C"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3.4</w:t>
            </w:r>
          </w:p>
        </w:tc>
        <w:tc>
          <w:tcPr>
            <w:tcW w:w="952" w:type="dxa"/>
            <w:tcBorders>
              <w:top w:val="nil"/>
              <w:left w:val="nil"/>
              <w:bottom w:val="nil"/>
              <w:right w:val="nil"/>
            </w:tcBorders>
            <w:shd w:val="clear" w:color="000000" w:fill="F2F2F2"/>
            <w:noWrap/>
            <w:vAlign w:val="center"/>
            <w:hideMark/>
          </w:tcPr>
          <w:p w14:paraId="00F9CD8C"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13.3</w:t>
            </w:r>
          </w:p>
        </w:tc>
        <w:tc>
          <w:tcPr>
            <w:tcW w:w="1134" w:type="dxa"/>
            <w:tcBorders>
              <w:top w:val="nil"/>
              <w:left w:val="nil"/>
              <w:bottom w:val="nil"/>
              <w:right w:val="nil"/>
            </w:tcBorders>
            <w:shd w:val="clear" w:color="000000" w:fill="F2F2F2"/>
            <w:noWrap/>
            <w:vAlign w:val="center"/>
            <w:hideMark/>
          </w:tcPr>
          <w:p w14:paraId="0A4F2A56"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10.0</w:t>
            </w:r>
          </w:p>
        </w:tc>
        <w:tc>
          <w:tcPr>
            <w:tcW w:w="952" w:type="dxa"/>
            <w:tcBorders>
              <w:top w:val="nil"/>
              <w:left w:val="nil"/>
              <w:bottom w:val="nil"/>
              <w:right w:val="nil"/>
            </w:tcBorders>
            <w:shd w:val="clear" w:color="000000" w:fill="F2F2F2"/>
            <w:noWrap/>
            <w:vAlign w:val="center"/>
            <w:hideMark/>
          </w:tcPr>
          <w:p w14:paraId="1A17DABF" w14:textId="77777777" w:rsidR="001266F9" w:rsidRPr="001266F9" w:rsidRDefault="001266F9" w:rsidP="001266F9">
            <w:pPr>
              <w:keepNext/>
              <w:spacing w:before="0" w:after="0" w:line="240" w:lineRule="auto"/>
              <w:jc w:val="right"/>
              <w:rPr>
                <w:rFonts w:ascii="Arial" w:hAnsi="Arial" w:cs="Arial"/>
                <w:color w:val="000000"/>
                <w:szCs w:val="20"/>
              </w:rPr>
            </w:pPr>
            <w:r w:rsidRPr="001266F9">
              <w:rPr>
                <w:rFonts w:ascii="Arial" w:hAnsi="Arial" w:cs="Arial"/>
                <w:color w:val="000000"/>
                <w:szCs w:val="20"/>
              </w:rPr>
              <w:t>11.1</w:t>
            </w:r>
          </w:p>
        </w:tc>
      </w:tr>
      <w:tr w:rsidR="001266F9" w:rsidRPr="001266F9" w14:paraId="6E70C2A5" w14:textId="77777777" w:rsidTr="001266F9">
        <w:trPr>
          <w:trHeight w:val="288"/>
        </w:trPr>
        <w:tc>
          <w:tcPr>
            <w:tcW w:w="2214" w:type="dxa"/>
            <w:tcBorders>
              <w:top w:val="nil"/>
              <w:left w:val="nil"/>
              <w:bottom w:val="nil"/>
              <w:right w:val="nil"/>
            </w:tcBorders>
            <w:shd w:val="clear" w:color="000000" w:fill="F2F2F2"/>
            <w:noWrap/>
            <w:vAlign w:val="center"/>
            <w:hideMark/>
          </w:tcPr>
          <w:p w14:paraId="59FBF48A" w14:textId="77777777" w:rsidR="001266F9" w:rsidRPr="001266F9" w:rsidRDefault="001266F9" w:rsidP="001266F9">
            <w:pPr>
              <w:spacing w:before="0" w:after="0" w:line="240" w:lineRule="auto"/>
              <w:rPr>
                <w:rFonts w:ascii="Arial" w:hAnsi="Arial" w:cs="Arial"/>
                <w:color w:val="000000"/>
                <w:szCs w:val="20"/>
              </w:rPr>
            </w:pPr>
            <w:r w:rsidRPr="001266F9">
              <w:rPr>
                <w:rFonts w:ascii="Arial" w:hAnsi="Arial" w:cs="Arial"/>
                <w:color w:val="000000"/>
                <w:szCs w:val="20"/>
              </w:rPr>
              <w:t>Fifth year or later</w:t>
            </w:r>
          </w:p>
        </w:tc>
        <w:tc>
          <w:tcPr>
            <w:tcW w:w="952" w:type="dxa"/>
            <w:tcBorders>
              <w:top w:val="nil"/>
              <w:left w:val="nil"/>
              <w:bottom w:val="nil"/>
              <w:right w:val="nil"/>
            </w:tcBorders>
            <w:shd w:val="clear" w:color="000000" w:fill="F2F2F2"/>
            <w:noWrap/>
            <w:vAlign w:val="center"/>
            <w:hideMark/>
          </w:tcPr>
          <w:p w14:paraId="31E12AE3" w14:textId="77777777" w:rsidR="001266F9" w:rsidRPr="001266F9" w:rsidRDefault="001266F9" w:rsidP="001266F9">
            <w:pPr>
              <w:spacing w:before="0" w:after="0" w:line="240" w:lineRule="auto"/>
              <w:jc w:val="right"/>
              <w:rPr>
                <w:rFonts w:ascii="Arial" w:hAnsi="Arial" w:cs="Arial"/>
                <w:color w:val="000000"/>
                <w:szCs w:val="20"/>
              </w:rPr>
            </w:pPr>
            <w:r w:rsidRPr="001266F9">
              <w:rPr>
                <w:rFonts w:ascii="Arial" w:hAnsi="Arial" w:cs="Arial"/>
                <w:color w:val="000000"/>
                <w:szCs w:val="20"/>
              </w:rPr>
              <w:t>3.0</w:t>
            </w:r>
          </w:p>
        </w:tc>
        <w:tc>
          <w:tcPr>
            <w:tcW w:w="1134" w:type="dxa"/>
            <w:tcBorders>
              <w:top w:val="nil"/>
              <w:left w:val="nil"/>
              <w:bottom w:val="nil"/>
              <w:right w:val="nil"/>
            </w:tcBorders>
            <w:shd w:val="clear" w:color="000000" w:fill="F2F2F2"/>
            <w:noWrap/>
            <w:vAlign w:val="center"/>
            <w:hideMark/>
          </w:tcPr>
          <w:p w14:paraId="2637130B" w14:textId="77777777" w:rsidR="001266F9" w:rsidRPr="001266F9" w:rsidRDefault="001266F9" w:rsidP="001266F9">
            <w:pPr>
              <w:spacing w:before="0" w:after="0" w:line="240" w:lineRule="auto"/>
              <w:jc w:val="right"/>
              <w:rPr>
                <w:rFonts w:ascii="Arial" w:hAnsi="Arial" w:cs="Arial"/>
                <w:color w:val="000000"/>
                <w:szCs w:val="20"/>
              </w:rPr>
            </w:pPr>
            <w:r w:rsidRPr="001266F9">
              <w:rPr>
                <w:rFonts w:ascii="Arial" w:hAnsi="Arial" w:cs="Arial"/>
                <w:color w:val="000000"/>
                <w:szCs w:val="20"/>
              </w:rPr>
              <w:t>0.0</w:t>
            </w:r>
          </w:p>
        </w:tc>
        <w:tc>
          <w:tcPr>
            <w:tcW w:w="952" w:type="dxa"/>
            <w:tcBorders>
              <w:top w:val="nil"/>
              <w:left w:val="nil"/>
              <w:bottom w:val="nil"/>
              <w:right w:val="nil"/>
            </w:tcBorders>
            <w:shd w:val="clear" w:color="000000" w:fill="F2F2F2"/>
            <w:noWrap/>
            <w:vAlign w:val="center"/>
            <w:hideMark/>
          </w:tcPr>
          <w:p w14:paraId="29E258E6" w14:textId="77777777" w:rsidR="001266F9" w:rsidRPr="001266F9" w:rsidRDefault="001266F9" w:rsidP="001266F9">
            <w:pPr>
              <w:spacing w:before="0" w:after="0" w:line="240" w:lineRule="auto"/>
              <w:jc w:val="right"/>
              <w:rPr>
                <w:rFonts w:ascii="Arial" w:hAnsi="Arial" w:cs="Arial"/>
                <w:color w:val="000000"/>
                <w:szCs w:val="20"/>
              </w:rPr>
            </w:pPr>
            <w:r w:rsidRPr="001266F9">
              <w:rPr>
                <w:rFonts w:ascii="Arial" w:hAnsi="Arial" w:cs="Arial"/>
                <w:color w:val="000000"/>
                <w:szCs w:val="20"/>
              </w:rPr>
              <w:t>1.1</w:t>
            </w:r>
          </w:p>
        </w:tc>
        <w:tc>
          <w:tcPr>
            <w:tcW w:w="952" w:type="dxa"/>
            <w:tcBorders>
              <w:top w:val="nil"/>
              <w:left w:val="nil"/>
              <w:bottom w:val="nil"/>
              <w:right w:val="nil"/>
            </w:tcBorders>
            <w:shd w:val="clear" w:color="000000" w:fill="F2F2F2"/>
            <w:noWrap/>
            <w:vAlign w:val="center"/>
            <w:hideMark/>
          </w:tcPr>
          <w:p w14:paraId="6B794977" w14:textId="77777777" w:rsidR="001266F9" w:rsidRPr="001266F9" w:rsidRDefault="001266F9" w:rsidP="001266F9">
            <w:pPr>
              <w:spacing w:before="0" w:after="0" w:line="240" w:lineRule="auto"/>
              <w:jc w:val="right"/>
              <w:rPr>
                <w:rFonts w:ascii="Arial" w:hAnsi="Arial" w:cs="Arial"/>
                <w:color w:val="000000"/>
                <w:szCs w:val="20"/>
              </w:rPr>
            </w:pPr>
            <w:r w:rsidRPr="001266F9">
              <w:rPr>
                <w:rFonts w:ascii="Arial" w:hAnsi="Arial" w:cs="Arial"/>
                <w:color w:val="000000"/>
                <w:szCs w:val="20"/>
              </w:rPr>
              <w:t>0.0</w:t>
            </w:r>
          </w:p>
        </w:tc>
        <w:tc>
          <w:tcPr>
            <w:tcW w:w="1134" w:type="dxa"/>
            <w:tcBorders>
              <w:top w:val="nil"/>
              <w:left w:val="nil"/>
              <w:bottom w:val="nil"/>
              <w:right w:val="nil"/>
            </w:tcBorders>
            <w:shd w:val="clear" w:color="000000" w:fill="F2F2F2"/>
            <w:noWrap/>
            <w:vAlign w:val="center"/>
            <w:hideMark/>
          </w:tcPr>
          <w:p w14:paraId="2704593C" w14:textId="77777777" w:rsidR="001266F9" w:rsidRPr="001266F9" w:rsidRDefault="001266F9" w:rsidP="001266F9">
            <w:pPr>
              <w:spacing w:before="0" w:after="0" w:line="240" w:lineRule="auto"/>
              <w:jc w:val="right"/>
              <w:rPr>
                <w:rFonts w:ascii="Arial" w:hAnsi="Arial" w:cs="Arial"/>
                <w:color w:val="000000"/>
                <w:szCs w:val="20"/>
              </w:rPr>
            </w:pPr>
            <w:r w:rsidRPr="001266F9">
              <w:rPr>
                <w:rFonts w:ascii="Arial" w:hAnsi="Arial" w:cs="Arial"/>
                <w:color w:val="000000"/>
                <w:szCs w:val="20"/>
              </w:rPr>
              <w:t>0.0</w:t>
            </w:r>
          </w:p>
        </w:tc>
        <w:tc>
          <w:tcPr>
            <w:tcW w:w="952" w:type="dxa"/>
            <w:tcBorders>
              <w:top w:val="nil"/>
              <w:left w:val="nil"/>
              <w:bottom w:val="nil"/>
              <w:right w:val="nil"/>
            </w:tcBorders>
            <w:shd w:val="clear" w:color="000000" w:fill="F2F2F2"/>
            <w:noWrap/>
            <w:vAlign w:val="center"/>
            <w:hideMark/>
          </w:tcPr>
          <w:p w14:paraId="6CE02823" w14:textId="77777777" w:rsidR="001266F9" w:rsidRPr="001266F9" w:rsidRDefault="001266F9" w:rsidP="001266F9">
            <w:pPr>
              <w:spacing w:before="0" w:after="0" w:line="240" w:lineRule="auto"/>
              <w:jc w:val="right"/>
              <w:rPr>
                <w:rFonts w:ascii="Arial" w:hAnsi="Arial" w:cs="Arial"/>
                <w:color w:val="000000"/>
                <w:szCs w:val="20"/>
              </w:rPr>
            </w:pPr>
            <w:r w:rsidRPr="001266F9">
              <w:rPr>
                <w:rFonts w:ascii="Arial" w:hAnsi="Arial" w:cs="Arial"/>
                <w:color w:val="000000"/>
                <w:szCs w:val="20"/>
              </w:rPr>
              <w:t>0.0</w:t>
            </w:r>
          </w:p>
        </w:tc>
      </w:tr>
    </w:tbl>
    <w:p w14:paraId="167311E1" w14:textId="77777777" w:rsidR="006E501B" w:rsidRDefault="006E501B" w:rsidP="00FC5859">
      <w:pPr>
        <w:rPr>
          <w:b/>
        </w:rPr>
      </w:pPr>
    </w:p>
    <w:p w14:paraId="3F4D7D7B" w14:textId="39F8BCE3" w:rsidR="00FC5859" w:rsidRPr="006E501B" w:rsidRDefault="00714821" w:rsidP="004A1EBF">
      <w:r w:rsidRPr="006E501B">
        <w:rPr>
          <w:b/>
        </w:rPr>
        <w:t>Likelihood of continuing with economics</w:t>
      </w:r>
      <w:r w:rsidRPr="006E501B">
        <w:t xml:space="preserve">: </w:t>
      </w:r>
      <w:r w:rsidR="00FC5859" w:rsidRPr="006E501B">
        <w:t>Respondents’ assessment of their likelihood of continuing with economics in both the treatment and control groups, however in most cases they fell by more for the control group (the exception is the likelihood of continuing with economics next year, Figure </w:t>
      </w:r>
      <w:r w:rsidR="00B64A14" w:rsidRPr="006E501B">
        <w:t>24</w:t>
      </w:r>
      <w:r w:rsidR="00FC5859" w:rsidRPr="006E501B">
        <w:t>). We are not confident these changes are attributable to the mentoring program, however, due to the high and differential non</w:t>
      </w:r>
      <w:r w:rsidR="00FC5859" w:rsidRPr="006E501B">
        <w:noBreakHyphen/>
        <w:t xml:space="preserve">response rates for the endline survey. </w:t>
      </w:r>
    </w:p>
    <w:p w14:paraId="1AD3A0F7" w14:textId="598D543F" w:rsidR="00FC5859" w:rsidRDefault="00BF743C" w:rsidP="00BF743C">
      <w:pPr>
        <w:pStyle w:val="FigureHeading"/>
        <w:numPr>
          <w:ilvl w:val="0"/>
          <w:numId w:val="0"/>
        </w:numPr>
        <w:ind w:left="1430" w:hanging="720"/>
      </w:pPr>
      <w:r>
        <w:t xml:space="preserve">Figure 28: </w:t>
      </w:r>
      <w:r w:rsidR="001266F9">
        <w:t>Average</w:t>
      </w:r>
      <w:r w:rsidR="00FC5859">
        <w:t xml:space="preserve"> likelihood of continuing economics</w:t>
      </w:r>
      <w:r w:rsidR="000059F8" w:rsidRPr="000059F8">
        <w:rPr>
          <w:b w:val="0"/>
        </w:rPr>
        <w:t xml:space="preserve"> (n=45)</w:t>
      </w:r>
    </w:p>
    <w:tbl>
      <w:tblPr>
        <w:tblW w:w="7300" w:type="dxa"/>
        <w:tblLook w:val="04A0" w:firstRow="1" w:lastRow="0" w:firstColumn="1" w:lastColumn="0" w:noHBand="0" w:noVBand="1"/>
        <w:tblCaption w:val="Figure 28: Average likelihood of continuing economics (n=45)"/>
      </w:tblPr>
      <w:tblGrid>
        <w:gridCol w:w="4025"/>
        <w:gridCol w:w="1040"/>
        <w:gridCol w:w="1040"/>
        <w:gridCol w:w="1195"/>
      </w:tblGrid>
      <w:tr w:rsidR="00FC5859" w:rsidRPr="00874203" w14:paraId="5881F3E2" w14:textId="77777777" w:rsidTr="00731CEB">
        <w:trPr>
          <w:trHeight w:val="288"/>
          <w:tblHeader/>
        </w:trPr>
        <w:tc>
          <w:tcPr>
            <w:tcW w:w="4025" w:type="dxa"/>
            <w:tcBorders>
              <w:top w:val="nil"/>
              <w:left w:val="nil"/>
              <w:bottom w:val="nil"/>
              <w:right w:val="nil"/>
            </w:tcBorders>
            <w:shd w:val="clear" w:color="000000" w:fill="142E3A"/>
            <w:noWrap/>
            <w:vAlign w:val="center"/>
            <w:hideMark/>
          </w:tcPr>
          <w:p w14:paraId="43D2EFEF" w14:textId="5513C4C4" w:rsidR="00FC5859" w:rsidRPr="00874203" w:rsidRDefault="00FC5859" w:rsidP="001266F9">
            <w:pPr>
              <w:keepNext/>
              <w:spacing w:before="0" w:after="0" w:line="240" w:lineRule="auto"/>
              <w:jc w:val="center"/>
              <w:rPr>
                <w:rFonts w:ascii="Arial" w:hAnsi="Arial" w:cs="Arial"/>
                <w:b/>
                <w:bCs/>
                <w:color w:val="FFFFFF"/>
                <w:szCs w:val="20"/>
              </w:rPr>
            </w:pPr>
          </w:p>
        </w:tc>
        <w:tc>
          <w:tcPr>
            <w:tcW w:w="1040" w:type="dxa"/>
            <w:tcBorders>
              <w:top w:val="nil"/>
              <w:left w:val="nil"/>
              <w:bottom w:val="nil"/>
              <w:right w:val="nil"/>
            </w:tcBorders>
            <w:shd w:val="clear" w:color="000000" w:fill="142E3A"/>
            <w:noWrap/>
            <w:vAlign w:val="center"/>
            <w:hideMark/>
          </w:tcPr>
          <w:p w14:paraId="0E4B7340" w14:textId="77777777" w:rsidR="00FC5859" w:rsidRPr="00874203" w:rsidRDefault="00FC5859" w:rsidP="001266F9">
            <w:pPr>
              <w:keepNext/>
              <w:spacing w:before="0" w:after="0" w:line="240" w:lineRule="auto"/>
              <w:jc w:val="center"/>
              <w:rPr>
                <w:rFonts w:ascii="Arial" w:hAnsi="Arial" w:cs="Arial"/>
                <w:b/>
                <w:bCs/>
                <w:color w:val="FFFFFF"/>
                <w:szCs w:val="20"/>
              </w:rPr>
            </w:pPr>
            <w:r w:rsidRPr="00874203">
              <w:rPr>
                <w:rFonts w:ascii="Arial" w:hAnsi="Arial" w:cs="Arial"/>
                <w:b/>
                <w:bCs/>
                <w:color w:val="FFFFFF"/>
                <w:szCs w:val="20"/>
              </w:rPr>
              <w:t>Baseline</w:t>
            </w:r>
          </w:p>
        </w:tc>
        <w:tc>
          <w:tcPr>
            <w:tcW w:w="1040" w:type="dxa"/>
            <w:tcBorders>
              <w:top w:val="nil"/>
              <w:left w:val="nil"/>
              <w:bottom w:val="nil"/>
              <w:right w:val="nil"/>
            </w:tcBorders>
            <w:shd w:val="clear" w:color="000000" w:fill="142E3A"/>
            <w:noWrap/>
            <w:vAlign w:val="center"/>
            <w:hideMark/>
          </w:tcPr>
          <w:p w14:paraId="7F912667" w14:textId="77777777" w:rsidR="00FC5859" w:rsidRPr="00874203" w:rsidRDefault="00FC5859" w:rsidP="001266F9">
            <w:pPr>
              <w:keepNext/>
              <w:spacing w:before="0" w:after="0" w:line="240" w:lineRule="auto"/>
              <w:jc w:val="center"/>
              <w:rPr>
                <w:rFonts w:ascii="Arial" w:hAnsi="Arial" w:cs="Arial"/>
                <w:b/>
                <w:bCs/>
                <w:color w:val="FFFFFF"/>
                <w:szCs w:val="20"/>
              </w:rPr>
            </w:pPr>
            <w:r w:rsidRPr="00874203">
              <w:rPr>
                <w:rFonts w:ascii="Arial" w:hAnsi="Arial" w:cs="Arial"/>
                <w:b/>
                <w:bCs/>
                <w:color w:val="FFFFFF"/>
                <w:szCs w:val="20"/>
              </w:rPr>
              <w:t>Endline</w:t>
            </w:r>
          </w:p>
        </w:tc>
        <w:tc>
          <w:tcPr>
            <w:tcW w:w="1195" w:type="dxa"/>
            <w:tcBorders>
              <w:top w:val="nil"/>
              <w:left w:val="nil"/>
              <w:bottom w:val="nil"/>
              <w:right w:val="nil"/>
            </w:tcBorders>
            <w:shd w:val="clear" w:color="000000" w:fill="142E3A"/>
            <w:noWrap/>
            <w:vAlign w:val="center"/>
            <w:hideMark/>
          </w:tcPr>
          <w:p w14:paraId="7E7B3A8B" w14:textId="77777777" w:rsidR="00FC5859" w:rsidRPr="00874203" w:rsidRDefault="00FC5859" w:rsidP="001266F9">
            <w:pPr>
              <w:keepNext/>
              <w:spacing w:before="0" w:after="0" w:line="240" w:lineRule="auto"/>
              <w:jc w:val="center"/>
              <w:rPr>
                <w:rFonts w:ascii="Arial" w:hAnsi="Arial" w:cs="Arial"/>
                <w:b/>
                <w:bCs/>
                <w:color w:val="FFFFFF"/>
                <w:szCs w:val="20"/>
              </w:rPr>
            </w:pPr>
            <w:r w:rsidRPr="00874203">
              <w:rPr>
                <w:rFonts w:ascii="Arial" w:hAnsi="Arial" w:cs="Arial"/>
                <w:b/>
                <w:bCs/>
                <w:color w:val="FFFFFF"/>
                <w:szCs w:val="20"/>
              </w:rPr>
              <w:t>Difference</w:t>
            </w:r>
          </w:p>
        </w:tc>
      </w:tr>
      <w:tr w:rsidR="00FC5859" w:rsidRPr="00874203" w14:paraId="40A2D39F" w14:textId="77777777" w:rsidTr="00731CEB">
        <w:trPr>
          <w:trHeight w:val="288"/>
          <w:tblHeader/>
        </w:trPr>
        <w:tc>
          <w:tcPr>
            <w:tcW w:w="4025" w:type="dxa"/>
            <w:tcBorders>
              <w:top w:val="nil"/>
              <w:left w:val="nil"/>
              <w:bottom w:val="nil"/>
              <w:right w:val="nil"/>
            </w:tcBorders>
            <w:shd w:val="clear" w:color="000000" w:fill="142E3A"/>
            <w:noWrap/>
            <w:vAlign w:val="center"/>
            <w:hideMark/>
          </w:tcPr>
          <w:p w14:paraId="0C761C04" w14:textId="1824D2A4" w:rsidR="00FC5859" w:rsidRPr="00874203" w:rsidRDefault="00FC5859" w:rsidP="001266F9">
            <w:pPr>
              <w:keepNext/>
              <w:spacing w:before="0" w:after="0" w:line="240" w:lineRule="auto"/>
              <w:rPr>
                <w:rFonts w:ascii="Arial" w:hAnsi="Arial" w:cs="Arial"/>
                <w:color w:val="FFFFFF"/>
                <w:szCs w:val="20"/>
              </w:rPr>
            </w:pPr>
          </w:p>
        </w:tc>
        <w:tc>
          <w:tcPr>
            <w:tcW w:w="1040" w:type="dxa"/>
            <w:tcBorders>
              <w:top w:val="nil"/>
              <w:left w:val="nil"/>
              <w:bottom w:val="nil"/>
              <w:right w:val="nil"/>
            </w:tcBorders>
            <w:shd w:val="clear" w:color="000000" w:fill="142E3A"/>
            <w:noWrap/>
            <w:vAlign w:val="center"/>
            <w:hideMark/>
          </w:tcPr>
          <w:p w14:paraId="2A1D830C" w14:textId="77777777" w:rsidR="00FC5859" w:rsidRPr="00874203" w:rsidRDefault="00FC5859" w:rsidP="001266F9">
            <w:pPr>
              <w:keepNext/>
              <w:spacing w:before="0" w:after="0" w:line="240" w:lineRule="auto"/>
              <w:jc w:val="center"/>
              <w:rPr>
                <w:rFonts w:ascii="Arial" w:hAnsi="Arial" w:cs="Arial"/>
                <w:color w:val="FFFFFF"/>
                <w:szCs w:val="20"/>
              </w:rPr>
            </w:pPr>
            <w:r w:rsidRPr="00874203">
              <w:rPr>
                <w:rFonts w:ascii="Arial" w:hAnsi="Arial" w:cs="Arial"/>
                <w:color w:val="FFFFFF"/>
                <w:szCs w:val="20"/>
              </w:rPr>
              <w:t>mean</w:t>
            </w:r>
          </w:p>
        </w:tc>
        <w:tc>
          <w:tcPr>
            <w:tcW w:w="1040" w:type="dxa"/>
            <w:tcBorders>
              <w:top w:val="nil"/>
              <w:left w:val="nil"/>
              <w:bottom w:val="nil"/>
              <w:right w:val="nil"/>
            </w:tcBorders>
            <w:shd w:val="clear" w:color="000000" w:fill="142E3A"/>
            <w:noWrap/>
            <w:vAlign w:val="center"/>
            <w:hideMark/>
          </w:tcPr>
          <w:p w14:paraId="493922AC" w14:textId="77777777" w:rsidR="00FC5859" w:rsidRPr="00874203" w:rsidRDefault="00FC5859" w:rsidP="001266F9">
            <w:pPr>
              <w:keepNext/>
              <w:spacing w:before="0" w:after="0" w:line="240" w:lineRule="auto"/>
              <w:jc w:val="center"/>
              <w:rPr>
                <w:rFonts w:ascii="Arial" w:hAnsi="Arial" w:cs="Arial"/>
                <w:color w:val="FFFFFF"/>
                <w:szCs w:val="20"/>
              </w:rPr>
            </w:pPr>
            <w:r w:rsidRPr="00874203">
              <w:rPr>
                <w:rFonts w:ascii="Arial" w:hAnsi="Arial" w:cs="Arial"/>
                <w:color w:val="FFFFFF"/>
                <w:szCs w:val="20"/>
              </w:rPr>
              <w:t>mean</w:t>
            </w:r>
          </w:p>
        </w:tc>
        <w:tc>
          <w:tcPr>
            <w:tcW w:w="1195" w:type="dxa"/>
            <w:tcBorders>
              <w:top w:val="nil"/>
              <w:left w:val="nil"/>
              <w:bottom w:val="nil"/>
              <w:right w:val="nil"/>
            </w:tcBorders>
            <w:shd w:val="clear" w:color="000000" w:fill="142E3A"/>
            <w:noWrap/>
            <w:vAlign w:val="center"/>
            <w:hideMark/>
          </w:tcPr>
          <w:p w14:paraId="2FF40CFB" w14:textId="152290EE" w:rsidR="00FC5859" w:rsidRPr="00874203" w:rsidRDefault="00FC5859" w:rsidP="001266F9">
            <w:pPr>
              <w:keepNext/>
              <w:spacing w:before="0" w:after="0" w:line="240" w:lineRule="auto"/>
              <w:jc w:val="center"/>
              <w:rPr>
                <w:rFonts w:ascii="Arial" w:hAnsi="Arial" w:cs="Arial"/>
                <w:color w:val="FFFFFF"/>
                <w:szCs w:val="20"/>
              </w:rPr>
            </w:pPr>
          </w:p>
        </w:tc>
      </w:tr>
      <w:tr w:rsidR="00FC5859" w:rsidRPr="00874203" w14:paraId="7E57D0CF" w14:textId="77777777" w:rsidTr="001266F9">
        <w:trPr>
          <w:trHeight w:val="288"/>
        </w:trPr>
        <w:tc>
          <w:tcPr>
            <w:tcW w:w="4025" w:type="dxa"/>
            <w:tcBorders>
              <w:top w:val="nil"/>
              <w:left w:val="nil"/>
              <w:bottom w:val="nil"/>
              <w:right w:val="nil"/>
            </w:tcBorders>
            <w:shd w:val="clear" w:color="000000" w:fill="F2F2F2"/>
            <w:noWrap/>
            <w:vAlign w:val="center"/>
            <w:hideMark/>
          </w:tcPr>
          <w:p w14:paraId="419D5DD1" w14:textId="77777777" w:rsidR="00FC5859" w:rsidRPr="00874203" w:rsidRDefault="00FC5859" w:rsidP="001266F9">
            <w:pPr>
              <w:keepNext/>
              <w:spacing w:before="0" w:after="0" w:line="240" w:lineRule="auto"/>
              <w:rPr>
                <w:rFonts w:ascii="Arial" w:hAnsi="Arial" w:cs="Arial"/>
                <w:b/>
                <w:bCs/>
                <w:color w:val="000000"/>
                <w:szCs w:val="20"/>
              </w:rPr>
            </w:pPr>
            <w:r w:rsidRPr="00874203">
              <w:rPr>
                <w:rFonts w:ascii="Arial" w:hAnsi="Arial" w:cs="Arial"/>
                <w:b/>
                <w:bCs/>
                <w:color w:val="000000"/>
                <w:szCs w:val="20"/>
              </w:rPr>
              <w:t>Continue studying economics next year</w:t>
            </w:r>
          </w:p>
        </w:tc>
        <w:tc>
          <w:tcPr>
            <w:tcW w:w="1040" w:type="dxa"/>
            <w:tcBorders>
              <w:top w:val="nil"/>
              <w:left w:val="nil"/>
              <w:bottom w:val="nil"/>
              <w:right w:val="nil"/>
            </w:tcBorders>
            <w:shd w:val="clear" w:color="000000" w:fill="F2F2F2"/>
            <w:vAlign w:val="center"/>
          </w:tcPr>
          <w:p w14:paraId="4D24F9B6" w14:textId="77777777" w:rsidR="00FC5859" w:rsidRPr="00874203" w:rsidRDefault="00FC5859" w:rsidP="001266F9">
            <w:pPr>
              <w:keepNext/>
              <w:spacing w:before="0" w:after="0" w:line="240" w:lineRule="auto"/>
              <w:rPr>
                <w:rFonts w:ascii="Arial" w:hAnsi="Arial" w:cs="Arial"/>
                <w:b/>
                <w:bCs/>
                <w:color w:val="000000"/>
                <w:szCs w:val="20"/>
              </w:rPr>
            </w:pPr>
          </w:p>
        </w:tc>
        <w:tc>
          <w:tcPr>
            <w:tcW w:w="1040" w:type="dxa"/>
            <w:tcBorders>
              <w:top w:val="nil"/>
              <w:left w:val="nil"/>
              <w:bottom w:val="nil"/>
              <w:right w:val="nil"/>
            </w:tcBorders>
            <w:shd w:val="clear" w:color="000000" w:fill="F2F2F2"/>
            <w:noWrap/>
            <w:vAlign w:val="center"/>
            <w:hideMark/>
          </w:tcPr>
          <w:p w14:paraId="1E8C8C58" w14:textId="1CC3061A" w:rsidR="00FC5859" w:rsidRPr="00874203" w:rsidRDefault="00FC5859" w:rsidP="001266F9">
            <w:pPr>
              <w:keepNext/>
              <w:spacing w:before="0" w:after="0" w:line="240" w:lineRule="auto"/>
              <w:rPr>
                <w:rFonts w:ascii="Arial" w:hAnsi="Arial" w:cs="Arial"/>
                <w:b/>
                <w:bCs/>
                <w:color w:val="000000"/>
                <w:szCs w:val="20"/>
              </w:rPr>
            </w:pPr>
          </w:p>
        </w:tc>
        <w:tc>
          <w:tcPr>
            <w:tcW w:w="1195" w:type="dxa"/>
            <w:tcBorders>
              <w:top w:val="nil"/>
              <w:left w:val="nil"/>
              <w:bottom w:val="nil"/>
              <w:right w:val="nil"/>
            </w:tcBorders>
            <w:shd w:val="clear" w:color="000000" w:fill="F2F2F2"/>
            <w:noWrap/>
            <w:vAlign w:val="center"/>
            <w:hideMark/>
          </w:tcPr>
          <w:p w14:paraId="10F0BB8D" w14:textId="633373C4" w:rsidR="00FC5859" w:rsidRPr="00874203" w:rsidRDefault="00FC5859" w:rsidP="001266F9">
            <w:pPr>
              <w:keepNext/>
              <w:spacing w:before="0" w:after="0" w:line="240" w:lineRule="auto"/>
              <w:rPr>
                <w:rFonts w:ascii="Arial" w:hAnsi="Arial" w:cs="Arial"/>
                <w:b/>
                <w:bCs/>
                <w:color w:val="000000"/>
                <w:szCs w:val="20"/>
              </w:rPr>
            </w:pPr>
          </w:p>
        </w:tc>
      </w:tr>
      <w:tr w:rsidR="00FC5859" w:rsidRPr="00874203" w14:paraId="4031A28D" w14:textId="77777777" w:rsidTr="001266F9">
        <w:trPr>
          <w:trHeight w:val="288"/>
        </w:trPr>
        <w:tc>
          <w:tcPr>
            <w:tcW w:w="4025" w:type="dxa"/>
            <w:tcBorders>
              <w:top w:val="nil"/>
              <w:left w:val="nil"/>
              <w:bottom w:val="nil"/>
              <w:right w:val="nil"/>
            </w:tcBorders>
            <w:shd w:val="clear" w:color="000000" w:fill="F2F2F2"/>
            <w:noWrap/>
            <w:vAlign w:val="center"/>
            <w:hideMark/>
          </w:tcPr>
          <w:p w14:paraId="09F28512" w14:textId="77777777" w:rsidR="00FC5859" w:rsidRPr="00874203" w:rsidRDefault="00FC5859" w:rsidP="001266F9">
            <w:pPr>
              <w:keepNext/>
              <w:spacing w:before="0" w:after="0" w:line="240" w:lineRule="auto"/>
              <w:rPr>
                <w:rFonts w:ascii="Arial" w:hAnsi="Arial" w:cs="Arial"/>
                <w:color w:val="000000"/>
                <w:szCs w:val="20"/>
              </w:rPr>
            </w:pPr>
            <w:r w:rsidRPr="00874203">
              <w:rPr>
                <w:rFonts w:ascii="Arial" w:hAnsi="Arial" w:cs="Arial"/>
                <w:color w:val="000000"/>
                <w:szCs w:val="20"/>
              </w:rPr>
              <w:t>Control</w:t>
            </w:r>
          </w:p>
        </w:tc>
        <w:tc>
          <w:tcPr>
            <w:tcW w:w="1040" w:type="dxa"/>
            <w:tcBorders>
              <w:top w:val="nil"/>
              <w:left w:val="nil"/>
              <w:bottom w:val="nil"/>
              <w:right w:val="nil"/>
            </w:tcBorders>
            <w:shd w:val="clear" w:color="000000" w:fill="F2F2F2"/>
            <w:noWrap/>
            <w:vAlign w:val="center"/>
            <w:hideMark/>
          </w:tcPr>
          <w:p w14:paraId="37E7BE5C"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4.8</w:t>
            </w:r>
          </w:p>
        </w:tc>
        <w:tc>
          <w:tcPr>
            <w:tcW w:w="1040" w:type="dxa"/>
            <w:tcBorders>
              <w:top w:val="nil"/>
              <w:left w:val="nil"/>
              <w:bottom w:val="nil"/>
              <w:right w:val="nil"/>
            </w:tcBorders>
            <w:shd w:val="clear" w:color="000000" w:fill="F2F2F2"/>
            <w:noWrap/>
            <w:vAlign w:val="center"/>
            <w:hideMark/>
          </w:tcPr>
          <w:p w14:paraId="507E9973"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4.4</w:t>
            </w:r>
          </w:p>
        </w:tc>
        <w:tc>
          <w:tcPr>
            <w:tcW w:w="1195" w:type="dxa"/>
            <w:tcBorders>
              <w:top w:val="nil"/>
              <w:left w:val="nil"/>
              <w:bottom w:val="nil"/>
              <w:right w:val="nil"/>
            </w:tcBorders>
            <w:shd w:val="clear" w:color="000000" w:fill="F2F2F2"/>
            <w:noWrap/>
            <w:vAlign w:val="center"/>
            <w:hideMark/>
          </w:tcPr>
          <w:p w14:paraId="23D1BC4D"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-0.4</w:t>
            </w:r>
          </w:p>
        </w:tc>
      </w:tr>
      <w:tr w:rsidR="00FC5859" w:rsidRPr="00874203" w14:paraId="09243621" w14:textId="77777777" w:rsidTr="001266F9">
        <w:trPr>
          <w:trHeight w:val="288"/>
        </w:trPr>
        <w:tc>
          <w:tcPr>
            <w:tcW w:w="4025" w:type="dxa"/>
            <w:tcBorders>
              <w:top w:val="nil"/>
              <w:left w:val="nil"/>
              <w:bottom w:val="nil"/>
              <w:right w:val="nil"/>
            </w:tcBorders>
            <w:shd w:val="clear" w:color="000000" w:fill="F2F2F2"/>
            <w:noWrap/>
            <w:vAlign w:val="center"/>
            <w:hideMark/>
          </w:tcPr>
          <w:p w14:paraId="4B35C720" w14:textId="77777777" w:rsidR="00FC5859" w:rsidRPr="00874203" w:rsidRDefault="00FC5859" w:rsidP="001266F9">
            <w:pPr>
              <w:keepNext/>
              <w:spacing w:before="0" w:after="0" w:line="240" w:lineRule="auto"/>
              <w:rPr>
                <w:rFonts w:ascii="Arial" w:hAnsi="Arial" w:cs="Arial"/>
                <w:color w:val="000000"/>
                <w:szCs w:val="20"/>
              </w:rPr>
            </w:pPr>
            <w:r w:rsidRPr="00874203">
              <w:rPr>
                <w:rFonts w:ascii="Arial" w:hAnsi="Arial" w:cs="Arial"/>
                <w:color w:val="000000"/>
                <w:szCs w:val="20"/>
              </w:rPr>
              <w:t>Treatment</w:t>
            </w:r>
          </w:p>
        </w:tc>
        <w:tc>
          <w:tcPr>
            <w:tcW w:w="1040" w:type="dxa"/>
            <w:tcBorders>
              <w:top w:val="nil"/>
              <w:left w:val="nil"/>
              <w:bottom w:val="nil"/>
              <w:right w:val="nil"/>
            </w:tcBorders>
            <w:shd w:val="clear" w:color="000000" w:fill="F2F2F2"/>
            <w:noWrap/>
            <w:vAlign w:val="center"/>
            <w:hideMark/>
          </w:tcPr>
          <w:p w14:paraId="6924F089"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5.0</w:t>
            </w:r>
          </w:p>
        </w:tc>
        <w:tc>
          <w:tcPr>
            <w:tcW w:w="1040" w:type="dxa"/>
            <w:tcBorders>
              <w:top w:val="nil"/>
              <w:left w:val="nil"/>
              <w:bottom w:val="nil"/>
              <w:right w:val="nil"/>
            </w:tcBorders>
            <w:shd w:val="clear" w:color="000000" w:fill="F2F2F2"/>
            <w:noWrap/>
            <w:vAlign w:val="center"/>
            <w:hideMark/>
          </w:tcPr>
          <w:p w14:paraId="492CB6C6"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4.5</w:t>
            </w:r>
          </w:p>
        </w:tc>
        <w:tc>
          <w:tcPr>
            <w:tcW w:w="1195" w:type="dxa"/>
            <w:tcBorders>
              <w:top w:val="nil"/>
              <w:left w:val="nil"/>
              <w:bottom w:val="nil"/>
              <w:right w:val="nil"/>
            </w:tcBorders>
            <w:shd w:val="clear" w:color="000000" w:fill="F2F2F2"/>
            <w:noWrap/>
            <w:vAlign w:val="center"/>
            <w:hideMark/>
          </w:tcPr>
          <w:p w14:paraId="536C9F32"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-0.5</w:t>
            </w:r>
          </w:p>
        </w:tc>
      </w:tr>
      <w:tr w:rsidR="00FC5859" w:rsidRPr="00874203" w14:paraId="53E64D10" w14:textId="77777777" w:rsidTr="001266F9">
        <w:trPr>
          <w:trHeight w:val="288"/>
        </w:trPr>
        <w:tc>
          <w:tcPr>
            <w:tcW w:w="4025" w:type="dxa"/>
            <w:tcBorders>
              <w:top w:val="nil"/>
              <w:left w:val="nil"/>
              <w:bottom w:val="nil"/>
              <w:right w:val="nil"/>
            </w:tcBorders>
            <w:shd w:val="clear" w:color="000000" w:fill="F2F2F2"/>
            <w:noWrap/>
            <w:vAlign w:val="center"/>
            <w:hideMark/>
          </w:tcPr>
          <w:p w14:paraId="4D3D5838" w14:textId="77777777" w:rsidR="00FC5859" w:rsidRPr="00874203" w:rsidRDefault="00FC5859" w:rsidP="001266F9">
            <w:pPr>
              <w:keepNext/>
              <w:spacing w:before="0" w:after="0" w:line="240" w:lineRule="auto"/>
              <w:rPr>
                <w:rFonts w:ascii="Arial" w:hAnsi="Arial" w:cs="Arial"/>
                <w:b/>
                <w:bCs/>
                <w:color w:val="000000"/>
                <w:szCs w:val="20"/>
              </w:rPr>
            </w:pPr>
            <w:r w:rsidRPr="00874203">
              <w:rPr>
                <w:rFonts w:ascii="Arial" w:hAnsi="Arial" w:cs="Arial"/>
                <w:b/>
                <w:bCs/>
                <w:color w:val="000000"/>
                <w:szCs w:val="20"/>
              </w:rPr>
              <w:t>Complete an economics major</w:t>
            </w:r>
          </w:p>
        </w:tc>
        <w:tc>
          <w:tcPr>
            <w:tcW w:w="1040" w:type="dxa"/>
            <w:tcBorders>
              <w:top w:val="nil"/>
              <w:left w:val="nil"/>
              <w:bottom w:val="nil"/>
              <w:right w:val="nil"/>
            </w:tcBorders>
            <w:shd w:val="clear" w:color="000000" w:fill="F2F2F2"/>
            <w:vAlign w:val="center"/>
          </w:tcPr>
          <w:p w14:paraId="456E3A14" w14:textId="77777777" w:rsidR="00FC5859" w:rsidRPr="00874203" w:rsidRDefault="00FC5859" w:rsidP="001266F9">
            <w:pPr>
              <w:keepNext/>
              <w:spacing w:before="0" w:after="0" w:line="240" w:lineRule="auto"/>
              <w:rPr>
                <w:rFonts w:ascii="Arial" w:hAnsi="Arial" w:cs="Arial"/>
                <w:b/>
                <w:bCs/>
                <w:color w:val="000000"/>
                <w:szCs w:val="20"/>
              </w:rPr>
            </w:pPr>
          </w:p>
        </w:tc>
        <w:tc>
          <w:tcPr>
            <w:tcW w:w="1040" w:type="dxa"/>
            <w:tcBorders>
              <w:top w:val="nil"/>
              <w:left w:val="nil"/>
              <w:bottom w:val="nil"/>
              <w:right w:val="nil"/>
            </w:tcBorders>
            <w:shd w:val="clear" w:color="000000" w:fill="F2F2F2"/>
            <w:noWrap/>
            <w:vAlign w:val="center"/>
            <w:hideMark/>
          </w:tcPr>
          <w:p w14:paraId="30B6F406" w14:textId="5B0F77F7" w:rsidR="00FC5859" w:rsidRPr="00874203" w:rsidRDefault="00FC5859" w:rsidP="001266F9">
            <w:pPr>
              <w:keepNext/>
              <w:spacing w:before="0" w:after="0" w:line="240" w:lineRule="auto"/>
              <w:rPr>
                <w:rFonts w:ascii="Arial" w:hAnsi="Arial" w:cs="Arial"/>
                <w:b/>
                <w:bCs/>
                <w:color w:val="000000"/>
                <w:szCs w:val="20"/>
              </w:rPr>
            </w:pPr>
          </w:p>
        </w:tc>
        <w:tc>
          <w:tcPr>
            <w:tcW w:w="1195" w:type="dxa"/>
            <w:tcBorders>
              <w:top w:val="nil"/>
              <w:left w:val="nil"/>
              <w:bottom w:val="nil"/>
              <w:right w:val="nil"/>
            </w:tcBorders>
            <w:shd w:val="clear" w:color="000000" w:fill="F2F2F2"/>
            <w:noWrap/>
            <w:vAlign w:val="center"/>
            <w:hideMark/>
          </w:tcPr>
          <w:p w14:paraId="75BC4D16" w14:textId="10F96D5C" w:rsidR="00FC5859" w:rsidRPr="00874203" w:rsidRDefault="00FC5859" w:rsidP="001266F9">
            <w:pPr>
              <w:keepNext/>
              <w:spacing w:before="0" w:after="0" w:line="240" w:lineRule="auto"/>
              <w:rPr>
                <w:rFonts w:ascii="Arial" w:hAnsi="Arial" w:cs="Arial"/>
                <w:b/>
                <w:bCs/>
                <w:color w:val="000000"/>
                <w:szCs w:val="20"/>
              </w:rPr>
            </w:pPr>
          </w:p>
        </w:tc>
      </w:tr>
      <w:tr w:rsidR="00FC5859" w:rsidRPr="00874203" w14:paraId="10482D79" w14:textId="77777777" w:rsidTr="001266F9">
        <w:trPr>
          <w:trHeight w:val="288"/>
        </w:trPr>
        <w:tc>
          <w:tcPr>
            <w:tcW w:w="4025" w:type="dxa"/>
            <w:tcBorders>
              <w:top w:val="nil"/>
              <w:left w:val="nil"/>
              <w:bottom w:val="nil"/>
              <w:right w:val="nil"/>
            </w:tcBorders>
            <w:shd w:val="clear" w:color="000000" w:fill="F2F2F2"/>
            <w:noWrap/>
            <w:vAlign w:val="center"/>
            <w:hideMark/>
          </w:tcPr>
          <w:p w14:paraId="45273342" w14:textId="77777777" w:rsidR="00FC5859" w:rsidRPr="00874203" w:rsidRDefault="00FC5859" w:rsidP="001266F9">
            <w:pPr>
              <w:keepNext/>
              <w:spacing w:before="0" w:after="0" w:line="240" w:lineRule="auto"/>
              <w:rPr>
                <w:rFonts w:ascii="Arial" w:hAnsi="Arial" w:cs="Arial"/>
                <w:color w:val="000000"/>
                <w:szCs w:val="20"/>
              </w:rPr>
            </w:pPr>
            <w:r w:rsidRPr="00874203">
              <w:rPr>
                <w:rFonts w:ascii="Arial" w:hAnsi="Arial" w:cs="Arial"/>
                <w:color w:val="000000"/>
                <w:szCs w:val="20"/>
              </w:rPr>
              <w:t>Control</w:t>
            </w:r>
          </w:p>
        </w:tc>
        <w:tc>
          <w:tcPr>
            <w:tcW w:w="1040" w:type="dxa"/>
            <w:tcBorders>
              <w:top w:val="nil"/>
              <w:left w:val="nil"/>
              <w:bottom w:val="nil"/>
              <w:right w:val="nil"/>
            </w:tcBorders>
            <w:shd w:val="clear" w:color="000000" w:fill="F2F2F2"/>
            <w:noWrap/>
            <w:vAlign w:val="center"/>
            <w:hideMark/>
          </w:tcPr>
          <w:p w14:paraId="0BE639A8"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4.7</w:t>
            </w:r>
          </w:p>
        </w:tc>
        <w:tc>
          <w:tcPr>
            <w:tcW w:w="1040" w:type="dxa"/>
            <w:tcBorders>
              <w:top w:val="nil"/>
              <w:left w:val="nil"/>
              <w:bottom w:val="nil"/>
              <w:right w:val="nil"/>
            </w:tcBorders>
            <w:shd w:val="clear" w:color="000000" w:fill="F2F2F2"/>
            <w:noWrap/>
            <w:vAlign w:val="center"/>
            <w:hideMark/>
          </w:tcPr>
          <w:p w14:paraId="1A3E8ADF"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4.1</w:t>
            </w:r>
          </w:p>
        </w:tc>
        <w:tc>
          <w:tcPr>
            <w:tcW w:w="1195" w:type="dxa"/>
            <w:tcBorders>
              <w:top w:val="nil"/>
              <w:left w:val="nil"/>
              <w:bottom w:val="nil"/>
              <w:right w:val="nil"/>
            </w:tcBorders>
            <w:shd w:val="clear" w:color="000000" w:fill="F2F2F2"/>
            <w:noWrap/>
            <w:vAlign w:val="center"/>
            <w:hideMark/>
          </w:tcPr>
          <w:p w14:paraId="6C624043"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-0.6</w:t>
            </w:r>
          </w:p>
        </w:tc>
      </w:tr>
      <w:tr w:rsidR="00FC5859" w:rsidRPr="00874203" w14:paraId="48247B5C" w14:textId="77777777" w:rsidTr="001266F9">
        <w:trPr>
          <w:trHeight w:val="288"/>
        </w:trPr>
        <w:tc>
          <w:tcPr>
            <w:tcW w:w="4025" w:type="dxa"/>
            <w:tcBorders>
              <w:top w:val="nil"/>
              <w:left w:val="nil"/>
              <w:bottom w:val="nil"/>
              <w:right w:val="nil"/>
            </w:tcBorders>
            <w:shd w:val="clear" w:color="000000" w:fill="F2F2F2"/>
            <w:noWrap/>
            <w:vAlign w:val="center"/>
            <w:hideMark/>
          </w:tcPr>
          <w:p w14:paraId="3C053A6C" w14:textId="77777777" w:rsidR="00FC5859" w:rsidRPr="00874203" w:rsidRDefault="00FC5859" w:rsidP="001266F9">
            <w:pPr>
              <w:keepNext/>
              <w:spacing w:before="0" w:after="0" w:line="240" w:lineRule="auto"/>
              <w:rPr>
                <w:rFonts w:ascii="Arial" w:hAnsi="Arial" w:cs="Arial"/>
                <w:color w:val="000000"/>
                <w:szCs w:val="20"/>
              </w:rPr>
            </w:pPr>
            <w:r w:rsidRPr="00874203">
              <w:rPr>
                <w:rFonts w:ascii="Arial" w:hAnsi="Arial" w:cs="Arial"/>
                <w:color w:val="000000"/>
                <w:szCs w:val="20"/>
              </w:rPr>
              <w:t>Treatment</w:t>
            </w:r>
          </w:p>
        </w:tc>
        <w:tc>
          <w:tcPr>
            <w:tcW w:w="1040" w:type="dxa"/>
            <w:tcBorders>
              <w:top w:val="nil"/>
              <w:left w:val="nil"/>
              <w:bottom w:val="nil"/>
              <w:right w:val="nil"/>
            </w:tcBorders>
            <w:shd w:val="clear" w:color="000000" w:fill="F2F2F2"/>
            <w:noWrap/>
            <w:vAlign w:val="center"/>
            <w:hideMark/>
          </w:tcPr>
          <w:p w14:paraId="2F9F154E"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4.4</w:t>
            </w:r>
          </w:p>
        </w:tc>
        <w:tc>
          <w:tcPr>
            <w:tcW w:w="1040" w:type="dxa"/>
            <w:tcBorders>
              <w:top w:val="nil"/>
              <w:left w:val="nil"/>
              <w:bottom w:val="nil"/>
              <w:right w:val="nil"/>
            </w:tcBorders>
            <w:shd w:val="clear" w:color="000000" w:fill="F2F2F2"/>
            <w:noWrap/>
            <w:vAlign w:val="center"/>
            <w:hideMark/>
          </w:tcPr>
          <w:p w14:paraId="05012389"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3.9</w:t>
            </w:r>
          </w:p>
        </w:tc>
        <w:tc>
          <w:tcPr>
            <w:tcW w:w="1195" w:type="dxa"/>
            <w:tcBorders>
              <w:top w:val="nil"/>
              <w:left w:val="nil"/>
              <w:bottom w:val="nil"/>
              <w:right w:val="nil"/>
            </w:tcBorders>
            <w:shd w:val="clear" w:color="000000" w:fill="F2F2F2"/>
            <w:noWrap/>
            <w:vAlign w:val="center"/>
            <w:hideMark/>
          </w:tcPr>
          <w:p w14:paraId="17BCFC37"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-0.5</w:t>
            </w:r>
          </w:p>
        </w:tc>
      </w:tr>
      <w:tr w:rsidR="00FC5859" w:rsidRPr="00874203" w14:paraId="029CB4F2" w14:textId="77777777" w:rsidTr="001266F9">
        <w:trPr>
          <w:trHeight w:val="288"/>
        </w:trPr>
        <w:tc>
          <w:tcPr>
            <w:tcW w:w="4025" w:type="dxa"/>
            <w:tcBorders>
              <w:top w:val="nil"/>
              <w:left w:val="nil"/>
              <w:bottom w:val="nil"/>
              <w:right w:val="nil"/>
            </w:tcBorders>
            <w:shd w:val="clear" w:color="000000" w:fill="F2F2F2"/>
            <w:noWrap/>
            <w:vAlign w:val="center"/>
            <w:hideMark/>
          </w:tcPr>
          <w:p w14:paraId="3A9D46CC" w14:textId="77777777" w:rsidR="00FC5859" w:rsidRPr="00874203" w:rsidRDefault="00FC5859" w:rsidP="001266F9">
            <w:pPr>
              <w:keepNext/>
              <w:spacing w:before="0" w:after="0" w:line="240" w:lineRule="auto"/>
              <w:rPr>
                <w:rFonts w:ascii="Arial" w:hAnsi="Arial" w:cs="Arial"/>
                <w:b/>
                <w:bCs/>
                <w:color w:val="000000"/>
                <w:szCs w:val="20"/>
              </w:rPr>
            </w:pPr>
            <w:r w:rsidRPr="00874203">
              <w:rPr>
                <w:rFonts w:ascii="Arial" w:hAnsi="Arial" w:cs="Arial"/>
                <w:b/>
                <w:bCs/>
                <w:color w:val="000000"/>
                <w:szCs w:val="20"/>
              </w:rPr>
              <w:t>Complete an economics degree</w:t>
            </w:r>
          </w:p>
        </w:tc>
        <w:tc>
          <w:tcPr>
            <w:tcW w:w="1040" w:type="dxa"/>
            <w:tcBorders>
              <w:top w:val="nil"/>
              <w:left w:val="nil"/>
              <w:bottom w:val="nil"/>
              <w:right w:val="nil"/>
            </w:tcBorders>
            <w:shd w:val="clear" w:color="000000" w:fill="F2F2F2"/>
            <w:vAlign w:val="center"/>
          </w:tcPr>
          <w:p w14:paraId="3EB1D9CD" w14:textId="77777777" w:rsidR="00FC5859" w:rsidRPr="00874203" w:rsidRDefault="00FC5859" w:rsidP="001266F9">
            <w:pPr>
              <w:keepNext/>
              <w:spacing w:before="0" w:after="0" w:line="240" w:lineRule="auto"/>
              <w:rPr>
                <w:rFonts w:ascii="Arial" w:hAnsi="Arial" w:cs="Arial"/>
                <w:b/>
                <w:bCs/>
                <w:color w:val="000000"/>
                <w:szCs w:val="20"/>
              </w:rPr>
            </w:pPr>
          </w:p>
        </w:tc>
        <w:tc>
          <w:tcPr>
            <w:tcW w:w="1040" w:type="dxa"/>
            <w:tcBorders>
              <w:top w:val="nil"/>
              <w:left w:val="nil"/>
              <w:bottom w:val="nil"/>
              <w:right w:val="nil"/>
            </w:tcBorders>
            <w:shd w:val="clear" w:color="000000" w:fill="F2F2F2"/>
            <w:noWrap/>
            <w:vAlign w:val="center"/>
            <w:hideMark/>
          </w:tcPr>
          <w:p w14:paraId="47FD5135" w14:textId="37DB99B3" w:rsidR="00FC5859" w:rsidRPr="00874203" w:rsidRDefault="00FC5859" w:rsidP="001266F9">
            <w:pPr>
              <w:keepNext/>
              <w:spacing w:before="0" w:after="0" w:line="240" w:lineRule="auto"/>
              <w:rPr>
                <w:rFonts w:ascii="Arial" w:hAnsi="Arial" w:cs="Arial"/>
                <w:b/>
                <w:bCs/>
                <w:color w:val="000000"/>
                <w:szCs w:val="20"/>
              </w:rPr>
            </w:pPr>
          </w:p>
        </w:tc>
        <w:tc>
          <w:tcPr>
            <w:tcW w:w="1195" w:type="dxa"/>
            <w:tcBorders>
              <w:top w:val="nil"/>
              <w:left w:val="nil"/>
              <w:bottom w:val="nil"/>
              <w:right w:val="nil"/>
            </w:tcBorders>
            <w:shd w:val="clear" w:color="000000" w:fill="F2F2F2"/>
            <w:noWrap/>
            <w:vAlign w:val="center"/>
            <w:hideMark/>
          </w:tcPr>
          <w:p w14:paraId="5C213FE2" w14:textId="210D28A7" w:rsidR="00FC5859" w:rsidRPr="00874203" w:rsidRDefault="00FC5859" w:rsidP="001266F9">
            <w:pPr>
              <w:keepNext/>
              <w:spacing w:before="0" w:after="0" w:line="240" w:lineRule="auto"/>
              <w:rPr>
                <w:rFonts w:ascii="Arial" w:hAnsi="Arial" w:cs="Arial"/>
                <w:b/>
                <w:bCs/>
                <w:color w:val="000000"/>
                <w:szCs w:val="20"/>
              </w:rPr>
            </w:pPr>
          </w:p>
        </w:tc>
      </w:tr>
      <w:tr w:rsidR="00FC5859" w:rsidRPr="00874203" w14:paraId="2BFC0F17" w14:textId="77777777" w:rsidTr="001266F9">
        <w:trPr>
          <w:trHeight w:val="288"/>
        </w:trPr>
        <w:tc>
          <w:tcPr>
            <w:tcW w:w="4025" w:type="dxa"/>
            <w:tcBorders>
              <w:top w:val="nil"/>
              <w:left w:val="nil"/>
              <w:bottom w:val="nil"/>
              <w:right w:val="nil"/>
            </w:tcBorders>
            <w:shd w:val="clear" w:color="000000" w:fill="F2F2F2"/>
            <w:noWrap/>
            <w:vAlign w:val="center"/>
            <w:hideMark/>
          </w:tcPr>
          <w:p w14:paraId="50D65459" w14:textId="77777777" w:rsidR="00FC5859" w:rsidRPr="00874203" w:rsidRDefault="00FC5859" w:rsidP="001266F9">
            <w:pPr>
              <w:keepNext/>
              <w:spacing w:before="0" w:after="0" w:line="240" w:lineRule="auto"/>
              <w:rPr>
                <w:rFonts w:ascii="Arial" w:hAnsi="Arial" w:cs="Arial"/>
                <w:color w:val="000000"/>
                <w:szCs w:val="20"/>
              </w:rPr>
            </w:pPr>
            <w:r w:rsidRPr="00874203">
              <w:rPr>
                <w:rFonts w:ascii="Arial" w:hAnsi="Arial" w:cs="Arial"/>
                <w:color w:val="000000"/>
                <w:szCs w:val="20"/>
              </w:rPr>
              <w:t>Control</w:t>
            </w:r>
          </w:p>
        </w:tc>
        <w:tc>
          <w:tcPr>
            <w:tcW w:w="1040" w:type="dxa"/>
            <w:tcBorders>
              <w:top w:val="nil"/>
              <w:left w:val="nil"/>
              <w:bottom w:val="nil"/>
              <w:right w:val="nil"/>
            </w:tcBorders>
            <w:shd w:val="clear" w:color="000000" w:fill="F2F2F2"/>
            <w:noWrap/>
            <w:vAlign w:val="center"/>
            <w:hideMark/>
          </w:tcPr>
          <w:p w14:paraId="496EA929"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4.6</w:t>
            </w:r>
          </w:p>
        </w:tc>
        <w:tc>
          <w:tcPr>
            <w:tcW w:w="1040" w:type="dxa"/>
            <w:tcBorders>
              <w:top w:val="nil"/>
              <w:left w:val="nil"/>
              <w:bottom w:val="nil"/>
              <w:right w:val="nil"/>
            </w:tcBorders>
            <w:shd w:val="clear" w:color="000000" w:fill="F2F2F2"/>
            <w:noWrap/>
            <w:vAlign w:val="center"/>
            <w:hideMark/>
          </w:tcPr>
          <w:p w14:paraId="355C57AC"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4.0</w:t>
            </w:r>
          </w:p>
        </w:tc>
        <w:tc>
          <w:tcPr>
            <w:tcW w:w="1195" w:type="dxa"/>
            <w:tcBorders>
              <w:top w:val="nil"/>
              <w:left w:val="nil"/>
              <w:bottom w:val="nil"/>
              <w:right w:val="nil"/>
            </w:tcBorders>
            <w:shd w:val="clear" w:color="000000" w:fill="F2F2F2"/>
            <w:noWrap/>
            <w:vAlign w:val="center"/>
            <w:hideMark/>
          </w:tcPr>
          <w:p w14:paraId="329C29CB"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-0.6</w:t>
            </w:r>
          </w:p>
        </w:tc>
      </w:tr>
      <w:tr w:rsidR="00FC5859" w:rsidRPr="00874203" w14:paraId="5EFC72FD" w14:textId="77777777" w:rsidTr="001266F9">
        <w:trPr>
          <w:trHeight w:val="288"/>
        </w:trPr>
        <w:tc>
          <w:tcPr>
            <w:tcW w:w="4025" w:type="dxa"/>
            <w:tcBorders>
              <w:top w:val="nil"/>
              <w:left w:val="nil"/>
              <w:bottom w:val="nil"/>
              <w:right w:val="nil"/>
            </w:tcBorders>
            <w:shd w:val="clear" w:color="000000" w:fill="F2F2F2"/>
            <w:noWrap/>
            <w:vAlign w:val="center"/>
            <w:hideMark/>
          </w:tcPr>
          <w:p w14:paraId="7FDB9DA0" w14:textId="77777777" w:rsidR="00FC5859" w:rsidRPr="00874203" w:rsidRDefault="00FC5859" w:rsidP="001266F9">
            <w:pPr>
              <w:keepNext/>
              <w:spacing w:before="0" w:after="0" w:line="240" w:lineRule="auto"/>
              <w:rPr>
                <w:rFonts w:ascii="Arial" w:hAnsi="Arial" w:cs="Arial"/>
                <w:color w:val="000000"/>
                <w:szCs w:val="20"/>
              </w:rPr>
            </w:pPr>
            <w:r w:rsidRPr="00874203">
              <w:rPr>
                <w:rFonts w:ascii="Arial" w:hAnsi="Arial" w:cs="Arial"/>
                <w:color w:val="000000"/>
                <w:szCs w:val="20"/>
              </w:rPr>
              <w:t>Treatment</w:t>
            </w:r>
          </w:p>
        </w:tc>
        <w:tc>
          <w:tcPr>
            <w:tcW w:w="1040" w:type="dxa"/>
            <w:tcBorders>
              <w:top w:val="nil"/>
              <w:left w:val="nil"/>
              <w:bottom w:val="nil"/>
              <w:right w:val="nil"/>
            </w:tcBorders>
            <w:shd w:val="clear" w:color="000000" w:fill="F2F2F2"/>
            <w:noWrap/>
            <w:vAlign w:val="center"/>
            <w:hideMark/>
          </w:tcPr>
          <w:p w14:paraId="273AECC7"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4.3</w:t>
            </w:r>
          </w:p>
        </w:tc>
        <w:tc>
          <w:tcPr>
            <w:tcW w:w="1040" w:type="dxa"/>
            <w:tcBorders>
              <w:top w:val="nil"/>
              <w:left w:val="nil"/>
              <w:bottom w:val="nil"/>
              <w:right w:val="nil"/>
            </w:tcBorders>
            <w:shd w:val="clear" w:color="000000" w:fill="F2F2F2"/>
            <w:noWrap/>
            <w:vAlign w:val="center"/>
            <w:hideMark/>
          </w:tcPr>
          <w:p w14:paraId="1A9A4644"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4.1</w:t>
            </w:r>
          </w:p>
        </w:tc>
        <w:tc>
          <w:tcPr>
            <w:tcW w:w="1195" w:type="dxa"/>
            <w:tcBorders>
              <w:top w:val="nil"/>
              <w:left w:val="nil"/>
              <w:bottom w:val="nil"/>
              <w:right w:val="nil"/>
            </w:tcBorders>
            <w:shd w:val="clear" w:color="000000" w:fill="F2F2F2"/>
            <w:noWrap/>
            <w:vAlign w:val="center"/>
            <w:hideMark/>
          </w:tcPr>
          <w:p w14:paraId="2B866C7B"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-0.2</w:t>
            </w:r>
          </w:p>
        </w:tc>
      </w:tr>
      <w:tr w:rsidR="00FC5859" w:rsidRPr="00874203" w14:paraId="2A0FE507" w14:textId="77777777" w:rsidTr="001266F9">
        <w:trPr>
          <w:trHeight w:val="288"/>
        </w:trPr>
        <w:tc>
          <w:tcPr>
            <w:tcW w:w="4025" w:type="dxa"/>
            <w:tcBorders>
              <w:top w:val="nil"/>
              <w:left w:val="nil"/>
              <w:bottom w:val="nil"/>
              <w:right w:val="nil"/>
            </w:tcBorders>
            <w:shd w:val="clear" w:color="000000" w:fill="F2F2F2"/>
            <w:noWrap/>
            <w:vAlign w:val="center"/>
            <w:hideMark/>
          </w:tcPr>
          <w:p w14:paraId="15D4389E" w14:textId="77777777" w:rsidR="00FC5859" w:rsidRPr="00874203" w:rsidRDefault="00FC5859" w:rsidP="001266F9">
            <w:pPr>
              <w:keepNext/>
              <w:spacing w:before="0" w:after="0" w:line="240" w:lineRule="auto"/>
              <w:rPr>
                <w:rFonts w:ascii="Arial" w:hAnsi="Arial" w:cs="Arial"/>
                <w:b/>
                <w:bCs/>
                <w:color w:val="000000"/>
                <w:szCs w:val="20"/>
              </w:rPr>
            </w:pPr>
            <w:r w:rsidRPr="00874203">
              <w:rPr>
                <w:rFonts w:ascii="Arial" w:hAnsi="Arial" w:cs="Arial"/>
                <w:b/>
                <w:bCs/>
                <w:color w:val="000000"/>
                <w:szCs w:val="20"/>
              </w:rPr>
              <w:t>Pursue a career in economics</w:t>
            </w:r>
          </w:p>
        </w:tc>
        <w:tc>
          <w:tcPr>
            <w:tcW w:w="1040" w:type="dxa"/>
            <w:tcBorders>
              <w:top w:val="nil"/>
              <w:left w:val="nil"/>
              <w:bottom w:val="nil"/>
              <w:right w:val="nil"/>
            </w:tcBorders>
            <w:shd w:val="clear" w:color="000000" w:fill="F2F2F2"/>
            <w:noWrap/>
            <w:vAlign w:val="center"/>
            <w:hideMark/>
          </w:tcPr>
          <w:p w14:paraId="098CBDAC" w14:textId="251E8B49" w:rsidR="00FC5859" w:rsidRPr="00874203" w:rsidRDefault="00FC5859" w:rsidP="001266F9">
            <w:pPr>
              <w:keepNext/>
              <w:spacing w:before="0" w:after="0" w:line="240" w:lineRule="auto"/>
              <w:rPr>
                <w:rFonts w:ascii="Arial" w:hAnsi="Arial" w:cs="Arial"/>
                <w:b/>
                <w:bCs/>
                <w:color w:val="000000"/>
                <w:szCs w:val="20"/>
              </w:rPr>
            </w:pPr>
          </w:p>
        </w:tc>
        <w:tc>
          <w:tcPr>
            <w:tcW w:w="1040" w:type="dxa"/>
            <w:tcBorders>
              <w:top w:val="nil"/>
              <w:left w:val="nil"/>
              <w:bottom w:val="nil"/>
              <w:right w:val="nil"/>
            </w:tcBorders>
            <w:shd w:val="clear" w:color="000000" w:fill="F2F2F2"/>
            <w:noWrap/>
            <w:vAlign w:val="center"/>
            <w:hideMark/>
          </w:tcPr>
          <w:p w14:paraId="775532C4" w14:textId="3BC6CB40" w:rsidR="00FC5859" w:rsidRPr="00874203" w:rsidRDefault="00FC5859" w:rsidP="001266F9">
            <w:pPr>
              <w:keepNext/>
              <w:spacing w:before="0" w:after="0" w:line="240" w:lineRule="auto"/>
              <w:rPr>
                <w:rFonts w:ascii="Arial" w:hAnsi="Arial" w:cs="Arial"/>
                <w:b/>
                <w:bCs/>
                <w:color w:val="000000"/>
                <w:szCs w:val="20"/>
              </w:rPr>
            </w:pPr>
          </w:p>
        </w:tc>
        <w:tc>
          <w:tcPr>
            <w:tcW w:w="1195" w:type="dxa"/>
            <w:tcBorders>
              <w:top w:val="nil"/>
              <w:left w:val="nil"/>
              <w:bottom w:val="nil"/>
              <w:right w:val="nil"/>
            </w:tcBorders>
            <w:shd w:val="clear" w:color="000000" w:fill="F2F2F2"/>
            <w:noWrap/>
            <w:vAlign w:val="center"/>
            <w:hideMark/>
          </w:tcPr>
          <w:p w14:paraId="1A898DC1" w14:textId="66E4DFF0" w:rsidR="00FC5859" w:rsidRPr="00874203" w:rsidRDefault="00FC5859" w:rsidP="001266F9">
            <w:pPr>
              <w:keepNext/>
              <w:spacing w:before="0" w:after="0" w:line="240" w:lineRule="auto"/>
              <w:rPr>
                <w:rFonts w:ascii="Arial" w:hAnsi="Arial" w:cs="Arial"/>
                <w:b/>
                <w:bCs/>
                <w:color w:val="000000"/>
                <w:szCs w:val="20"/>
              </w:rPr>
            </w:pPr>
          </w:p>
        </w:tc>
      </w:tr>
      <w:tr w:rsidR="00FC5859" w:rsidRPr="00874203" w14:paraId="7107BF44" w14:textId="77777777" w:rsidTr="001266F9">
        <w:trPr>
          <w:trHeight w:val="288"/>
        </w:trPr>
        <w:tc>
          <w:tcPr>
            <w:tcW w:w="4025" w:type="dxa"/>
            <w:tcBorders>
              <w:top w:val="nil"/>
              <w:left w:val="nil"/>
              <w:bottom w:val="nil"/>
              <w:right w:val="nil"/>
            </w:tcBorders>
            <w:shd w:val="clear" w:color="000000" w:fill="F2F2F2"/>
            <w:noWrap/>
            <w:vAlign w:val="center"/>
            <w:hideMark/>
          </w:tcPr>
          <w:p w14:paraId="3ED2150F" w14:textId="77777777" w:rsidR="00FC5859" w:rsidRPr="00874203" w:rsidRDefault="00FC5859" w:rsidP="001266F9">
            <w:pPr>
              <w:keepNext/>
              <w:spacing w:before="0" w:after="0" w:line="240" w:lineRule="auto"/>
              <w:rPr>
                <w:rFonts w:ascii="Arial" w:hAnsi="Arial" w:cs="Arial"/>
                <w:color w:val="000000"/>
                <w:szCs w:val="20"/>
              </w:rPr>
            </w:pPr>
            <w:r w:rsidRPr="00874203">
              <w:rPr>
                <w:rFonts w:ascii="Arial" w:hAnsi="Arial" w:cs="Arial"/>
                <w:color w:val="000000"/>
                <w:szCs w:val="20"/>
              </w:rPr>
              <w:t>Control</w:t>
            </w:r>
          </w:p>
        </w:tc>
        <w:tc>
          <w:tcPr>
            <w:tcW w:w="1040" w:type="dxa"/>
            <w:tcBorders>
              <w:top w:val="nil"/>
              <w:left w:val="nil"/>
              <w:bottom w:val="nil"/>
              <w:right w:val="nil"/>
            </w:tcBorders>
            <w:shd w:val="clear" w:color="000000" w:fill="F2F2F2"/>
            <w:noWrap/>
            <w:vAlign w:val="center"/>
            <w:hideMark/>
          </w:tcPr>
          <w:p w14:paraId="1C7EC049"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4.5</w:t>
            </w:r>
          </w:p>
        </w:tc>
        <w:tc>
          <w:tcPr>
            <w:tcW w:w="1040" w:type="dxa"/>
            <w:tcBorders>
              <w:top w:val="nil"/>
              <w:left w:val="nil"/>
              <w:bottom w:val="nil"/>
              <w:right w:val="nil"/>
            </w:tcBorders>
            <w:shd w:val="clear" w:color="000000" w:fill="F2F2F2"/>
            <w:noWrap/>
            <w:vAlign w:val="center"/>
            <w:hideMark/>
          </w:tcPr>
          <w:p w14:paraId="45A37035"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3.6</w:t>
            </w:r>
          </w:p>
        </w:tc>
        <w:tc>
          <w:tcPr>
            <w:tcW w:w="1195" w:type="dxa"/>
            <w:tcBorders>
              <w:top w:val="nil"/>
              <w:left w:val="nil"/>
              <w:bottom w:val="nil"/>
              <w:right w:val="nil"/>
            </w:tcBorders>
            <w:shd w:val="clear" w:color="000000" w:fill="F2F2F2"/>
            <w:noWrap/>
            <w:vAlign w:val="center"/>
            <w:hideMark/>
          </w:tcPr>
          <w:p w14:paraId="2A148A3B" w14:textId="77777777" w:rsidR="00FC5859" w:rsidRPr="00874203" w:rsidRDefault="00FC5859" w:rsidP="001266F9">
            <w:pPr>
              <w:keepNext/>
              <w:spacing w:before="0" w:after="0" w:line="240" w:lineRule="auto"/>
              <w:jc w:val="right"/>
              <w:rPr>
                <w:rFonts w:ascii="Arial" w:hAnsi="Arial" w:cs="Arial"/>
                <w:color w:val="000000"/>
                <w:szCs w:val="20"/>
              </w:rPr>
            </w:pPr>
            <w:r w:rsidRPr="00874203">
              <w:rPr>
                <w:rFonts w:ascii="Arial" w:hAnsi="Arial" w:cs="Arial"/>
                <w:color w:val="000000"/>
                <w:szCs w:val="20"/>
              </w:rPr>
              <w:t>-0.9</w:t>
            </w:r>
          </w:p>
        </w:tc>
      </w:tr>
      <w:tr w:rsidR="00FC5859" w:rsidRPr="00874203" w14:paraId="20FA7CFF" w14:textId="77777777" w:rsidTr="001266F9">
        <w:trPr>
          <w:trHeight w:val="288"/>
        </w:trPr>
        <w:tc>
          <w:tcPr>
            <w:tcW w:w="4025" w:type="dxa"/>
            <w:tcBorders>
              <w:top w:val="nil"/>
              <w:left w:val="nil"/>
              <w:bottom w:val="nil"/>
              <w:right w:val="nil"/>
            </w:tcBorders>
            <w:shd w:val="clear" w:color="000000" w:fill="F2F2F2"/>
            <w:noWrap/>
            <w:vAlign w:val="center"/>
            <w:hideMark/>
          </w:tcPr>
          <w:p w14:paraId="514178A1" w14:textId="77777777" w:rsidR="00FC5859" w:rsidRPr="00874203" w:rsidRDefault="00FC5859" w:rsidP="001266F9">
            <w:pPr>
              <w:spacing w:before="0" w:after="0" w:line="240" w:lineRule="auto"/>
              <w:rPr>
                <w:rFonts w:ascii="Arial" w:hAnsi="Arial" w:cs="Arial"/>
                <w:color w:val="000000"/>
                <w:szCs w:val="20"/>
              </w:rPr>
            </w:pPr>
            <w:r w:rsidRPr="00874203">
              <w:rPr>
                <w:rFonts w:ascii="Arial" w:hAnsi="Arial" w:cs="Arial"/>
                <w:color w:val="000000"/>
                <w:szCs w:val="20"/>
              </w:rPr>
              <w:t>Treatment</w:t>
            </w:r>
          </w:p>
        </w:tc>
        <w:tc>
          <w:tcPr>
            <w:tcW w:w="1040" w:type="dxa"/>
            <w:tcBorders>
              <w:top w:val="nil"/>
              <w:left w:val="nil"/>
              <w:bottom w:val="nil"/>
              <w:right w:val="nil"/>
            </w:tcBorders>
            <w:shd w:val="clear" w:color="000000" w:fill="F2F2F2"/>
            <w:noWrap/>
            <w:vAlign w:val="center"/>
            <w:hideMark/>
          </w:tcPr>
          <w:p w14:paraId="57BDAC1A" w14:textId="77777777" w:rsidR="00FC5859" w:rsidRPr="00874203" w:rsidRDefault="00FC5859" w:rsidP="001266F9">
            <w:pPr>
              <w:spacing w:before="0" w:after="0" w:line="240" w:lineRule="auto"/>
              <w:jc w:val="right"/>
              <w:rPr>
                <w:rFonts w:ascii="Arial" w:hAnsi="Arial" w:cs="Arial"/>
                <w:color w:val="000000"/>
                <w:szCs w:val="20"/>
              </w:rPr>
            </w:pPr>
            <w:r w:rsidRPr="00874203">
              <w:rPr>
                <w:rFonts w:ascii="Arial" w:hAnsi="Arial" w:cs="Arial"/>
                <w:color w:val="000000"/>
                <w:szCs w:val="20"/>
              </w:rPr>
              <w:t>4.3</w:t>
            </w:r>
          </w:p>
        </w:tc>
        <w:tc>
          <w:tcPr>
            <w:tcW w:w="1040" w:type="dxa"/>
            <w:tcBorders>
              <w:top w:val="nil"/>
              <w:left w:val="nil"/>
              <w:bottom w:val="nil"/>
              <w:right w:val="nil"/>
            </w:tcBorders>
            <w:shd w:val="clear" w:color="000000" w:fill="F2F2F2"/>
            <w:noWrap/>
            <w:vAlign w:val="center"/>
            <w:hideMark/>
          </w:tcPr>
          <w:p w14:paraId="228045B4" w14:textId="77777777" w:rsidR="00FC5859" w:rsidRPr="00874203" w:rsidRDefault="00FC5859" w:rsidP="001266F9">
            <w:pPr>
              <w:spacing w:before="0" w:after="0" w:line="240" w:lineRule="auto"/>
              <w:jc w:val="right"/>
              <w:rPr>
                <w:rFonts w:ascii="Arial" w:hAnsi="Arial" w:cs="Arial"/>
                <w:color w:val="000000"/>
                <w:szCs w:val="20"/>
              </w:rPr>
            </w:pPr>
            <w:r w:rsidRPr="00874203">
              <w:rPr>
                <w:rFonts w:ascii="Arial" w:hAnsi="Arial" w:cs="Arial"/>
                <w:color w:val="000000"/>
                <w:szCs w:val="20"/>
              </w:rPr>
              <w:t>4.1</w:t>
            </w:r>
          </w:p>
        </w:tc>
        <w:tc>
          <w:tcPr>
            <w:tcW w:w="1195" w:type="dxa"/>
            <w:tcBorders>
              <w:top w:val="nil"/>
              <w:left w:val="nil"/>
              <w:bottom w:val="nil"/>
              <w:right w:val="nil"/>
            </w:tcBorders>
            <w:shd w:val="clear" w:color="000000" w:fill="F2F2F2"/>
            <w:noWrap/>
            <w:vAlign w:val="center"/>
            <w:hideMark/>
          </w:tcPr>
          <w:p w14:paraId="2DFEBF37" w14:textId="77777777" w:rsidR="00FC5859" w:rsidRPr="00874203" w:rsidRDefault="00FC5859" w:rsidP="001266F9">
            <w:pPr>
              <w:spacing w:before="0" w:after="0" w:line="240" w:lineRule="auto"/>
              <w:jc w:val="right"/>
              <w:rPr>
                <w:rFonts w:ascii="Arial" w:hAnsi="Arial" w:cs="Arial"/>
                <w:color w:val="000000"/>
                <w:szCs w:val="20"/>
              </w:rPr>
            </w:pPr>
            <w:r w:rsidRPr="00874203">
              <w:rPr>
                <w:rFonts w:ascii="Arial" w:hAnsi="Arial" w:cs="Arial"/>
                <w:color w:val="000000"/>
                <w:szCs w:val="20"/>
              </w:rPr>
              <w:t>-0.2</w:t>
            </w:r>
          </w:p>
        </w:tc>
      </w:tr>
    </w:tbl>
    <w:p w14:paraId="0CA34343" w14:textId="0D961495" w:rsidR="00874203" w:rsidRPr="004A1EBF" w:rsidRDefault="006E501B" w:rsidP="004A1EBF">
      <w:pPr>
        <w:pStyle w:val="SourceNotesText"/>
        <w:rPr>
          <w:sz w:val="16"/>
        </w:rPr>
      </w:pPr>
      <w:r w:rsidRPr="004A1EBF">
        <w:rPr>
          <w:sz w:val="16"/>
        </w:rPr>
        <w:t xml:space="preserve">Note: </w:t>
      </w:r>
      <w:r w:rsidR="00FC5859" w:rsidRPr="004A1EBF">
        <w:rPr>
          <w:sz w:val="16"/>
        </w:rPr>
        <w:t>Means are calculated from a 5</w:t>
      </w:r>
      <w:r w:rsidR="00FC5859" w:rsidRPr="004A1EBF">
        <w:rPr>
          <w:sz w:val="16"/>
        </w:rPr>
        <w:noBreakHyphen/>
        <w:t>point scale, with Very unlikely=1 and Very likely=5.</w:t>
      </w:r>
      <w:r w:rsidR="000059F8" w:rsidRPr="004A1EBF">
        <w:rPr>
          <w:sz w:val="16"/>
        </w:rPr>
        <w:t xml:space="preserve"> Each question began: ‘Please indicate how likely you are to: …’</w:t>
      </w:r>
    </w:p>
    <w:p w14:paraId="3B8DCDFB" w14:textId="724CA319" w:rsidR="00D97215" w:rsidRPr="006E501B" w:rsidRDefault="00714821" w:rsidP="004A1EBF">
      <w:r w:rsidRPr="006E501B">
        <w:rPr>
          <w:b/>
        </w:rPr>
        <w:t>Confidence, satisfaction and career knowledge</w:t>
      </w:r>
      <w:r w:rsidRPr="006E501B">
        <w:t xml:space="preserve">: </w:t>
      </w:r>
      <w:r w:rsidR="00D97215" w:rsidRPr="006E501B">
        <w:t>Satisfaction with, and confidence in, economics studies fell for respondents in both the treatment and control groups, however they fell by more for the control group (Figure </w:t>
      </w:r>
      <w:r w:rsidR="00B64A14" w:rsidRPr="006E501B">
        <w:t>25</w:t>
      </w:r>
      <w:r w:rsidR="00D97215" w:rsidRPr="006E501B">
        <w:t xml:space="preserve">). While respondents’ knowledge of career pathways stayed the same for the control group, it  increased for those in the mentoring program. </w:t>
      </w:r>
      <w:r w:rsidR="00FC5859" w:rsidRPr="006E501B">
        <w:t xml:space="preserve">As </w:t>
      </w:r>
      <w:r w:rsidRPr="006E501B">
        <w:t>noted above</w:t>
      </w:r>
      <w:r w:rsidR="00FC5859" w:rsidRPr="006E501B">
        <w:t>, w</w:t>
      </w:r>
      <w:r w:rsidR="00D97215" w:rsidRPr="006E501B">
        <w:t>e are not confident these changes are attributable to the mentoring program due to the high and differential non</w:t>
      </w:r>
      <w:r w:rsidR="00D97215" w:rsidRPr="006E501B">
        <w:noBreakHyphen/>
        <w:t xml:space="preserve">response rates for the endline survey. </w:t>
      </w:r>
    </w:p>
    <w:p w14:paraId="4A23E04A" w14:textId="349880AE" w:rsidR="00D97215" w:rsidRDefault="00BF743C" w:rsidP="00BF743C">
      <w:pPr>
        <w:pStyle w:val="FigureHeading"/>
        <w:numPr>
          <w:ilvl w:val="0"/>
          <w:numId w:val="0"/>
        </w:numPr>
        <w:ind w:left="1429" w:hanging="720"/>
      </w:pPr>
      <w:r>
        <w:t xml:space="preserve">Figure 29: </w:t>
      </w:r>
      <w:r w:rsidR="00B64A14">
        <w:t>C</w:t>
      </w:r>
      <w:r w:rsidR="00D97215">
        <w:t>areer knowledge, satisfaction and confidence</w:t>
      </w:r>
      <w:r w:rsidR="00B64A14" w:rsidRPr="00B64A14">
        <w:rPr>
          <w:b w:val="0"/>
        </w:rPr>
        <w:t xml:space="preserve"> (n=45)</w:t>
      </w:r>
    </w:p>
    <w:tbl>
      <w:tblPr>
        <w:tblW w:w="6336" w:type="dxa"/>
        <w:tblLook w:val="04A0" w:firstRow="1" w:lastRow="0" w:firstColumn="1" w:lastColumn="0" w:noHBand="0" w:noVBand="1"/>
        <w:tblCaption w:val="Figure 29: Career knowledge, satsifaction and confidence"/>
      </w:tblPr>
      <w:tblGrid>
        <w:gridCol w:w="3061"/>
        <w:gridCol w:w="1040"/>
        <w:gridCol w:w="1040"/>
        <w:gridCol w:w="1195"/>
      </w:tblGrid>
      <w:tr w:rsidR="00D97215" w:rsidRPr="00D97215" w14:paraId="2B16B035" w14:textId="77777777" w:rsidTr="00731CEB">
        <w:trPr>
          <w:trHeight w:val="288"/>
          <w:tblHeader/>
        </w:trPr>
        <w:tc>
          <w:tcPr>
            <w:tcW w:w="3061" w:type="dxa"/>
            <w:tcBorders>
              <w:top w:val="nil"/>
              <w:left w:val="nil"/>
              <w:bottom w:val="nil"/>
              <w:right w:val="nil"/>
            </w:tcBorders>
            <w:shd w:val="clear" w:color="000000" w:fill="142E3A"/>
            <w:noWrap/>
            <w:vAlign w:val="center"/>
            <w:hideMark/>
          </w:tcPr>
          <w:p w14:paraId="5D604302" w14:textId="77777777" w:rsidR="00D97215" w:rsidRPr="00D97215" w:rsidRDefault="00D97215" w:rsidP="00D97215">
            <w:pPr>
              <w:spacing w:before="0" w:after="0" w:line="240" w:lineRule="auto"/>
              <w:jc w:val="center"/>
              <w:rPr>
                <w:rFonts w:ascii="Arial" w:hAnsi="Arial" w:cs="Arial"/>
                <w:b/>
                <w:bCs/>
                <w:color w:val="FFFFFF"/>
                <w:szCs w:val="20"/>
              </w:rPr>
            </w:pPr>
            <w:r w:rsidRPr="00D97215">
              <w:rPr>
                <w:rFonts w:ascii="Arial" w:hAnsi="Arial" w:cs="Arial"/>
                <w:b/>
                <w:bCs/>
                <w:color w:val="FFFFFF"/>
                <w:szCs w:val="20"/>
              </w:rPr>
              <w:t> </w:t>
            </w:r>
          </w:p>
        </w:tc>
        <w:tc>
          <w:tcPr>
            <w:tcW w:w="1040" w:type="dxa"/>
            <w:tcBorders>
              <w:top w:val="nil"/>
              <w:left w:val="nil"/>
              <w:bottom w:val="nil"/>
              <w:right w:val="nil"/>
            </w:tcBorders>
            <w:shd w:val="clear" w:color="000000" w:fill="142E3A"/>
            <w:noWrap/>
            <w:vAlign w:val="center"/>
            <w:hideMark/>
          </w:tcPr>
          <w:p w14:paraId="50F7928B" w14:textId="77777777" w:rsidR="00D97215" w:rsidRPr="00D97215" w:rsidRDefault="00D97215" w:rsidP="00D97215">
            <w:pPr>
              <w:spacing w:before="0" w:after="0" w:line="240" w:lineRule="auto"/>
              <w:jc w:val="center"/>
              <w:rPr>
                <w:rFonts w:ascii="Arial" w:hAnsi="Arial" w:cs="Arial"/>
                <w:b/>
                <w:bCs/>
                <w:color w:val="FFFFFF"/>
                <w:szCs w:val="20"/>
              </w:rPr>
            </w:pPr>
            <w:r w:rsidRPr="00D97215">
              <w:rPr>
                <w:rFonts w:ascii="Arial" w:hAnsi="Arial" w:cs="Arial"/>
                <w:b/>
                <w:bCs/>
                <w:color w:val="FFFFFF"/>
                <w:szCs w:val="20"/>
              </w:rPr>
              <w:t>Baseline</w:t>
            </w:r>
          </w:p>
        </w:tc>
        <w:tc>
          <w:tcPr>
            <w:tcW w:w="1040" w:type="dxa"/>
            <w:tcBorders>
              <w:top w:val="nil"/>
              <w:left w:val="nil"/>
              <w:bottom w:val="nil"/>
              <w:right w:val="nil"/>
            </w:tcBorders>
            <w:shd w:val="clear" w:color="000000" w:fill="142E3A"/>
            <w:noWrap/>
            <w:vAlign w:val="center"/>
            <w:hideMark/>
          </w:tcPr>
          <w:p w14:paraId="44BDD123" w14:textId="77777777" w:rsidR="00D97215" w:rsidRPr="00D97215" w:rsidRDefault="00D97215" w:rsidP="00D97215">
            <w:pPr>
              <w:spacing w:before="0" w:after="0" w:line="240" w:lineRule="auto"/>
              <w:jc w:val="center"/>
              <w:rPr>
                <w:rFonts w:ascii="Arial" w:hAnsi="Arial" w:cs="Arial"/>
                <w:b/>
                <w:bCs/>
                <w:color w:val="FFFFFF"/>
                <w:szCs w:val="20"/>
              </w:rPr>
            </w:pPr>
            <w:r w:rsidRPr="00D97215">
              <w:rPr>
                <w:rFonts w:ascii="Arial" w:hAnsi="Arial" w:cs="Arial"/>
                <w:b/>
                <w:bCs/>
                <w:color w:val="FFFFFF"/>
                <w:szCs w:val="20"/>
              </w:rPr>
              <w:t>Endline</w:t>
            </w:r>
          </w:p>
        </w:tc>
        <w:tc>
          <w:tcPr>
            <w:tcW w:w="1195" w:type="dxa"/>
            <w:tcBorders>
              <w:top w:val="nil"/>
              <w:left w:val="nil"/>
              <w:bottom w:val="nil"/>
              <w:right w:val="nil"/>
            </w:tcBorders>
            <w:shd w:val="clear" w:color="000000" w:fill="142E3A"/>
            <w:noWrap/>
            <w:vAlign w:val="center"/>
            <w:hideMark/>
          </w:tcPr>
          <w:p w14:paraId="410D021C" w14:textId="77777777" w:rsidR="00D97215" w:rsidRPr="00D97215" w:rsidRDefault="00D97215" w:rsidP="00D97215">
            <w:pPr>
              <w:spacing w:before="0" w:after="0" w:line="240" w:lineRule="auto"/>
              <w:jc w:val="center"/>
              <w:rPr>
                <w:rFonts w:ascii="Arial" w:hAnsi="Arial" w:cs="Arial"/>
                <w:b/>
                <w:bCs/>
                <w:color w:val="FFFFFF"/>
                <w:szCs w:val="20"/>
              </w:rPr>
            </w:pPr>
            <w:r w:rsidRPr="00D97215">
              <w:rPr>
                <w:rFonts w:ascii="Arial" w:hAnsi="Arial" w:cs="Arial"/>
                <w:b/>
                <w:bCs/>
                <w:color w:val="FFFFFF"/>
                <w:szCs w:val="20"/>
              </w:rPr>
              <w:t>Difference</w:t>
            </w:r>
          </w:p>
        </w:tc>
      </w:tr>
      <w:tr w:rsidR="00D97215" w:rsidRPr="00D97215" w14:paraId="07AA4BE2" w14:textId="77777777" w:rsidTr="00731CEB">
        <w:trPr>
          <w:trHeight w:val="288"/>
          <w:tblHeader/>
        </w:trPr>
        <w:tc>
          <w:tcPr>
            <w:tcW w:w="3061" w:type="dxa"/>
            <w:tcBorders>
              <w:top w:val="nil"/>
              <w:left w:val="nil"/>
              <w:bottom w:val="nil"/>
              <w:right w:val="nil"/>
            </w:tcBorders>
            <w:shd w:val="clear" w:color="000000" w:fill="142E3A"/>
            <w:noWrap/>
            <w:vAlign w:val="center"/>
            <w:hideMark/>
          </w:tcPr>
          <w:p w14:paraId="2072B866" w14:textId="77777777" w:rsidR="00D97215" w:rsidRPr="00D97215" w:rsidRDefault="00D97215" w:rsidP="00D97215">
            <w:pPr>
              <w:spacing w:before="0" w:after="0" w:line="240" w:lineRule="auto"/>
              <w:rPr>
                <w:rFonts w:ascii="Arial" w:hAnsi="Arial" w:cs="Arial"/>
                <w:color w:val="FFFFFF"/>
                <w:szCs w:val="20"/>
              </w:rPr>
            </w:pPr>
            <w:r w:rsidRPr="00D97215">
              <w:rPr>
                <w:rFonts w:ascii="Arial" w:hAnsi="Arial" w:cs="Arial"/>
                <w:color w:val="FFFFFF"/>
                <w:szCs w:val="20"/>
              </w:rPr>
              <w:t> </w:t>
            </w:r>
          </w:p>
        </w:tc>
        <w:tc>
          <w:tcPr>
            <w:tcW w:w="1040" w:type="dxa"/>
            <w:tcBorders>
              <w:top w:val="nil"/>
              <w:left w:val="nil"/>
              <w:bottom w:val="nil"/>
              <w:right w:val="nil"/>
            </w:tcBorders>
            <w:shd w:val="clear" w:color="000000" w:fill="142E3A"/>
            <w:noWrap/>
            <w:vAlign w:val="center"/>
            <w:hideMark/>
          </w:tcPr>
          <w:p w14:paraId="6C18DE0B" w14:textId="77777777" w:rsidR="00D97215" w:rsidRPr="00D97215" w:rsidRDefault="00D97215" w:rsidP="00D97215">
            <w:pPr>
              <w:spacing w:before="0" w:after="0" w:line="240" w:lineRule="auto"/>
              <w:jc w:val="center"/>
              <w:rPr>
                <w:rFonts w:ascii="Arial" w:hAnsi="Arial" w:cs="Arial"/>
                <w:color w:val="FFFFFF"/>
                <w:szCs w:val="20"/>
              </w:rPr>
            </w:pPr>
            <w:r w:rsidRPr="00D97215">
              <w:rPr>
                <w:rFonts w:ascii="Arial" w:hAnsi="Arial" w:cs="Arial"/>
                <w:color w:val="FFFFFF"/>
                <w:szCs w:val="20"/>
              </w:rPr>
              <w:t>mean</w:t>
            </w:r>
          </w:p>
        </w:tc>
        <w:tc>
          <w:tcPr>
            <w:tcW w:w="1040" w:type="dxa"/>
            <w:tcBorders>
              <w:top w:val="nil"/>
              <w:left w:val="nil"/>
              <w:bottom w:val="nil"/>
              <w:right w:val="nil"/>
            </w:tcBorders>
            <w:shd w:val="clear" w:color="000000" w:fill="142E3A"/>
            <w:noWrap/>
            <w:vAlign w:val="center"/>
            <w:hideMark/>
          </w:tcPr>
          <w:p w14:paraId="110B46A8" w14:textId="77777777" w:rsidR="00D97215" w:rsidRPr="00D97215" w:rsidRDefault="00D97215" w:rsidP="00D97215">
            <w:pPr>
              <w:spacing w:before="0" w:after="0" w:line="240" w:lineRule="auto"/>
              <w:jc w:val="center"/>
              <w:rPr>
                <w:rFonts w:ascii="Arial" w:hAnsi="Arial" w:cs="Arial"/>
                <w:color w:val="FFFFFF"/>
                <w:szCs w:val="20"/>
              </w:rPr>
            </w:pPr>
            <w:r w:rsidRPr="00D97215">
              <w:rPr>
                <w:rFonts w:ascii="Arial" w:hAnsi="Arial" w:cs="Arial"/>
                <w:color w:val="FFFFFF"/>
                <w:szCs w:val="20"/>
              </w:rPr>
              <w:t>mean</w:t>
            </w:r>
          </w:p>
        </w:tc>
        <w:tc>
          <w:tcPr>
            <w:tcW w:w="1195" w:type="dxa"/>
            <w:tcBorders>
              <w:top w:val="nil"/>
              <w:left w:val="nil"/>
              <w:bottom w:val="nil"/>
              <w:right w:val="nil"/>
            </w:tcBorders>
            <w:shd w:val="clear" w:color="000000" w:fill="142E3A"/>
            <w:noWrap/>
            <w:vAlign w:val="center"/>
            <w:hideMark/>
          </w:tcPr>
          <w:p w14:paraId="78A25BD7" w14:textId="77777777" w:rsidR="00D97215" w:rsidRPr="00D97215" w:rsidRDefault="00D97215" w:rsidP="00D97215">
            <w:pPr>
              <w:spacing w:before="0" w:after="0" w:line="240" w:lineRule="auto"/>
              <w:jc w:val="center"/>
              <w:rPr>
                <w:rFonts w:ascii="Arial" w:hAnsi="Arial" w:cs="Arial"/>
                <w:color w:val="FFFFFF"/>
                <w:szCs w:val="20"/>
              </w:rPr>
            </w:pPr>
            <w:r w:rsidRPr="00D97215">
              <w:rPr>
                <w:rFonts w:ascii="Arial" w:hAnsi="Arial" w:cs="Arial"/>
                <w:color w:val="FFFFFF"/>
                <w:szCs w:val="20"/>
              </w:rPr>
              <w:t> </w:t>
            </w:r>
          </w:p>
        </w:tc>
      </w:tr>
      <w:tr w:rsidR="00D97215" w:rsidRPr="00D97215" w14:paraId="496DEE6F" w14:textId="77777777" w:rsidTr="00D97215">
        <w:trPr>
          <w:trHeight w:val="288"/>
        </w:trPr>
        <w:tc>
          <w:tcPr>
            <w:tcW w:w="3061" w:type="dxa"/>
            <w:tcBorders>
              <w:top w:val="nil"/>
              <w:left w:val="nil"/>
              <w:bottom w:val="nil"/>
              <w:right w:val="nil"/>
            </w:tcBorders>
            <w:shd w:val="clear" w:color="000000" w:fill="F2F2F2"/>
            <w:noWrap/>
            <w:vAlign w:val="center"/>
            <w:hideMark/>
          </w:tcPr>
          <w:p w14:paraId="2B2DCB7C" w14:textId="77777777" w:rsidR="00D97215" w:rsidRPr="00D97215" w:rsidRDefault="00D97215" w:rsidP="00D97215">
            <w:pPr>
              <w:spacing w:before="0" w:after="0" w:line="240" w:lineRule="auto"/>
              <w:rPr>
                <w:rFonts w:ascii="Arial" w:hAnsi="Arial" w:cs="Arial"/>
                <w:b/>
                <w:bCs/>
                <w:color w:val="000000"/>
                <w:szCs w:val="20"/>
              </w:rPr>
            </w:pPr>
            <w:r w:rsidRPr="00D97215">
              <w:rPr>
                <w:rFonts w:ascii="Arial" w:hAnsi="Arial" w:cs="Arial"/>
                <w:b/>
                <w:bCs/>
                <w:color w:val="000000"/>
                <w:szCs w:val="20"/>
              </w:rPr>
              <w:t xml:space="preserve">Career knowledge </w:t>
            </w:r>
            <w:r w:rsidRPr="00D97215">
              <w:rPr>
                <w:rFonts w:ascii="Arial" w:hAnsi="Arial" w:cs="Arial"/>
                <w:color w:val="000000"/>
                <w:szCs w:val="20"/>
              </w:rPr>
              <w:t>(1-5 scale)</w:t>
            </w:r>
          </w:p>
        </w:tc>
        <w:tc>
          <w:tcPr>
            <w:tcW w:w="1040" w:type="dxa"/>
            <w:tcBorders>
              <w:top w:val="nil"/>
              <w:left w:val="nil"/>
              <w:bottom w:val="nil"/>
              <w:right w:val="nil"/>
            </w:tcBorders>
            <w:shd w:val="clear" w:color="000000" w:fill="F2F2F2"/>
            <w:noWrap/>
            <w:vAlign w:val="center"/>
            <w:hideMark/>
          </w:tcPr>
          <w:p w14:paraId="16E4183C" w14:textId="77777777" w:rsidR="00D97215" w:rsidRPr="00D97215" w:rsidRDefault="00D97215" w:rsidP="00D97215">
            <w:pPr>
              <w:spacing w:before="0" w:after="0" w:line="240" w:lineRule="auto"/>
              <w:rPr>
                <w:rFonts w:ascii="Arial" w:hAnsi="Arial" w:cs="Arial"/>
                <w:b/>
                <w:bCs/>
                <w:color w:val="000000"/>
                <w:szCs w:val="20"/>
              </w:rPr>
            </w:pPr>
            <w:r w:rsidRPr="00D97215">
              <w:rPr>
                <w:rFonts w:ascii="Arial" w:hAnsi="Arial" w:cs="Arial"/>
                <w:b/>
                <w:bCs/>
                <w:color w:val="000000"/>
                <w:szCs w:val="20"/>
              </w:rPr>
              <w:t> </w:t>
            </w:r>
          </w:p>
        </w:tc>
        <w:tc>
          <w:tcPr>
            <w:tcW w:w="1040" w:type="dxa"/>
            <w:tcBorders>
              <w:top w:val="nil"/>
              <w:left w:val="nil"/>
              <w:bottom w:val="nil"/>
              <w:right w:val="nil"/>
            </w:tcBorders>
            <w:shd w:val="clear" w:color="000000" w:fill="F2F2F2"/>
            <w:noWrap/>
            <w:vAlign w:val="center"/>
            <w:hideMark/>
          </w:tcPr>
          <w:p w14:paraId="47827483" w14:textId="77777777" w:rsidR="00D97215" w:rsidRPr="00D97215" w:rsidRDefault="00D97215" w:rsidP="00D97215">
            <w:pPr>
              <w:spacing w:before="0" w:after="0" w:line="240" w:lineRule="auto"/>
              <w:rPr>
                <w:rFonts w:ascii="Arial" w:hAnsi="Arial" w:cs="Arial"/>
                <w:b/>
                <w:bCs/>
                <w:color w:val="000000"/>
                <w:szCs w:val="20"/>
              </w:rPr>
            </w:pPr>
            <w:r w:rsidRPr="00D97215">
              <w:rPr>
                <w:rFonts w:ascii="Arial" w:hAnsi="Arial" w:cs="Arial"/>
                <w:b/>
                <w:bCs/>
                <w:color w:val="000000"/>
                <w:szCs w:val="20"/>
              </w:rPr>
              <w:t> </w:t>
            </w:r>
          </w:p>
        </w:tc>
        <w:tc>
          <w:tcPr>
            <w:tcW w:w="1195" w:type="dxa"/>
            <w:tcBorders>
              <w:top w:val="nil"/>
              <w:left w:val="nil"/>
              <w:bottom w:val="nil"/>
              <w:right w:val="nil"/>
            </w:tcBorders>
            <w:shd w:val="clear" w:color="000000" w:fill="F2F2F2"/>
            <w:noWrap/>
            <w:vAlign w:val="center"/>
            <w:hideMark/>
          </w:tcPr>
          <w:p w14:paraId="72BCA0B3" w14:textId="77777777" w:rsidR="00D97215" w:rsidRPr="00D97215" w:rsidRDefault="00D97215" w:rsidP="00D97215">
            <w:pPr>
              <w:spacing w:before="0" w:after="0" w:line="240" w:lineRule="auto"/>
              <w:rPr>
                <w:rFonts w:ascii="Arial" w:hAnsi="Arial" w:cs="Arial"/>
                <w:b/>
                <w:bCs/>
                <w:color w:val="000000"/>
                <w:szCs w:val="20"/>
              </w:rPr>
            </w:pPr>
            <w:r w:rsidRPr="00D97215">
              <w:rPr>
                <w:rFonts w:ascii="Arial" w:hAnsi="Arial" w:cs="Arial"/>
                <w:b/>
                <w:bCs/>
                <w:color w:val="000000"/>
                <w:szCs w:val="20"/>
              </w:rPr>
              <w:t> </w:t>
            </w:r>
          </w:p>
        </w:tc>
      </w:tr>
      <w:tr w:rsidR="00D97215" w:rsidRPr="00D97215" w14:paraId="50EF93FB" w14:textId="77777777" w:rsidTr="00D97215">
        <w:trPr>
          <w:trHeight w:val="288"/>
        </w:trPr>
        <w:tc>
          <w:tcPr>
            <w:tcW w:w="3061" w:type="dxa"/>
            <w:tcBorders>
              <w:top w:val="nil"/>
              <w:left w:val="nil"/>
              <w:bottom w:val="nil"/>
              <w:right w:val="nil"/>
            </w:tcBorders>
            <w:shd w:val="clear" w:color="000000" w:fill="F2F2F2"/>
            <w:noWrap/>
            <w:vAlign w:val="center"/>
            <w:hideMark/>
          </w:tcPr>
          <w:p w14:paraId="1960F876" w14:textId="77777777" w:rsidR="00D97215" w:rsidRPr="00D97215" w:rsidRDefault="00D97215" w:rsidP="00D97215">
            <w:pPr>
              <w:spacing w:before="0" w:after="0" w:line="240" w:lineRule="auto"/>
              <w:rPr>
                <w:rFonts w:ascii="Arial" w:hAnsi="Arial" w:cs="Arial"/>
                <w:color w:val="000000"/>
                <w:szCs w:val="20"/>
              </w:rPr>
            </w:pPr>
            <w:r w:rsidRPr="00D97215">
              <w:rPr>
                <w:rFonts w:ascii="Arial" w:hAnsi="Arial" w:cs="Arial"/>
                <w:color w:val="000000"/>
                <w:szCs w:val="20"/>
              </w:rPr>
              <w:t>Control</w:t>
            </w:r>
          </w:p>
        </w:tc>
        <w:tc>
          <w:tcPr>
            <w:tcW w:w="1040" w:type="dxa"/>
            <w:tcBorders>
              <w:top w:val="nil"/>
              <w:left w:val="nil"/>
              <w:bottom w:val="nil"/>
              <w:right w:val="nil"/>
            </w:tcBorders>
            <w:shd w:val="clear" w:color="000000" w:fill="F2F2F2"/>
            <w:noWrap/>
            <w:vAlign w:val="center"/>
            <w:hideMark/>
          </w:tcPr>
          <w:p w14:paraId="38287C11" w14:textId="77777777" w:rsidR="00D97215" w:rsidRPr="00D97215" w:rsidRDefault="00D97215" w:rsidP="00D97215">
            <w:pPr>
              <w:spacing w:before="0" w:after="0" w:line="240" w:lineRule="auto"/>
              <w:jc w:val="right"/>
              <w:rPr>
                <w:rFonts w:ascii="Arial" w:hAnsi="Arial" w:cs="Arial"/>
                <w:color w:val="000000"/>
                <w:szCs w:val="20"/>
              </w:rPr>
            </w:pPr>
            <w:r w:rsidRPr="00D97215">
              <w:rPr>
                <w:rFonts w:ascii="Arial" w:hAnsi="Arial" w:cs="Arial"/>
                <w:color w:val="000000"/>
                <w:szCs w:val="20"/>
              </w:rPr>
              <w:t>3.1</w:t>
            </w:r>
          </w:p>
        </w:tc>
        <w:tc>
          <w:tcPr>
            <w:tcW w:w="1040" w:type="dxa"/>
            <w:tcBorders>
              <w:top w:val="nil"/>
              <w:left w:val="nil"/>
              <w:bottom w:val="nil"/>
              <w:right w:val="nil"/>
            </w:tcBorders>
            <w:shd w:val="clear" w:color="000000" w:fill="F2F2F2"/>
            <w:noWrap/>
            <w:vAlign w:val="center"/>
            <w:hideMark/>
          </w:tcPr>
          <w:p w14:paraId="042C70AC" w14:textId="77777777" w:rsidR="00D97215" w:rsidRPr="00D97215" w:rsidRDefault="00D97215" w:rsidP="00D97215">
            <w:pPr>
              <w:spacing w:before="0" w:after="0" w:line="240" w:lineRule="auto"/>
              <w:jc w:val="right"/>
              <w:rPr>
                <w:rFonts w:ascii="Arial" w:hAnsi="Arial" w:cs="Arial"/>
                <w:color w:val="000000"/>
                <w:szCs w:val="20"/>
              </w:rPr>
            </w:pPr>
            <w:r w:rsidRPr="00D97215">
              <w:rPr>
                <w:rFonts w:ascii="Arial" w:hAnsi="Arial" w:cs="Arial"/>
                <w:color w:val="000000"/>
                <w:szCs w:val="20"/>
              </w:rPr>
              <w:t>3.1</w:t>
            </w:r>
          </w:p>
        </w:tc>
        <w:tc>
          <w:tcPr>
            <w:tcW w:w="1195" w:type="dxa"/>
            <w:tcBorders>
              <w:top w:val="nil"/>
              <w:left w:val="nil"/>
              <w:bottom w:val="nil"/>
              <w:right w:val="nil"/>
            </w:tcBorders>
            <w:shd w:val="clear" w:color="000000" w:fill="F2F2F2"/>
            <w:noWrap/>
            <w:vAlign w:val="center"/>
            <w:hideMark/>
          </w:tcPr>
          <w:p w14:paraId="37EB1774" w14:textId="77777777" w:rsidR="00D97215" w:rsidRPr="00D97215" w:rsidRDefault="00D97215" w:rsidP="00D97215">
            <w:pPr>
              <w:spacing w:before="0" w:after="0" w:line="240" w:lineRule="auto"/>
              <w:jc w:val="right"/>
              <w:rPr>
                <w:rFonts w:ascii="Arial" w:hAnsi="Arial" w:cs="Arial"/>
                <w:color w:val="000000"/>
                <w:szCs w:val="20"/>
              </w:rPr>
            </w:pPr>
            <w:r w:rsidRPr="00D97215">
              <w:rPr>
                <w:rFonts w:ascii="Arial" w:hAnsi="Arial" w:cs="Arial"/>
                <w:color w:val="000000"/>
                <w:szCs w:val="20"/>
              </w:rPr>
              <w:t>0.0</w:t>
            </w:r>
          </w:p>
        </w:tc>
      </w:tr>
      <w:tr w:rsidR="00D97215" w:rsidRPr="00D97215" w14:paraId="47AA9B1E" w14:textId="77777777" w:rsidTr="00D97215">
        <w:trPr>
          <w:trHeight w:val="288"/>
        </w:trPr>
        <w:tc>
          <w:tcPr>
            <w:tcW w:w="3061" w:type="dxa"/>
            <w:tcBorders>
              <w:top w:val="nil"/>
              <w:left w:val="nil"/>
              <w:bottom w:val="nil"/>
              <w:right w:val="nil"/>
            </w:tcBorders>
            <w:shd w:val="clear" w:color="000000" w:fill="F2F2F2"/>
            <w:noWrap/>
            <w:vAlign w:val="center"/>
            <w:hideMark/>
          </w:tcPr>
          <w:p w14:paraId="120CF208" w14:textId="77777777" w:rsidR="00D97215" w:rsidRPr="00D97215" w:rsidRDefault="00D97215" w:rsidP="00D97215">
            <w:pPr>
              <w:spacing w:before="0" w:after="0" w:line="240" w:lineRule="auto"/>
              <w:rPr>
                <w:rFonts w:ascii="Arial" w:hAnsi="Arial" w:cs="Arial"/>
                <w:color w:val="000000"/>
                <w:szCs w:val="20"/>
              </w:rPr>
            </w:pPr>
            <w:r w:rsidRPr="00D97215">
              <w:rPr>
                <w:rFonts w:ascii="Arial" w:hAnsi="Arial" w:cs="Arial"/>
                <w:color w:val="000000"/>
                <w:szCs w:val="20"/>
              </w:rPr>
              <w:t>Treatment</w:t>
            </w:r>
          </w:p>
        </w:tc>
        <w:tc>
          <w:tcPr>
            <w:tcW w:w="1040" w:type="dxa"/>
            <w:tcBorders>
              <w:top w:val="nil"/>
              <w:left w:val="nil"/>
              <w:bottom w:val="nil"/>
              <w:right w:val="nil"/>
            </w:tcBorders>
            <w:shd w:val="clear" w:color="000000" w:fill="F2F2F2"/>
            <w:noWrap/>
            <w:vAlign w:val="center"/>
            <w:hideMark/>
          </w:tcPr>
          <w:p w14:paraId="15ADDB53" w14:textId="77777777" w:rsidR="00D97215" w:rsidRPr="00D97215" w:rsidRDefault="00D97215" w:rsidP="00D97215">
            <w:pPr>
              <w:spacing w:before="0" w:after="0" w:line="240" w:lineRule="auto"/>
              <w:jc w:val="right"/>
              <w:rPr>
                <w:rFonts w:ascii="Arial" w:hAnsi="Arial" w:cs="Arial"/>
                <w:color w:val="000000"/>
                <w:szCs w:val="20"/>
              </w:rPr>
            </w:pPr>
            <w:r w:rsidRPr="00D97215">
              <w:rPr>
                <w:rFonts w:ascii="Arial" w:hAnsi="Arial" w:cs="Arial"/>
                <w:color w:val="000000"/>
                <w:szCs w:val="20"/>
              </w:rPr>
              <w:t>2.7</w:t>
            </w:r>
          </w:p>
        </w:tc>
        <w:tc>
          <w:tcPr>
            <w:tcW w:w="1040" w:type="dxa"/>
            <w:tcBorders>
              <w:top w:val="nil"/>
              <w:left w:val="nil"/>
              <w:bottom w:val="nil"/>
              <w:right w:val="nil"/>
            </w:tcBorders>
            <w:shd w:val="clear" w:color="000000" w:fill="F2F2F2"/>
            <w:noWrap/>
            <w:vAlign w:val="center"/>
            <w:hideMark/>
          </w:tcPr>
          <w:p w14:paraId="49C3BE64" w14:textId="77777777" w:rsidR="00D97215" w:rsidRPr="00D97215" w:rsidRDefault="00D97215" w:rsidP="00D97215">
            <w:pPr>
              <w:spacing w:before="0" w:after="0" w:line="240" w:lineRule="auto"/>
              <w:jc w:val="right"/>
              <w:rPr>
                <w:rFonts w:ascii="Arial" w:hAnsi="Arial" w:cs="Arial"/>
                <w:color w:val="000000"/>
                <w:szCs w:val="20"/>
              </w:rPr>
            </w:pPr>
            <w:r w:rsidRPr="00D97215">
              <w:rPr>
                <w:rFonts w:ascii="Arial" w:hAnsi="Arial" w:cs="Arial"/>
                <w:color w:val="000000"/>
                <w:szCs w:val="20"/>
              </w:rPr>
              <w:t>3.1</w:t>
            </w:r>
          </w:p>
        </w:tc>
        <w:tc>
          <w:tcPr>
            <w:tcW w:w="1195" w:type="dxa"/>
            <w:tcBorders>
              <w:top w:val="nil"/>
              <w:left w:val="nil"/>
              <w:bottom w:val="nil"/>
              <w:right w:val="nil"/>
            </w:tcBorders>
            <w:shd w:val="clear" w:color="000000" w:fill="F2F2F2"/>
            <w:noWrap/>
            <w:vAlign w:val="center"/>
            <w:hideMark/>
          </w:tcPr>
          <w:p w14:paraId="756BE7DA" w14:textId="4D3F57E2" w:rsidR="00D97215" w:rsidRPr="00D97215" w:rsidRDefault="003F3621" w:rsidP="00D97215">
            <w:pPr>
              <w:spacing w:before="0" w:after="0" w:line="240" w:lineRule="auto"/>
              <w:jc w:val="right"/>
              <w:rPr>
                <w:rFonts w:ascii="Arial" w:hAnsi="Arial" w:cs="Arial"/>
                <w:color w:val="000000"/>
                <w:szCs w:val="20"/>
              </w:rPr>
            </w:pPr>
            <w:r>
              <w:rPr>
                <w:rFonts w:ascii="Arial" w:hAnsi="Arial" w:cs="Arial"/>
                <w:color w:val="000000"/>
                <w:szCs w:val="20"/>
              </w:rPr>
              <w:t>+</w:t>
            </w:r>
            <w:r w:rsidR="00D97215" w:rsidRPr="00D97215">
              <w:rPr>
                <w:rFonts w:ascii="Arial" w:hAnsi="Arial" w:cs="Arial"/>
                <w:color w:val="000000"/>
                <w:szCs w:val="20"/>
              </w:rPr>
              <w:t>0.4</w:t>
            </w:r>
          </w:p>
        </w:tc>
      </w:tr>
      <w:tr w:rsidR="00D97215" w:rsidRPr="00D97215" w14:paraId="57091335" w14:textId="77777777" w:rsidTr="00D97215">
        <w:trPr>
          <w:trHeight w:val="288"/>
        </w:trPr>
        <w:tc>
          <w:tcPr>
            <w:tcW w:w="3061" w:type="dxa"/>
            <w:tcBorders>
              <w:top w:val="nil"/>
              <w:left w:val="nil"/>
              <w:bottom w:val="nil"/>
              <w:right w:val="nil"/>
            </w:tcBorders>
            <w:shd w:val="clear" w:color="000000" w:fill="F2F2F2"/>
            <w:noWrap/>
            <w:vAlign w:val="center"/>
            <w:hideMark/>
          </w:tcPr>
          <w:p w14:paraId="770DB0BA" w14:textId="77777777" w:rsidR="00D97215" w:rsidRPr="00D97215" w:rsidRDefault="00D97215" w:rsidP="00D97215">
            <w:pPr>
              <w:spacing w:before="0" w:after="0" w:line="240" w:lineRule="auto"/>
              <w:rPr>
                <w:rFonts w:ascii="Arial" w:hAnsi="Arial" w:cs="Arial"/>
                <w:b/>
                <w:bCs/>
                <w:color w:val="000000"/>
                <w:szCs w:val="20"/>
              </w:rPr>
            </w:pPr>
            <w:r w:rsidRPr="00D97215">
              <w:rPr>
                <w:rFonts w:ascii="Arial" w:hAnsi="Arial" w:cs="Arial"/>
                <w:b/>
                <w:bCs/>
                <w:color w:val="000000"/>
                <w:szCs w:val="20"/>
              </w:rPr>
              <w:t xml:space="preserve">Satisfaction </w:t>
            </w:r>
            <w:r w:rsidRPr="00D97215">
              <w:rPr>
                <w:rFonts w:ascii="Arial" w:hAnsi="Arial" w:cs="Arial"/>
                <w:color w:val="000000"/>
                <w:szCs w:val="20"/>
              </w:rPr>
              <w:t>(0-10 scale)</w:t>
            </w:r>
          </w:p>
        </w:tc>
        <w:tc>
          <w:tcPr>
            <w:tcW w:w="1040" w:type="dxa"/>
            <w:tcBorders>
              <w:top w:val="nil"/>
              <w:left w:val="nil"/>
              <w:bottom w:val="nil"/>
              <w:right w:val="nil"/>
            </w:tcBorders>
            <w:shd w:val="clear" w:color="000000" w:fill="F2F2F2"/>
            <w:noWrap/>
            <w:vAlign w:val="center"/>
            <w:hideMark/>
          </w:tcPr>
          <w:p w14:paraId="6341BFD0" w14:textId="77777777" w:rsidR="00D97215" w:rsidRPr="00D97215" w:rsidRDefault="00D97215" w:rsidP="00D97215">
            <w:pPr>
              <w:spacing w:before="0" w:after="0" w:line="240" w:lineRule="auto"/>
              <w:rPr>
                <w:rFonts w:ascii="Arial" w:hAnsi="Arial" w:cs="Arial"/>
                <w:b/>
                <w:bCs/>
                <w:color w:val="000000"/>
                <w:szCs w:val="20"/>
              </w:rPr>
            </w:pPr>
            <w:r w:rsidRPr="00D97215">
              <w:rPr>
                <w:rFonts w:ascii="Arial" w:hAnsi="Arial" w:cs="Arial"/>
                <w:b/>
                <w:bCs/>
                <w:color w:val="000000"/>
                <w:szCs w:val="20"/>
              </w:rPr>
              <w:t> </w:t>
            </w:r>
          </w:p>
        </w:tc>
        <w:tc>
          <w:tcPr>
            <w:tcW w:w="1040" w:type="dxa"/>
            <w:tcBorders>
              <w:top w:val="nil"/>
              <w:left w:val="nil"/>
              <w:bottom w:val="nil"/>
              <w:right w:val="nil"/>
            </w:tcBorders>
            <w:shd w:val="clear" w:color="000000" w:fill="F2F2F2"/>
            <w:noWrap/>
            <w:vAlign w:val="center"/>
            <w:hideMark/>
          </w:tcPr>
          <w:p w14:paraId="6C686C4C" w14:textId="77777777" w:rsidR="00D97215" w:rsidRPr="00D97215" w:rsidRDefault="00D97215" w:rsidP="00D97215">
            <w:pPr>
              <w:spacing w:before="0" w:after="0" w:line="240" w:lineRule="auto"/>
              <w:rPr>
                <w:rFonts w:ascii="Arial" w:hAnsi="Arial" w:cs="Arial"/>
                <w:b/>
                <w:bCs/>
                <w:color w:val="000000"/>
                <w:szCs w:val="20"/>
              </w:rPr>
            </w:pPr>
            <w:r w:rsidRPr="00D97215">
              <w:rPr>
                <w:rFonts w:ascii="Arial" w:hAnsi="Arial" w:cs="Arial"/>
                <w:b/>
                <w:bCs/>
                <w:color w:val="000000"/>
                <w:szCs w:val="20"/>
              </w:rPr>
              <w:t> </w:t>
            </w:r>
          </w:p>
        </w:tc>
        <w:tc>
          <w:tcPr>
            <w:tcW w:w="1195" w:type="dxa"/>
            <w:tcBorders>
              <w:top w:val="nil"/>
              <w:left w:val="nil"/>
              <w:bottom w:val="nil"/>
              <w:right w:val="nil"/>
            </w:tcBorders>
            <w:shd w:val="clear" w:color="000000" w:fill="F2F2F2"/>
            <w:noWrap/>
            <w:vAlign w:val="center"/>
            <w:hideMark/>
          </w:tcPr>
          <w:p w14:paraId="7D0F825D" w14:textId="77777777" w:rsidR="00D97215" w:rsidRPr="00D97215" w:rsidRDefault="00D97215" w:rsidP="00D97215">
            <w:pPr>
              <w:spacing w:before="0" w:after="0" w:line="240" w:lineRule="auto"/>
              <w:rPr>
                <w:rFonts w:ascii="Arial" w:hAnsi="Arial" w:cs="Arial"/>
                <w:b/>
                <w:bCs/>
                <w:color w:val="000000"/>
                <w:szCs w:val="20"/>
              </w:rPr>
            </w:pPr>
            <w:r w:rsidRPr="00D97215">
              <w:rPr>
                <w:rFonts w:ascii="Arial" w:hAnsi="Arial" w:cs="Arial"/>
                <w:b/>
                <w:bCs/>
                <w:color w:val="000000"/>
                <w:szCs w:val="20"/>
              </w:rPr>
              <w:t> </w:t>
            </w:r>
          </w:p>
        </w:tc>
      </w:tr>
      <w:tr w:rsidR="00D97215" w:rsidRPr="00D97215" w14:paraId="7FD50409" w14:textId="77777777" w:rsidTr="00D97215">
        <w:trPr>
          <w:trHeight w:val="288"/>
        </w:trPr>
        <w:tc>
          <w:tcPr>
            <w:tcW w:w="3061" w:type="dxa"/>
            <w:tcBorders>
              <w:top w:val="nil"/>
              <w:left w:val="nil"/>
              <w:bottom w:val="nil"/>
              <w:right w:val="nil"/>
            </w:tcBorders>
            <w:shd w:val="clear" w:color="000000" w:fill="F2F2F2"/>
            <w:noWrap/>
            <w:vAlign w:val="center"/>
            <w:hideMark/>
          </w:tcPr>
          <w:p w14:paraId="1232C7FA" w14:textId="77777777" w:rsidR="00D97215" w:rsidRPr="00D97215" w:rsidRDefault="00D97215" w:rsidP="00D97215">
            <w:pPr>
              <w:spacing w:before="0" w:after="0" w:line="240" w:lineRule="auto"/>
              <w:rPr>
                <w:rFonts w:ascii="Arial" w:hAnsi="Arial" w:cs="Arial"/>
                <w:color w:val="000000"/>
                <w:szCs w:val="20"/>
              </w:rPr>
            </w:pPr>
            <w:r w:rsidRPr="00D97215">
              <w:rPr>
                <w:rFonts w:ascii="Arial" w:hAnsi="Arial" w:cs="Arial"/>
                <w:color w:val="000000"/>
                <w:szCs w:val="20"/>
              </w:rPr>
              <w:t>Control</w:t>
            </w:r>
          </w:p>
        </w:tc>
        <w:tc>
          <w:tcPr>
            <w:tcW w:w="1040" w:type="dxa"/>
            <w:tcBorders>
              <w:top w:val="nil"/>
              <w:left w:val="nil"/>
              <w:bottom w:val="nil"/>
              <w:right w:val="nil"/>
            </w:tcBorders>
            <w:shd w:val="clear" w:color="000000" w:fill="F2F2F2"/>
            <w:noWrap/>
            <w:vAlign w:val="center"/>
            <w:hideMark/>
          </w:tcPr>
          <w:p w14:paraId="412E6EA1" w14:textId="77777777" w:rsidR="00D97215" w:rsidRPr="00D97215" w:rsidRDefault="00D97215" w:rsidP="00D97215">
            <w:pPr>
              <w:spacing w:before="0" w:after="0" w:line="240" w:lineRule="auto"/>
              <w:jc w:val="right"/>
              <w:rPr>
                <w:rFonts w:ascii="Arial" w:hAnsi="Arial" w:cs="Arial"/>
                <w:color w:val="000000"/>
                <w:szCs w:val="20"/>
              </w:rPr>
            </w:pPr>
            <w:r w:rsidRPr="00D97215">
              <w:rPr>
                <w:rFonts w:ascii="Arial" w:hAnsi="Arial" w:cs="Arial"/>
                <w:color w:val="000000"/>
                <w:szCs w:val="20"/>
              </w:rPr>
              <w:t>7.5</w:t>
            </w:r>
          </w:p>
        </w:tc>
        <w:tc>
          <w:tcPr>
            <w:tcW w:w="1040" w:type="dxa"/>
            <w:tcBorders>
              <w:top w:val="nil"/>
              <w:left w:val="nil"/>
              <w:bottom w:val="nil"/>
              <w:right w:val="nil"/>
            </w:tcBorders>
            <w:shd w:val="clear" w:color="000000" w:fill="F2F2F2"/>
            <w:noWrap/>
            <w:vAlign w:val="center"/>
            <w:hideMark/>
          </w:tcPr>
          <w:p w14:paraId="2D56E1CB" w14:textId="77777777" w:rsidR="00D97215" w:rsidRPr="00D97215" w:rsidRDefault="00D97215" w:rsidP="00D97215">
            <w:pPr>
              <w:spacing w:before="0" w:after="0" w:line="240" w:lineRule="auto"/>
              <w:jc w:val="right"/>
              <w:rPr>
                <w:rFonts w:ascii="Arial" w:hAnsi="Arial" w:cs="Arial"/>
                <w:color w:val="000000"/>
                <w:szCs w:val="20"/>
              </w:rPr>
            </w:pPr>
            <w:r w:rsidRPr="00D97215">
              <w:rPr>
                <w:rFonts w:ascii="Arial" w:hAnsi="Arial" w:cs="Arial"/>
                <w:color w:val="000000"/>
                <w:szCs w:val="20"/>
              </w:rPr>
              <w:t>6.1</w:t>
            </w:r>
          </w:p>
        </w:tc>
        <w:tc>
          <w:tcPr>
            <w:tcW w:w="1195" w:type="dxa"/>
            <w:tcBorders>
              <w:top w:val="nil"/>
              <w:left w:val="nil"/>
              <w:bottom w:val="nil"/>
              <w:right w:val="nil"/>
            </w:tcBorders>
            <w:shd w:val="clear" w:color="000000" w:fill="F2F2F2"/>
            <w:noWrap/>
            <w:vAlign w:val="center"/>
            <w:hideMark/>
          </w:tcPr>
          <w:p w14:paraId="7920F146" w14:textId="77777777" w:rsidR="00D97215" w:rsidRPr="00D97215" w:rsidRDefault="00D97215" w:rsidP="00D97215">
            <w:pPr>
              <w:spacing w:before="0" w:after="0" w:line="240" w:lineRule="auto"/>
              <w:jc w:val="right"/>
              <w:rPr>
                <w:rFonts w:ascii="Arial" w:hAnsi="Arial" w:cs="Arial"/>
                <w:color w:val="000000"/>
                <w:szCs w:val="20"/>
              </w:rPr>
            </w:pPr>
            <w:r w:rsidRPr="00D97215">
              <w:rPr>
                <w:rFonts w:ascii="Arial" w:hAnsi="Arial" w:cs="Arial"/>
                <w:color w:val="000000"/>
                <w:szCs w:val="20"/>
              </w:rPr>
              <w:t>-1.4</w:t>
            </w:r>
          </w:p>
        </w:tc>
      </w:tr>
      <w:tr w:rsidR="00D97215" w:rsidRPr="00D97215" w14:paraId="2C47ECDD" w14:textId="77777777" w:rsidTr="00D97215">
        <w:trPr>
          <w:trHeight w:val="288"/>
        </w:trPr>
        <w:tc>
          <w:tcPr>
            <w:tcW w:w="3061" w:type="dxa"/>
            <w:tcBorders>
              <w:top w:val="nil"/>
              <w:left w:val="nil"/>
              <w:bottom w:val="nil"/>
              <w:right w:val="nil"/>
            </w:tcBorders>
            <w:shd w:val="clear" w:color="000000" w:fill="F2F2F2"/>
            <w:noWrap/>
            <w:vAlign w:val="center"/>
            <w:hideMark/>
          </w:tcPr>
          <w:p w14:paraId="2A08C5FB" w14:textId="77777777" w:rsidR="00D97215" w:rsidRPr="00D97215" w:rsidRDefault="00D97215" w:rsidP="00D97215">
            <w:pPr>
              <w:spacing w:before="0" w:after="0" w:line="240" w:lineRule="auto"/>
              <w:rPr>
                <w:rFonts w:ascii="Arial" w:hAnsi="Arial" w:cs="Arial"/>
                <w:color w:val="000000"/>
                <w:szCs w:val="20"/>
              </w:rPr>
            </w:pPr>
            <w:r w:rsidRPr="00D97215">
              <w:rPr>
                <w:rFonts w:ascii="Arial" w:hAnsi="Arial" w:cs="Arial"/>
                <w:color w:val="000000"/>
                <w:szCs w:val="20"/>
              </w:rPr>
              <w:t>Treatment</w:t>
            </w:r>
          </w:p>
        </w:tc>
        <w:tc>
          <w:tcPr>
            <w:tcW w:w="1040" w:type="dxa"/>
            <w:tcBorders>
              <w:top w:val="nil"/>
              <w:left w:val="nil"/>
              <w:bottom w:val="nil"/>
              <w:right w:val="nil"/>
            </w:tcBorders>
            <w:shd w:val="clear" w:color="000000" w:fill="F2F2F2"/>
            <w:noWrap/>
            <w:vAlign w:val="center"/>
            <w:hideMark/>
          </w:tcPr>
          <w:p w14:paraId="2D9FF9A3" w14:textId="77777777" w:rsidR="00D97215" w:rsidRPr="00D97215" w:rsidRDefault="00D97215" w:rsidP="00D97215">
            <w:pPr>
              <w:spacing w:before="0" w:after="0" w:line="240" w:lineRule="auto"/>
              <w:jc w:val="right"/>
              <w:rPr>
                <w:rFonts w:ascii="Arial" w:hAnsi="Arial" w:cs="Arial"/>
                <w:color w:val="000000"/>
                <w:szCs w:val="20"/>
              </w:rPr>
            </w:pPr>
            <w:r w:rsidRPr="00D97215">
              <w:rPr>
                <w:rFonts w:ascii="Arial" w:hAnsi="Arial" w:cs="Arial"/>
                <w:color w:val="000000"/>
                <w:szCs w:val="20"/>
              </w:rPr>
              <w:t>7.5</w:t>
            </w:r>
          </w:p>
        </w:tc>
        <w:tc>
          <w:tcPr>
            <w:tcW w:w="1040" w:type="dxa"/>
            <w:tcBorders>
              <w:top w:val="nil"/>
              <w:left w:val="nil"/>
              <w:bottom w:val="nil"/>
              <w:right w:val="nil"/>
            </w:tcBorders>
            <w:shd w:val="clear" w:color="000000" w:fill="F2F2F2"/>
            <w:noWrap/>
            <w:vAlign w:val="center"/>
            <w:hideMark/>
          </w:tcPr>
          <w:p w14:paraId="6D38B8AE" w14:textId="77777777" w:rsidR="00D97215" w:rsidRPr="00D97215" w:rsidRDefault="00D97215" w:rsidP="00D97215">
            <w:pPr>
              <w:spacing w:before="0" w:after="0" w:line="240" w:lineRule="auto"/>
              <w:jc w:val="right"/>
              <w:rPr>
                <w:rFonts w:ascii="Arial" w:hAnsi="Arial" w:cs="Arial"/>
                <w:color w:val="000000"/>
                <w:szCs w:val="20"/>
              </w:rPr>
            </w:pPr>
            <w:r w:rsidRPr="00D97215">
              <w:rPr>
                <w:rFonts w:ascii="Arial" w:hAnsi="Arial" w:cs="Arial"/>
                <w:color w:val="000000"/>
                <w:szCs w:val="20"/>
              </w:rPr>
              <w:t>7.1</w:t>
            </w:r>
          </w:p>
        </w:tc>
        <w:tc>
          <w:tcPr>
            <w:tcW w:w="1195" w:type="dxa"/>
            <w:tcBorders>
              <w:top w:val="nil"/>
              <w:left w:val="nil"/>
              <w:bottom w:val="nil"/>
              <w:right w:val="nil"/>
            </w:tcBorders>
            <w:shd w:val="clear" w:color="000000" w:fill="F2F2F2"/>
            <w:noWrap/>
            <w:vAlign w:val="center"/>
            <w:hideMark/>
          </w:tcPr>
          <w:p w14:paraId="3411DC94" w14:textId="77777777" w:rsidR="00D97215" w:rsidRPr="00D97215" w:rsidRDefault="00D97215" w:rsidP="00D97215">
            <w:pPr>
              <w:spacing w:before="0" w:after="0" w:line="240" w:lineRule="auto"/>
              <w:jc w:val="right"/>
              <w:rPr>
                <w:rFonts w:ascii="Arial" w:hAnsi="Arial" w:cs="Arial"/>
                <w:color w:val="000000"/>
                <w:szCs w:val="20"/>
              </w:rPr>
            </w:pPr>
            <w:r w:rsidRPr="00D97215">
              <w:rPr>
                <w:rFonts w:ascii="Arial" w:hAnsi="Arial" w:cs="Arial"/>
                <w:color w:val="000000"/>
                <w:szCs w:val="20"/>
              </w:rPr>
              <w:t>-0.4</w:t>
            </w:r>
          </w:p>
        </w:tc>
      </w:tr>
      <w:tr w:rsidR="00D97215" w:rsidRPr="00D97215" w14:paraId="2D44C9EC" w14:textId="77777777" w:rsidTr="00D97215">
        <w:trPr>
          <w:trHeight w:val="288"/>
        </w:trPr>
        <w:tc>
          <w:tcPr>
            <w:tcW w:w="3061" w:type="dxa"/>
            <w:tcBorders>
              <w:top w:val="nil"/>
              <w:left w:val="nil"/>
              <w:bottom w:val="nil"/>
              <w:right w:val="nil"/>
            </w:tcBorders>
            <w:shd w:val="clear" w:color="000000" w:fill="F2F2F2"/>
            <w:noWrap/>
            <w:vAlign w:val="center"/>
            <w:hideMark/>
          </w:tcPr>
          <w:p w14:paraId="5E569E9E" w14:textId="77777777" w:rsidR="00D97215" w:rsidRPr="00D97215" w:rsidRDefault="00D97215" w:rsidP="00D97215">
            <w:pPr>
              <w:spacing w:before="0" w:after="0" w:line="240" w:lineRule="auto"/>
              <w:rPr>
                <w:rFonts w:ascii="Arial" w:hAnsi="Arial" w:cs="Arial"/>
                <w:b/>
                <w:bCs/>
                <w:color w:val="000000"/>
                <w:szCs w:val="20"/>
              </w:rPr>
            </w:pPr>
            <w:r w:rsidRPr="00D97215">
              <w:rPr>
                <w:rFonts w:ascii="Arial" w:hAnsi="Arial" w:cs="Arial"/>
                <w:b/>
                <w:bCs/>
                <w:color w:val="000000"/>
                <w:szCs w:val="20"/>
              </w:rPr>
              <w:t xml:space="preserve">Confidence </w:t>
            </w:r>
            <w:r w:rsidRPr="00D97215">
              <w:rPr>
                <w:rFonts w:ascii="Arial" w:hAnsi="Arial" w:cs="Arial"/>
                <w:color w:val="000000"/>
                <w:szCs w:val="20"/>
              </w:rPr>
              <w:t>(0-10 scale)</w:t>
            </w:r>
          </w:p>
        </w:tc>
        <w:tc>
          <w:tcPr>
            <w:tcW w:w="1040" w:type="dxa"/>
            <w:tcBorders>
              <w:top w:val="nil"/>
              <w:left w:val="nil"/>
              <w:bottom w:val="nil"/>
              <w:right w:val="nil"/>
            </w:tcBorders>
            <w:shd w:val="clear" w:color="000000" w:fill="F2F2F2"/>
            <w:noWrap/>
            <w:vAlign w:val="center"/>
            <w:hideMark/>
          </w:tcPr>
          <w:p w14:paraId="3C10066A" w14:textId="77777777" w:rsidR="00D97215" w:rsidRPr="00D97215" w:rsidRDefault="00D97215" w:rsidP="00D97215">
            <w:pPr>
              <w:spacing w:before="0" w:after="0" w:line="240" w:lineRule="auto"/>
              <w:rPr>
                <w:rFonts w:ascii="Arial" w:hAnsi="Arial" w:cs="Arial"/>
                <w:b/>
                <w:bCs/>
                <w:color w:val="000000"/>
                <w:szCs w:val="20"/>
              </w:rPr>
            </w:pPr>
            <w:r w:rsidRPr="00D97215">
              <w:rPr>
                <w:rFonts w:ascii="Arial" w:hAnsi="Arial" w:cs="Arial"/>
                <w:b/>
                <w:bCs/>
                <w:color w:val="000000"/>
                <w:szCs w:val="20"/>
              </w:rPr>
              <w:t> </w:t>
            </w:r>
          </w:p>
        </w:tc>
        <w:tc>
          <w:tcPr>
            <w:tcW w:w="1040" w:type="dxa"/>
            <w:tcBorders>
              <w:top w:val="nil"/>
              <w:left w:val="nil"/>
              <w:bottom w:val="nil"/>
              <w:right w:val="nil"/>
            </w:tcBorders>
            <w:shd w:val="clear" w:color="000000" w:fill="F2F2F2"/>
            <w:noWrap/>
            <w:vAlign w:val="center"/>
            <w:hideMark/>
          </w:tcPr>
          <w:p w14:paraId="4DD2E361" w14:textId="77777777" w:rsidR="00D97215" w:rsidRPr="00D97215" w:rsidRDefault="00D97215" w:rsidP="00D97215">
            <w:pPr>
              <w:spacing w:before="0" w:after="0" w:line="240" w:lineRule="auto"/>
              <w:rPr>
                <w:rFonts w:ascii="Arial" w:hAnsi="Arial" w:cs="Arial"/>
                <w:b/>
                <w:bCs/>
                <w:color w:val="000000"/>
                <w:szCs w:val="20"/>
              </w:rPr>
            </w:pPr>
            <w:r w:rsidRPr="00D97215">
              <w:rPr>
                <w:rFonts w:ascii="Arial" w:hAnsi="Arial" w:cs="Arial"/>
                <w:b/>
                <w:bCs/>
                <w:color w:val="000000"/>
                <w:szCs w:val="20"/>
              </w:rPr>
              <w:t> </w:t>
            </w:r>
          </w:p>
        </w:tc>
        <w:tc>
          <w:tcPr>
            <w:tcW w:w="1195" w:type="dxa"/>
            <w:tcBorders>
              <w:top w:val="nil"/>
              <w:left w:val="nil"/>
              <w:bottom w:val="nil"/>
              <w:right w:val="nil"/>
            </w:tcBorders>
            <w:shd w:val="clear" w:color="000000" w:fill="F2F2F2"/>
            <w:noWrap/>
            <w:vAlign w:val="center"/>
            <w:hideMark/>
          </w:tcPr>
          <w:p w14:paraId="2E69D608" w14:textId="77777777" w:rsidR="00D97215" w:rsidRPr="00D97215" w:rsidRDefault="00D97215" w:rsidP="00D97215">
            <w:pPr>
              <w:spacing w:before="0" w:after="0" w:line="240" w:lineRule="auto"/>
              <w:rPr>
                <w:rFonts w:ascii="Arial" w:hAnsi="Arial" w:cs="Arial"/>
                <w:b/>
                <w:bCs/>
                <w:color w:val="000000"/>
                <w:szCs w:val="20"/>
              </w:rPr>
            </w:pPr>
            <w:r w:rsidRPr="00D97215">
              <w:rPr>
                <w:rFonts w:ascii="Arial" w:hAnsi="Arial" w:cs="Arial"/>
                <w:b/>
                <w:bCs/>
                <w:color w:val="000000"/>
                <w:szCs w:val="20"/>
              </w:rPr>
              <w:t> </w:t>
            </w:r>
          </w:p>
        </w:tc>
      </w:tr>
      <w:tr w:rsidR="00D97215" w:rsidRPr="00D97215" w14:paraId="7B5FEBBA" w14:textId="77777777" w:rsidTr="00D97215">
        <w:trPr>
          <w:trHeight w:val="288"/>
        </w:trPr>
        <w:tc>
          <w:tcPr>
            <w:tcW w:w="3061" w:type="dxa"/>
            <w:tcBorders>
              <w:top w:val="nil"/>
              <w:left w:val="nil"/>
              <w:bottom w:val="nil"/>
              <w:right w:val="nil"/>
            </w:tcBorders>
            <w:shd w:val="clear" w:color="000000" w:fill="F2F2F2"/>
            <w:noWrap/>
            <w:vAlign w:val="center"/>
            <w:hideMark/>
          </w:tcPr>
          <w:p w14:paraId="4303347B" w14:textId="77777777" w:rsidR="00D97215" w:rsidRPr="00D97215" w:rsidRDefault="00D97215" w:rsidP="00D97215">
            <w:pPr>
              <w:spacing w:before="0" w:after="0" w:line="240" w:lineRule="auto"/>
              <w:rPr>
                <w:rFonts w:ascii="Arial" w:hAnsi="Arial" w:cs="Arial"/>
                <w:color w:val="000000"/>
                <w:szCs w:val="20"/>
              </w:rPr>
            </w:pPr>
            <w:r w:rsidRPr="00D97215">
              <w:rPr>
                <w:rFonts w:ascii="Arial" w:hAnsi="Arial" w:cs="Arial"/>
                <w:color w:val="000000"/>
                <w:szCs w:val="20"/>
              </w:rPr>
              <w:t>Control</w:t>
            </w:r>
          </w:p>
        </w:tc>
        <w:tc>
          <w:tcPr>
            <w:tcW w:w="1040" w:type="dxa"/>
            <w:tcBorders>
              <w:top w:val="nil"/>
              <w:left w:val="nil"/>
              <w:bottom w:val="nil"/>
              <w:right w:val="nil"/>
            </w:tcBorders>
            <w:shd w:val="clear" w:color="000000" w:fill="F2F2F2"/>
            <w:noWrap/>
            <w:vAlign w:val="center"/>
            <w:hideMark/>
          </w:tcPr>
          <w:p w14:paraId="6D01330A" w14:textId="77777777" w:rsidR="00D97215" w:rsidRPr="00D97215" w:rsidRDefault="00D97215" w:rsidP="00D97215">
            <w:pPr>
              <w:spacing w:before="0" w:after="0" w:line="240" w:lineRule="auto"/>
              <w:jc w:val="right"/>
              <w:rPr>
                <w:rFonts w:ascii="Arial" w:hAnsi="Arial" w:cs="Arial"/>
                <w:color w:val="000000"/>
                <w:szCs w:val="20"/>
              </w:rPr>
            </w:pPr>
            <w:r w:rsidRPr="00D97215">
              <w:rPr>
                <w:rFonts w:ascii="Arial" w:hAnsi="Arial" w:cs="Arial"/>
                <w:color w:val="000000"/>
                <w:szCs w:val="20"/>
              </w:rPr>
              <w:t>6.7</w:t>
            </w:r>
          </w:p>
        </w:tc>
        <w:tc>
          <w:tcPr>
            <w:tcW w:w="1040" w:type="dxa"/>
            <w:tcBorders>
              <w:top w:val="nil"/>
              <w:left w:val="nil"/>
              <w:bottom w:val="nil"/>
              <w:right w:val="nil"/>
            </w:tcBorders>
            <w:shd w:val="clear" w:color="000000" w:fill="F2F2F2"/>
            <w:noWrap/>
            <w:vAlign w:val="center"/>
            <w:hideMark/>
          </w:tcPr>
          <w:p w14:paraId="620FF719" w14:textId="77777777" w:rsidR="00D97215" w:rsidRPr="00D97215" w:rsidRDefault="00D97215" w:rsidP="00D97215">
            <w:pPr>
              <w:spacing w:before="0" w:after="0" w:line="240" w:lineRule="auto"/>
              <w:jc w:val="right"/>
              <w:rPr>
                <w:rFonts w:ascii="Arial" w:hAnsi="Arial" w:cs="Arial"/>
                <w:color w:val="000000"/>
                <w:szCs w:val="20"/>
              </w:rPr>
            </w:pPr>
            <w:r w:rsidRPr="00D97215">
              <w:rPr>
                <w:rFonts w:ascii="Arial" w:hAnsi="Arial" w:cs="Arial"/>
                <w:color w:val="000000"/>
                <w:szCs w:val="20"/>
              </w:rPr>
              <w:t>6.2</w:t>
            </w:r>
          </w:p>
        </w:tc>
        <w:tc>
          <w:tcPr>
            <w:tcW w:w="1195" w:type="dxa"/>
            <w:tcBorders>
              <w:top w:val="nil"/>
              <w:left w:val="nil"/>
              <w:bottom w:val="nil"/>
              <w:right w:val="nil"/>
            </w:tcBorders>
            <w:shd w:val="clear" w:color="000000" w:fill="F2F2F2"/>
            <w:noWrap/>
            <w:vAlign w:val="center"/>
            <w:hideMark/>
          </w:tcPr>
          <w:p w14:paraId="19876CA6" w14:textId="77777777" w:rsidR="00D97215" w:rsidRPr="00D97215" w:rsidRDefault="00D97215" w:rsidP="00D97215">
            <w:pPr>
              <w:spacing w:before="0" w:after="0" w:line="240" w:lineRule="auto"/>
              <w:jc w:val="right"/>
              <w:rPr>
                <w:rFonts w:ascii="Arial" w:hAnsi="Arial" w:cs="Arial"/>
                <w:color w:val="000000"/>
                <w:szCs w:val="20"/>
              </w:rPr>
            </w:pPr>
            <w:r w:rsidRPr="00D97215">
              <w:rPr>
                <w:rFonts w:ascii="Arial" w:hAnsi="Arial" w:cs="Arial"/>
                <w:color w:val="000000"/>
                <w:szCs w:val="20"/>
              </w:rPr>
              <w:t>-0.5</w:t>
            </w:r>
          </w:p>
        </w:tc>
      </w:tr>
      <w:tr w:rsidR="00D97215" w:rsidRPr="00D97215" w14:paraId="73E1FD77" w14:textId="77777777" w:rsidTr="00D97215">
        <w:trPr>
          <w:trHeight w:val="288"/>
        </w:trPr>
        <w:tc>
          <w:tcPr>
            <w:tcW w:w="3061" w:type="dxa"/>
            <w:tcBorders>
              <w:top w:val="nil"/>
              <w:left w:val="nil"/>
              <w:bottom w:val="nil"/>
              <w:right w:val="nil"/>
            </w:tcBorders>
            <w:shd w:val="clear" w:color="000000" w:fill="F2F2F2"/>
            <w:noWrap/>
            <w:vAlign w:val="center"/>
            <w:hideMark/>
          </w:tcPr>
          <w:p w14:paraId="29E32D17" w14:textId="77777777" w:rsidR="00D97215" w:rsidRPr="00D97215" w:rsidRDefault="00D97215" w:rsidP="00D97215">
            <w:pPr>
              <w:spacing w:before="0" w:after="0" w:line="240" w:lineRule="auto"/>
              <w:rPr>
                <w:rFonts w:ascii="Arial" w:hAnsi="Arial" w:cs="Arial"/>
                <w:color w:val="000000"/>
                <w:szCs w:val="20"/>
              </w:rPr>
            </w:pPr>
            <w:r w:rsidRPr="00D97215">
              <w:rPr>
                <w:rFonts w:ascii="Arial" w:hAnsi="Arial" w:cs="Arial"/>
                <w:color w:val="000000"/>
                <w:szCs w:val="20"/>
              </w:rPr>
              <w:t>Treatment</w:t>
            </w:r>
          </w:p>
        </w:tc>
        <w:tc>
          <w:tcPr>
            <w:tcW w:w="1040" w:type="dxa"/>
            <w:tcBorders>
              <w:top w:val="nil"/>
              <w:left w:val="nil"/>
              <w:bottom w:val="nil"/>
              <w:right w:val="nil"/>
            </w:tcBorders>
            <w:shd w:val="clear" w:color="000000" w:fill="F2F2F2"/>
            <w:noWrap/>
            <w:vAlign w:val="center"/>
            <w:hideMark/>
          </w:tcPr>
          <w:p w14:paraId="0B45A233" w14:textId="77777777" w:rsidR="00D97215" w:rsidRPr="00D97215" w:rsidRDefault="00D97215" w:rsidP="00D97215">
            <w:pPr>
              <w:spacing w:before="0" w:after="0" w:line="240" w:lineRule="auto"/>
              <w:jc w:val="right"/>
              <w:rPr>
                <w:rFonts w:ascii="Arial" w:hAnsi="Arial" w:cs="Arial"/>
                <w:color w:val="000000"/>
                <w:szCs w:val="20"/>
              </w:rPr>
            </w:pPr>
            <w:r w:rsidRPr="00D97215">
              <w:rPr>
                <w:rFonts w:ascii="Arial" w:hAnsi="Arial" w:cs="Arial"/>
                <w:color w:val="000000"/>
                <w:szCs w:val="20"/>
              </w:rPr>
              <w:t>6.6</w:t>
            </w:r>
          </w:p>
        </w:tc>
        <w:tc>
          <w:tcPr>
            <w:tcW w:w="1040" w:type="dxa"/>
            <w:tcBorders>
              <w:top w:val="nil"/>
              <w:left w:val="nil"/>
              <w:bottom w:val="nil"/>
              <w:right w:val="nil"/>
            </w:tcBorders>
            <w:shd w:val="clear" w:color="000000" w:fill="F2F2F2"/>
            <w:noWrap/>
            <w:vAlign w:val="center"/>
            <w:hideMark/>
          </w:tcPr>
          <w:p w14:paraId="096C4603" w14:textId="77777777" w:rsidR="00D97215" w:rsidRPr="00D97215" w:rsidRDefault="00D97215" w:rsidP="00D97215">
            <w:pPr>
              <w:spacing w:before="0" w:after="0" w:line="240" w:lineRule="auto"/>
              <w:jc w:val="right"/>
              <w:rPr>
                <w:rFonts w:ascii="Arial" w:hAnsi="Arial" w:cs="Arial"/>
                <w:color w:val="000000"/>
                <w:szCs w:val="20"/>
              </w:rPr>
            </w:pPr>
            <w:r w:rsidRPr="00D97215">
              <w:rPr>
                <w:rFonts w:ascii="Arial" w:hAnsi="Arial" w:cs="Arial"/>
                <w:color w:val="000000"/>
                <w:szCs w:val="20"/>
              </w:rPr>
              <w:t>6.5</w:t>
            </w:r>
          </w:p>
        </w:tc>
        <w:tc>
          <w:tcPr>
            <w:tcW w:w="1195" w:type="dxa"/>
            <w:tcBorders>
              <w:top w:val="nil"/>
              <w:left w:val="nil"/>
              <w:bottom w:val="nil"/>
              <w:right w:val="nil"/>
            </w:tcBorders>
            <w:shd w:val="clear" w:color="000000" w:fill="F2F2F2"/>
            <w:noWrap/>
            <w:vAlign w:val="center"/>
            <w:hideMark/>
          </w:tcPr>
          <w:p w14:paraId="19C69F82" w14:textId="77777777" w:rsidR="00D97215" w:rsidRPr="00D97215" w:rsidRDefault="00D97215" w:rsidP="00D97215">
            <w:pPr>
              <w:spacing w:before="0" w:after="0" w:line="240" w:lineRule="auto"/>
              <w:jc w:val="right"/>
              <w:rPr>
                <w:rFonts w:ascii="Arial" w:hAnsi="Arial" w:cs="Arial"/>
                <w:color w:val="000000"/>
                <w:szCs w:val="20"/>
              </w:rPr>
            </w:pPr>
            <w:r w:rsidRPr="00D97215">
              <w:rPr>
                <w:rFonts w:ascii="Arial" w:hAnsi="Arial" w:cs="Arial"/>
                <w:color w:val="000000"/>
                <w:szCs w:val="20"/>
              </w:rPr>
              <w:t>-0.1</w:t>
            </w:r>
          </w:p>
        </w:tc>
      </w:tr>
    </w:tbl>
    <w:p w14:paraId="6A9330CF" w14:textId="104DD7E4" w:rsidR="000059F8" w:rsidRPr="004A1EBF" w:rsidRDefault="00714821" w:rsidP="004A1EBF">
      <w:pPr>
        <w:pStyle w:val="SourceNotesText"/>
        <w:rPr>
          <w:sz w:val="16"/>
        </w:rPr>
      </w:pPr>
      <w:r w:rsidRPr="004A1EBF">
        <w:rPr>
          <w:sz w:val="16"/>
        </w:rPr>
        <w:t xml:space="preserve">Question for career knowledge: ‘Please indicate how much you feel you know about the potential career pathways for economics graduates’. </w:t>
      </w:r>
      <w:r w:rsidR="008508CF" w:rsidRPr="004A1EBF">
        <w:rPr>
          <w:sz w:val="16"/>
        </w:rPr>
        <w:t xml:space="preserve">Answers ranged from 1=‘None at all’ to 5=‘A great deal’. </w:t>
      </w:r>
      <w:r w:rsidR="000059F8" w:rsidRPr="004A1EBF">
        <w:rPr>
          <w:sz w:val="16"/>
        </w:rPr>
        <w:t>Questions for satisfaction and confidence: ‘Please indicate how satisfied/confident you are with your economics studies’.</w:t>
      </w:r>
      <w:r w:rsidR="008508CF" w:rsidRPr="004A1EBF">
        <w:rPr>
          <w:sz w:val="16"/>
        </w:rPr>
        <w:t xml:space="preserve"> Answers ranged from </w:t>
      </w:r>
      <w:r w:rsidR="008508CF" w:rsidRPr="004A1EBF">
        <w:rPr>
          <w:sz w:val="16"/>
        </w:rPr>
        <w:br/>
        <w:t>0=completely dissatisfied/not at all confident to 10=completely satisfied/extremely confident.</w:t>
      </w:r>
    </w:p>
    <w:p w14:paraId="0FE57C07" w14:textId="710F5D04" w:rsidR="000059F8" w:rsidRPr="00E66BF7" w:rsidRDefault="000059F8" w:rsidP="000059F8">
      <w:pPr>
        <w:spacing w:before="0" w:after="0" w:line="240" w:lineRule="auto"/>
        <w:rPr>
          <w:rFonts w:ascii="Helvetica" w:hAnsi="Helvetica" w:cs="Helvetica"/>
          <w:color w:val="3F3F3F"/>
          <w:sz w:val="16"/>
          <w:szCs w:val="16"/>
        </w:rPr>
      </w:pPr>
    </w:p>
    <w:p w14:paraId="6EE571F1" w14:textId="77777777" w:rsidR="00440878" w:rsidRDefault="00440878" w:rsidP="00C92671"/>
    <w:p w14:paraId="0D229C31" w14:textId="5A3AA26C" w:rsidR="00DC79F1" w:rsidRDefault="00DC79F1">
      <w:pPr>
        <w:spacing w:before="0" w:after="0" w:line="240" w:lineRule="auto"/>
      </w:pPr>
      <w:r>
        <w:br w:type="page"/>
      </w:r>
    </w:p>
    <w:p w14:paraId="44FB58F2" w14:textId="77777777" w:rsidR="001E6A27" w:rsidRDefault="00C67F21" w:rsidP="00720FBB">
      <w:pPr>
        <w:pStyle w:val="Heading2"/>
      </w:pPr>
      <w:bookmarkStart w:id="13" w:name="_Toc57814951"/>
      <w:r>
        <w:t>References</w:t>
      </w:r>
      <w:bookmarkEnd w:id="13"/>
    </w:p>
    <w:p w14:paraId="0FDF40EB" w14:textId="7D8AE70D" w:rsidR="008508CF" w:rsidRDefault="008508CF" w:rsidP="008508CF">
      <w:r>
        <w:t>Adams</w:t>
      </w:r>
      <w:r w:rsidR="004958A3">
        <w:t>,</w:t>
      </w:r>
      <w:r>
        <w:t xml:space="preserve"> R and Ferreira</w:t>
      </w:r>
      <w:r w:rsidR="004958A3">
        <w:t>,</w:t>
      </w:r>
      <w:r>
        <w:t xml:space="preserve"> D 2009 </w:t>
      </w:r>
      <w:r w:rsidR="004A1EBF">
        <w:t>‘</w:t>
      </w:r>
      <w:r>
        <w:t>Women in the boardroom and their impact on governance and performance</w:t>
      </w:r>
      <w:r w:rsidR="004A1EBF">
        <w:t>’</w:t>
      </w:r>
      <w:r>
        <w:t xml:space="preserve"> </w:t>
      </w:r>
      <w:r w:rsidRPr="008508CF">
        <w:rPr>
          <w:i/>
        </w:rPr>
        <w:t>Journal of Financial Economics</w:t>
      </w:r>
      <w:r>
        <w:t xml:space="preserve"> 94(2)</w:t>
      </w:r>
      <w:r w:rsidR="008805E1">
        <w:t>:</w:t>
      </w:r>
      <w:r>
        <w:t xml:space="preserve"> 291-309</w:t>
      </w:r>
    </w:p>
    <w:p w14:paraId="07036F1A" w14:textId="5347E3D9" w:rsidR="008508CF" w:rsidRDefault="008508CF" w:rsidP="008508CF">
      <w:r>
        <w:t xml:space="preserve">American Economics Association 2019 </w:t>
      </w:r>
      <w:r w:rsidR="004A1EBF">
        <w:t>‘</w:t>
      </w:r>
      <w:r>
        <w:t xml:space="preserve">AEA </w:t>
      </w:r>
      <w:r w:rsidR="00E400A5">
        <w:t>p</w:t>
      </w:r>
      <w:r>
        <w:t xml:space="preserve">rofessional </w:t>
      </w:r>
      <w:r w:rsidR="00E400A5">
        <w:t>c</w:t>
      </w:r>
      <w:r>
        <w:t xml:space="preserve">limate </w:t>
      </w:r>
      <w:r w:rsidR="00E400A5">
        <w:t>s</w:t>
      </w:r>
      <w:r>
        <w:t xml:space="preserve">urvey: </w:t>
      </w:r>
      <w:r w:rsidR="00E400A5">
        <w:t>f</w:t>
      </w:r>
      <w:r>
        <w:t xml:space="preserve">inal </w:t>
      </w:r>
      <w:r w:rsidR="00E400A5">
        <w:t>r</w:t>
      </w:r>
      <w:r>
        <w:t>eport</w:t>
      </w:r>
      <w:r w:rsidR="004A1EBF">
        <w:t>’</w:t>
      </w:r>
      <w:r>
        <w:t>, September 15, Committee on Equity, Diversity and Professional Conduct</w:t>
      </w:r>
    </w:p>
    <w:p w14:paraId="70639F59" w14:textId="5D05803B" w:rsidR="00412637" w:rsidRDefault="00412637" w:rsidP="008508CF">
      <w:r>
        <w:t>Bansak, C</w:t>
      </w:r>
      <w:r w:rsidRPr="00412637">
        <w:t xml:space="preserve"> </w:t>
      </w:r>
      <w:r>
        <w:t>and Starr, M</w:t>
      </w:r>
      <w:r w:rsidRPr="00412637">
        <w:t xml:space="preserve"> 2010</w:t>
      </w:r>
      <w:r>
        <w:t xml:space="preserve"> ‘G</w:t>
      </w:r>
      <w:r w:rsidRPr="00412637">
        <w:t xml:space="preserve">ender </w:t>
      </w:r>
      <w:r>
        <w:t>d</w:t>
      </w:r>
      <w:r w:rsidRPr="00412637">
        <w:t xml:space="preserve">ifferences in </w:t>
      </w:r>
      <w:r>
        <w:t>p</w:t>
      </w:r>
      <w:r w:rsidRPr="00412637">
        <w:t xml:space="preserve">redispositions </w:t>
      </w:r>
      <w:r>
        <w:t>t</w:t>
      </w:r>
      <w:r w:rsidRPr="00412637">
        <w:t xml:space="preserve">owards </w:t>
      </w:r>
      <w:r>
        <w:t>e</w:t>
      </w:r>
      <w:r w:rsidRPr="00412637">
        <w:t>conomics</w:t>
      </w:r>
      <w:r>
        <w:t>’</w:t>
      </w:r>
      <w:r w:rsidRPr="00412637">
        <w:t xml:space="preserve"> </w:t>
      </w:r>
      <w:r w:rsidRPr="00412637">
        <w:rPr>
          <w:i/>
        </w:rPr>
        <w:t>Eastern Economic Journal</w:t>
      </w:r>
      <w:r w:rsidRPr="00412637">
        <w:t xml:space="preserve"> 36(1)</w:t>
      </w:r>
      <w:r>
        <w:t>:</w:t>
      </w:r>
      <w:r w:rsidRPr="00412637">
        <w:t xml:space="preserve"> 33-57</w:t>
      </w:r>
    </w:p>
    <w:p w14:paraId="240EF5AB" w14:textId="10CF00F0" w:rsidR="0058017C" w:rsidRDefault="0058017C" w:rsidP="008508CF">
      <w:r>
        <w:t xml:space="preserve">Bayer, A and Rouse, C 2016 ‘Diversity in the </w:t>
      </w:r>
      <w:r w:rsidR="004A1EBF">
        <w:t>e</w:t>
      </w:r>
      <w:r>
        <w:t xml:space="preserve">conomics </w:t>
      </w:r>
      <w:r w:rsidR="004A1EBF">
        <w:t>p</w:t>
      </w:r>
      <w:r w:rsidR="004958A3">
        <w:t>rofession: a</w:t>
      </w:r>
      <w:r>
        <w:t xml:space="preserve"> </w:t>
      </w:r>
      <w:r w:rsidR="004A1EBF">
        <w:t>n</w:t>
      </w:r>
      <w:r>
        <w:t xml:space="preserve">ew </w:t>
      </w:r>
      <w:r w:rsidR="004A1EBF">
        <w:t>a</w:t>
      </w:r>
      <w:r>
        <w:t xml:space="preserve">ttack on an </w:t>
      </w:r>
      <w:r w:rsidR="004A1EBF">
        <w:t>o</w:t>
      </w:r>
      <w:r>
        <w:t xml:space="preserve">ld </w:t>
      </w:r>
      <w:r w:rsidR="004A1EBF">
        <w:t>p</w:t>
      </w:r>
      <w:r>
        <w:t xml:space="preserve">roblem’ </w:t>
      </w:r>
      <w:r w:rsidRPr="008508CF">
        <w:rPr>
          <w:i/>
        </w:rPr>
        <w:t>Journal of Economic Perspectives</w:t>
      </w:r>
      <w:r w:rsidR="004A1EBF">
        <w:t xml:space="preserve"> 30(4)</w:t>
      </w:r>
      <w:r w:rsidR="008805E1">
        <w:t>:</w:t>
      </w:r>
      <w:r w:rsidR="004A1EBF">
        <w:t xml:space="preserve"> </w:t>
      </w:r>
      <w:r>
        <w:t>221–242 https://pubs.aeaweb.org/doi/pdfplus/10.1257/jep.30.4.221</w:t>
      </w:r>
    </w:p>
    <w:p w14:paraId="6CF377F6" w14:textId="72F3DB38" w:rsidR="0058017C" w:rsidRDefault="0058017C" w:rsidP="0058017C">
      <w:r>
        <w:t xml:space="preserve">Carrell, </w:t>
      </w:r>
      <w:r w:rsidR="004A1EBF">
        <w:t>S</w:t>
      </w:r>
      <w:r>
        <w:t>, Page,</w:t>
      </w:r>
      <w:r w:rsidR="004A1EBF">
        <w:t xml:space="preserve"> M</w:t>
      </w:r>
      <w:r>
        <w:t xml:space="preserve"> and West</w:t>
      </w:r>
      <w:r w:rsidR="004A1EBF">
        <w:t>, J</w:t>
      </w:r>
      <w:r>
        <w:t xml:space="preserve"> 2010. ‘Sex and </w:t>
      </w:r>
      <w:r w:rsidR="004A1EBF">
        <w:t>s</w:t>
      </w:r>
      <w:r>
        <w:t xml:space="preserve">cience: </w:t>
      </w:r>
      <w:r w:rsidR="004A1EBF">
        <w:t>h</w:t>
      </w:r>
      <w:r>
        <w:t xml:space="preserve">ow </w:t>
      </w:r>
      <w:r w:rsidR="004A1EBF">
        <w:t>p</w:t>
      </w:r>
      <w:r>
        <w:t xml:space="preserve">rofessor </w:t>
      </w:r>
      <w:r w:rsidR="004A1EBF">
        <w:t>g</w:t>
      </w:r>
      <w:r>
        <w:t xml:space="preserve">ender </w:t>
      </w:r>
      <w:r w:rsidR="004A1EBF">
        <w:t>p</w:t>
      </w:r>
      <w:r>
        <w:t xml:space="preserve">erpetuates the </w:t>
      </w:r>
      <w:r w:rsidR="004A1EBF">
        <w:t>g</w:t>
      </w:r>
      <w:r>
        <w:t xml:space="preserve">ender </w:t>
      </w:r>
      <w:r w:rsidR="004A1EBF">
        <w:t>gap</w:t>
      </w:r>
      <w:r>
        <w:t xml:space="preserve">’ </w:t>
      </w:r>
      <w:r w:rsidRPr="008508CF">
        <w:rPr>
          <w:i/>
        </w:rPr>
        <w:t>Quarterly Journal of Economics</w:t>
      </w:r>
      <w:r>
        <w:t xml:space="preserve"> 12</w:t>
      </w:r>
      <w:r w:rsidR="004958A3">
        <w:t>5(3)</w:t>
      </w:r>
      <w:r w:rsidR="008805E1">
        <w:t>:</w:t>
      </w:r>
      <w:r w:rsidR="004958A3">
        <w:t xml:space="preserve"> 1101–44</w:t>
      </w:r>
    </w:p>
    <w:p w14:paraId="62259A9B" w14:textId="153BC2DE" w:rsidR="008508CF" w:rsidRDefault="008508CF" w:rsidP="0058017C">
      <w:r w:rsidRPr="008508CF">
        <w:t>Daily</w:t>
      </w:r>
      <w:r w:rsidR="004958A3">
        <w:t>,</w:t>
      </w:r>
      <w:r w:rsidRPr="008508CF">
        <w:t xml:space="preserve"> C</w:t>
      </w:r>
      <w:r w:rsidR="004958A3">
        <w:t xml:space="preserve"> and Dalton, D</w:t>
      </w:r>
      <w:r w:rsidRPr="008508CF">
        <w:t xml:space="preserve"> </w:t>
      </w:r>
      <w:r>
        <w:t>2003</w:t>
      </w:r>
      <w:r w:rsidRPr="008508CF">
        <w:t xml:space="preserve"> </w:t>
      </w:r>
      <w:r>
        <w:t>‘</w:t>
      </w:r>
      <w:r w:rsidRPr="008508CF">
        <w:t>Women in the boardroom: a business imperative</w:t>
      </w:r>
      <w:r>
        <w:t>’</w:t>
      </w:r>
      <w:r w:rsidRPr="008508CF">
        <w:t xml:space="preserve"> </w:t>
      </w:r>
      <w:r w:rsidRPr="008508CF">
        <w:rPr>
          <w:i/>
        </w:rPr>
        <w:t>Journal of Business Strategy</w:t>
      </w:r>
      <w:r w:rsidRPr="008508CF">
        <w:t xml:space="preserve"> 24(5)</w:t>
      </w:r>
      <w:r w:rsidR="008805E1">
        <w:t>:</w:t>
      </w:r>
      <w:r w:rsidRPr="008508CF">
        <w:t xml:space="preserve"> </w:t>
      </w:r>
      <w:r w:rsidR="004958A3">
        <w:t>8-9</w:t>
      </w:r>
    </w:p>
    <w:p w14:paraId="534E0636" w14:textId="66D8927F" w:rsidR="0058017C" w:rsidRDefault="0058017C" w:rsidP="0058017C">
      <w:r>
        <w:t xml:space="preserve">Dwyer, J 2018 ‘What </w:t>
      </w:r>
      <w:r w:rsidR="00E400A5">
        <w:t>h</w:t>
      </w:r>
      <w:r>
        <w:t>appe</w:t>
      </w:r>
      <w:r w:rsidR="004958A3">
        <w:t xml:space="preserve">ned to the </w:t>
      </w:r>
      <w:r w:rsidR="00E400A5">
        <w:t>s</w:t>
      </w:r>
      <w:r w:rsidR="004958A3">
        <w:t xml:space="preserve">tudy of </w:t>
      </w:r>
      <w:r w:rsidR="00E400A5">
        <w:t>e</w:t>
      </w:r>
      <w:r w:rsidR="004958A3">
        <w:t>conomics?’</w:t>
      </w:r>
      <w:r>
        <w:t xml:space="preserve"> Address to the Business Educators Australasia Annual Meeting, Sydney, May 2018</w:t>
      </w:r>
    </w:p>
    <w:p w14:paraId="4CC8B451" w14:textId="77777777" w:rsidR="001D2EF1" w:rsidRDefault="001D2EF1" w:rsidP="001D2EF1">
      <w:r>
        <w:t xml:space="preserve">Dynan, K and Rouse, C 1997 ‘The underrepresentation of women in economics: a study of undergraduate economics students’ </w:t>
      </w:r>
      <w:r w:rsidRPr="0076697F">
        <w:rPr>
          <w:i/>
        </w:rPr>
        <w:t>Journal of Economic Education</w:t>
      </w:r>
      <w:r>
        <w:t xml:space="preserve"> 28: 350-68</w:t>
      </w:r>
    </w:p>
    <w:p w14:paraId="7C0DA79E" w14:textId="27C3B996" w:rsidR="00156242" w:rsidRDefault="00156242" w:rsidP="0058017C">
      <w:r>
        <w:t>Ferber, M</w:t>
      </w:r>
      <w:r w:rsidRPr="00156242">
        <w:t xml:space="preserve"> 1995 </w:t>
      </w:r>
      <w:r>
        <w:t>‘</w:t>
      </w:r>
      <w:r w:rsidRPr="00156242">
        <w:t xml:space="preserve">The </w:t>
      </w:r>
      <w:r>
        <w:t>s</w:t>
      </w:r>
      <w:r w:rsidRPr="00156242">
        <w:t xml:space="preserve">tudy of </w:t>
      </w:r>
      <w:r>
        <w:t>e</w:t>
      </w:r>
      <w:r w:rsidRPr="00156242">
        <w:t xml:space="preserve">conomics: </w:t>
      </w:r>
      <w:r>
        <w:t>a</w:t>
      </w:r>
      <w:r w:rsidRPr="00156242">
        <w:t xml:space="preserve"> </w:t>
      </w:r>
      <w:r>
        <w:t>f</w:t>
      </w:r>
      <w:r w:rsidRPr="00156242">
        <w:t xml:space="preserve">eminist </w:t>
      </w:r>
      <w:r>
        <w:t>c</w:t>
      </w:r>
      <w:r w:rsidRPr="00156242">
        <w:t>ritique</w:t>
      </w:r>
      <w:r>
        <w:t>’</w:t>
      </w:r>
      <w:r w:rsidRPr="00156242">
        <w:t xml:space="preserve"> </w:t>
      </w:r>
      <w:r w:rsidRPr="00156242">
        <w:rPr>
          <w:i/>
        </w:rPr>
        <w:t>The American Economic Review</w:t>
      </w:r>
      <w:r w:rsidRPr="00156242">
        <w:t xml:space="preserve"> 85(2)</w:t>
      </w:r>
      <w:r>
        <w:t>:</w:t>
      </w:r>
      <w:r w:rsidRPr="00156242">
        <w:t xml:space="preserve"> 357-361</w:t>
      </w:r>
    </w:p>
    <w:p w14:paraId="0BDA0A0A" w14:textId="60A02DE6" w:rsidR="0058017C" w:rsidRDefault="0058017C" w:rsidP="0058017C">
      <w:r>
        <w:t>Hale, G and Regev</w:t>
      </w:r>
      <w:r w:rsidR="004958A3">
        <w:t>, T</w:t>
      </w:r>
      <w:r>
        <w:t xml:space="preserve"> 2014 ‘Gender </w:t>
      </w:r>
      <w:r w:rsidR="004958A3">
        <w:t>r</w:t>
      </w:r>
      <w:r>
        <w:t xml:space="preserve">atios at </w:t>
      </w:r>
      <w:r w:rsidR="004958A3">
        <w:t>t</w:t>
      </w:r>
      <w:r>
        <w:t xml:space="preserve">op PhD </w:t>
      </w:r>
      <w:r w:rsidR="004958A3">
        <w:t>p</w:t>
      </w:r>
      <w:r>
        <w:t xml:space="preserve">rograms in </w:t>
      </w:r>
      <w:r w:rsidR="004958A3">
        <w:t>e</w:t>
      </w:r>
      <w:r>
        <w:t xml:space="preserve">conomics’ </w:t>
      </w:r>
      <w:r w:rsidRPr="008508CF">
        <w:rPr>
          <w:i/>
        </w:rPr>
        <w:t>Economics of Education Review</w:t>
      </w:r>
      <w:r w:rsidR="004958A3">
        <w:t xml:space="preserve"> 41</w:t>
      </w:r>
      <w:r w:rsidR="008805E1">
        <w:t>:</w:t>
      </w:r>
      <w:r>
        <w:t xml:space="preserve"> 55–</w:t>
      </w:r>
      <w:r w:rsidR="004958A3">
        <w:t>70</w:t>
      </w:r>
    </w:p>
    <w:p w14:paraId="5224D0DD" w14:textId="3EE98B3F" w:rsidR="00412637" w:rsidRDefault="00412637" w:rsidP="0058017C">
      <w:r>
        <w:t xml:space="preserve">Haslehurst P, Hopkins S and </w:t>
      </w:r>
      <w:r w:rsidRPr="00412637">
        <w:t>Thorpe M</w:t>
      </w:r>
      <w:r>
        <w:t xml:space="preserve"> 1998</w:t>
      </w:r>
      <w:r w:rsidRPr="00412637">
        <w:t xml:space="preserve"> </w:t>
      </w:r>
      <w:r>
        <w:t>‘</w:t>
      </w:r>
      <w:r w:rsidRPr="00412637">
        <w:t xml:space="preserve">‘Not </w:t>
      </w:r>
      <w:r>
        <w:t>r</w:t>
      </w:r>
      <w:r w:rsidRPr="00412637">
        <w:t>ewarding’, ‘</w:t>
      </w:r>
      <w:r>
        <w:t>n</w:t>
      </w:r>
      <w:r w:rsidRPr="00412637">
        <w:t xml:space="preserve">ot </w:t>
      </w:r>
      <w:r>
        <w:t>r</w:t>
      </w:r>
      <w:r w:rsidRPr="00412637">
        <w:t>elevant’, ‘</w:t>
      </w:r>
      <w:r>
        <w:t>n</w:t>
      </w:r>
      <w:r w:rsidRPr="00412637">
        <w:t xml:space="preserve">ot </w:t>
      </w:r>
      <w:r>
        <w:t>i</w:t>
      </w:r>
      <w:r w:rsidRPr="00412637">
        <w:t xml:space="preserve">nteresting’: </w:t>
      </w:r>
      <w:r>
        <w:t>c</w:t>
      </w:r>
      <w:r w:rsidRPr="00412637">
        <w:t xml:space="preserve">areer </w:t>
      </w:r>
      <w:r>
        <w:t>c</w:t>
      </w:r>
      <w:r w:rsidRPr="00412637">
        <w:t>hoic</w:t>
      </w:r>
      <w:r>
        <w:t>es of female economics students’</w:t>
      </w:r>
      <w:r w:rsidRPr="00412637">
        <w:t xml:space="preserve"> </w:t>
      </w:r>
      <w:r w:rsidRPr="00412637">
        <w:rPr>
          <w:i/>
        </w:rPr>
        <w:t>The Economic and Labour Relations Review</w:t>
      </w:r>
      <w:r w:rsidRPr="00412637">
        <w:t xml:space="preserve"> 9(1):</w:t>
      </w:r>
      <w:r>
        <w:t xml:space="preserve"> </w:t>
      </w:r>
      <w:r w:rsidRPr="00412637">
        <w:t xml:space="preserve">108-122 </w:t>
      </w:r>
    </w:p>
    <w:p w14:paraId="46BFD8B4" w14:textId="65BE5737" w:rsidR="0058017C" w:rsidRDefault="0058017C" w:rsidP="0058017C">
      <w:r>
        <w:t>Hedengren, D, Klein</w:t>
      </w:r>
      <w:r w:rsidR="004958A3">
        <w:t>, D</w:t>
      </w:r>
      <w:r>
        <w:t>, and Milton</w:t>
      </w:r>
      <w:r w:rsidR="004958A3">
        <w:t>, C</w:t>
      </w:r>
      <w:r w:rsidR="008508CF">
        <w:t xml:space="preserve"> 2010</w:t>
      </w:r>
      <w:r>
        <w:t xml:space="preserve"> ‘Economist </w:t>
      </w:r>
      <w:r w:rsidR="004958A3">
        <w:t>p</w:t>
      </w:r>
      <w:r>
        <w:t xml:space="preserve">etitions: </w:t>
      </w:r>
      <w:r w:rsidR="004958A3">
        <w:t>i</w:t>
      </w:r>
      <w:r>
        <w:t xml:space="preserve">deology </w:t>
      </w:r>
      <w:r w:rsidR="004958A3">
        <w:t>r</w:t>
      </w:r>
      <w:r>
        <w:t xml:space="preserve">evealed.’ </w:t>
      </w:r>
      <w:r w:rsidRPr="008508CF">
        <w:rPr>
          <w:i/>
        </w:rPr>
        <w:t>Econ Journal Watch</w:t>
      </w:r>
      <w:r w:rsidR="004958A3">
        <w:t xml:space="preserve"> 7(3)</w:t>
      </w:r>
      <w:r w:rsidR="008805E1">
        <w:t>:</w:t>
      </w:r>
      <w:r w:rsidR="004958A3">
        <w:t xml:space="preserve"> 288–319</w:t>
      </w:r>
    </w:p>
    <w:p w14:paraId="3AD3F7F3" w14:textId="77777777" w:rsidR="001D2EF1" w:rsidRDefault="001D2EF1" w:rsidP="001D2EF1">
      <w:r>
        <w:t xml:space="preserve">Jensen, E and Owen, A 2000 ‘Why are women such reluctant economists? Evidence from liberal arts colleges’ </w:t>
      </w:r>
      <w:r w:rsidRPr="0076697F">
        <w:rPr>
          <w:i/>
        </w:rPr>
        <w:t>American Economic Review</w:t>
      </w:r>
      <w:r>
        <w:t xml:space="preserve"> 90: 466-470</w:t>
      </w:r>
    </w:p>
    <w:p w14:paraId="70DBE5CA" w14:textId="77777777" w:rsidR="001D2EF1" w:rsidRDefault="001D2EF1" w:rsidP="001D2EF1">
      <w:r>
        <w:t xml:space="preserve">Jensen, E and Owen, A 2001 ‘Pedagogy, gender, and interest in economics’ </w:t>
      </w:r>
      <w:r w:rsidRPr="0076697F">
        <w:rPr>
          <w:i/>
        </w:rPr>
        <w:t>Journal of Economic Education</w:t>
      </w:r>
      <w:r>
        <w:t xml:space="preserve"> 32: 323-43</w:t>
      </w:r>
    </w:p>
    <w:p w14:paraId="48E95EA3" w14:textId="1E971307" w:rsidR="0058017C" w:rsidRDefault="0058017C" w:rsidP="0058017C">
      <w:r>
        <w:t>Jonung, C and Stahlberg, A 2008</w:t>
      </w:r>
      <w:r w:rsidR="004958A3">
        <w:t xml:space="preserve"> </w:t>
      </w:r>
      <w:r>
        <w:t xml:space="preserve">‘Reaching the </w:t>
      </w:r>
      <w:r w:rsidR="004958A3">
        <w:t>t</w:t>
      </w:r>
      <w:r>
        <w:t xml:space="preserve">op? On </w:t>
      </w:r>
      <w:r w:rsidR="004958A3">
        <w:t>g</w:t>
      </w:r>
      <w:r>
        <w:t xml:space="preserve">ender </w:t>
      </w:r>
      <w:r w:rsidR="004958A3">
        <w:t>b</w:t>
      </w:r>
      <w:r>
        <w:t xml:space="preserve">alance in the </w:t>
      </w:r>
      <w:r w:rsidR="004958A3">
        <w:t>e</w:t>
      </w:r>
      <w:r>
        <w:t xml:space="preserve">conomics </w:t>
      </w:r>
      <w:r w:rsidR="004958A3">
        <w:t>p</w:t>
      </w:r>
      <w:r>
        <w:t xml:space="preserve">rofession’ </w:t>
      </w:r>
      <w:r w:rsidRPr="008508CF">
        <w:rPr>
          <w:i/>
        </w:rPr>
        <w:t>Econ Journal Watch</w:t>
      </w:r>
      <w:r>
        <w:t xml:space="preserve">. </w:t>
      </w:r>
      <w:r w:rsidR="004958A3">
        <w:t>5(2)</w:t>
      </w:r>
      <w:r w:rsidR="008805E1">
        <w:t>:</w:t>
      </w:r>
      <w:r w:rsidR="004958A3">
        <w:t xml:space="preserve"> </w:t>
      </w:r>
      <w:r>
        <w:t xml:space="preserve">174-192 </w:t>
      </w:r>
    </w:p>
    <w:p w14:paraId="090A3899" w14:textId="77777777" w:rsidR="001D2EF1" w:rsidRDefault="001D2EF1" w:rsidP="001D2EF1">
      <w:r>
        <w:t xml:space="preserve">Kahn, S 1995 ‘Women in the economics profession’ </w:t>
      </w:r>
      <w:r w:rsidRPr="005F6FCC">
        <w:rPr>
          <w:i/>
        </w:rPr>
        <w:t>Journal of Economic Perspectives</w:t>
      </w:r>
      <w:r>
        <w:t xml:space="preserve"> 9(4): 193–206</w:t>
      </w:r>
    </w:p>
    <w:p w14:paraId="1A56938E" w14:textId="5AEEFD7D" w:rsidR="004E16E0" w:rsidRDefault="004E16E0" w:rsidP="008508CF">
      <w:r w:rsidRPr="004E16E0">
        <w:t>Klein</w:t>
      </w:r>
      <w:r>
        <w:t>, K 2017 ‘</w:t>
      </w:r>
      <w:r w:rsidRPr="004E16E0">
        <w:t xml:space="preserve">Does </w:t>
      </w:r>
      <w:r>
        <w:t>g</w:t>
      </w:r>
      <w:r w:rsidRPr="004E16E0">
        <w:t xml:space="preserve">ender </w:t>
      </w:r>
      <w:r>
        <w:t>d</w:t>
      </w:r>
      <w:r w:rsidRPr="004E16E0">
        <w:t xml:space="preserve">iversity on </w:t>
      </w:r>
      <w:r>
        <w:t>b</w:t>
      </w:r>
      <w:r w:rsidRPr="004E16E0">
        <w:t xml:space="preserve">oards </w:t>
      </w:r>
      <w:r>
        <w:t>r</w:t>
      </w:r>
      <w:r w:rsidRPr="004E16E0">
        <w:t xml:space="preserve">eally </w:t>
      </w:r>
      <w:r>
        <w:t>b</w:t>
      </w:r>
      <w:r w:rsidRPr="004E16E0">
        <w:t xml:space="preserve">oost </w:t>
      </w:r>
      <w:r>
        <w:t>c</w:t>
      </w:r>
      <w:r w:rsidRPr="004E16E0">
        <w:t xml:space="preserve">ompany </w:t>
      </w:r>
      <w:r>
        <w:t>p</w:t>
      </w:r>
      <w:r w:rsidRPr="004E16E0">
        <w:t>erformance?</w:t>
      </w:r>
      <w:r w:rsidR="009D2B78">
        <w:t xml:space="preserve"> Knowledge@Wharton, May 18</w:t>
      </w:r>
      <w:r>
        <w:t xml:space="preserve"> </w:t>
      </w:r>
      <w:r w:rsidRPr="004E16E0">
        <w:t>https://knowledge.wharton.upenn.edu/article/will-gender-diversity-boards-really-boost-company-performance/</w:t>
      </w:r>
      <w:r>
        <w:t xml:space="preserve"> </w:t>
      </w:r>
    </w:p>
    <w:p w14:paraId="025E7936" w14:textId="4516E4DC" w:rsidR="008508CF" w:rsidRDefault="008508CF" w:rsidP="008508CF">
      <w:r>
        <w:t>Matsa</w:t>
      </w:r>
      <w:r w:rsidR="004958A3">
        <w:t>,</w:t>
      </w:r>
      <w:r>
        <w:t xml:space="preserve"> D and Miller</w:t>
      </w:r>
      <w:r w:rsidR="004958A3">
        <w:t>,</w:t>
      </w:r>
      <w:r>
        <w:t xml:space="preserve"> A </w:t>
      </w:r>
      <w:r w:rsidR="004958A3">
        <w:t>2013</w:t>
      </w:r>
      <w:r>
        <w:t xml:space="preserve"> </w:t>
      </w:r>
      <w:r w:rsidR="00E400A5">
        <w:t>‘</w:t>
      </w:r>
      <w:r>
        <w:t xml:space="preserve">A </w:t>
      </w:r>
      <w:r w:rsidR="00E400A5">
        <w:t>f</w:t>
      </w:r>
      <w:r>
        <w:t xml:space="preserve">emale </w:t>
      </w:r>
      <w:r w:rsidR="00E400A5">
        <w:t>s</w:t>
      </w:r>
      <w:r>
        <w:t xml:space="preserve">tyle in </w:t>
      </w:r>
      <w:r w:rsidR="00E400A5">
        <w:t>c</w:t>
      </w:r>
      <w:r>
        <w:t xml:space="preserve">orporate </w:t>
      </w:r>
      <w:r w:rsidR="00E400A5">
        <w:t>l</w:t>
      </w:r>
      <w:r>
        <w:t xml:space="preserve">eadership? Evidence from </w:t>
      </w:r>
      <w:r w:rsidR="00E400A5">
        <w:t>q</w:t>
      </w:r>
      <w:r>
        <w:t>uotas</w:t>
      </w:r>
      <w:r w:rsidR="00E400A5">
        <w:t>’</w:t>
      </w:r>
      <w:r>
        <w:t xml:space="preserve"> </w:t>
      </w:r>
      <w:r w:rsidRPr="008508CF">
        <w:rPr>
          <w:i/>
        </w:rPr>
        <w:t>American Economic Journal: Applied Economics</w:t>
      </w:r>
      <w:r>
        <w:t xml:space="preserve"> 5</w:t>
      </w:r>
      <w:r w:rsidR="00E400A5">
        <w:t>(3)</w:t>
      </w:r>
      <w:r w:rsidR="008805E1">
        <w:t>:</w:t>
      </w:r>
      <w:r w:rsidR="004958A3">
        <w:t xml:space="preserve"> </w:t>
      </w:r>
      <w:r>
        <w:t>136-169</w:t>
      </w:r>
    </w:p>
    <w:p w14:paraId="3BE0669C" w14:textId="57D0473D" w:rsidR="0058017C" w:rsidRDefault="0058017C" w:rsidP="008508CF">
      <w:r>
        <w:t>May, A</w:t>
      </w:r>
      <w:r w:rsidR="008508CF">
        <w:t xml:space="preserve">, </w:t>
      </w:r>
      <w:r>
        <w:t xml:space="preserve">McGarvey, M and Kucera, D 2018 ‘Gender and European </w:t>
      </w:r>
      <w:r w:rsidR="004958A3">
        <w:t>e</w:t>
      </w:r>
      <w:r>
        <w:t xml:space="preserve">conomic </w:t>
      </w:r>
      <w:r w:rsidR="004958A3">
        <w:t>p</w:t>
      </w:r>
      <w:r>
        <w:t xml:space="preserve">olicy: </w:t>
      </w:r>
      <w:r w:rsidR="004958A3">
        <w:t>a</w:t>
      </w:r>
      <w:r>
        <w:t xml:space="preserve"> </w:t>
      </w:r>
      <w:r w:rsidR="004958A3">
        <w:t>s</w:t>
      </w:r>
      <w:r>
        <w:t xml:space="preserve">urvey of the </w:t>
      </w:r>
      <w:r w:rsidR="004958A3">
        <w:t>v</w:t>
      </w:r>
      <w:r>
        <w:t xml:space="preserve">iews of European </w:t>
      </w:r>
      <w:r w:rsidR="004958A3">
        <w:t>e</w:t>
      </w:r>
      <w:r>
        <w:t xml:space="preserve">conomists on </w:t>
      </w:r>
      <w:r w:rsidR="004958A3">
        <w:t>c</w:t>
      </w:r>
      <w:r>
        <w:t xml:space="preserve">ontemporary </w:t>
      </w:r>
      <w:r w:rsidR="004958A3">
        <w:t>e</w:t>
      </w:r>
      <w:r>
        <w:t xml:space="preserve">conomic </w:t>
      </w:r>
      <w:r w:rsidR="004958A3">
        <w:t>p</w:t>
      </w:r>
      <w:r>
        <w:t xml:space="preserve">olicy’ </w:t>
      </w:r>
      <w:r w:rsidRPr="008508CF">
        <w:rPr>
          <w:i/>
        </w:rPr>
        <w:t>Kyklos</w:t>
      </w:r>
      <w:r>
        <w:t xml:space="preserve"> 71</w:t>
      </w:r>
      <w:r w:rsidR="004958A3">
        <w:t>(1)</w:t>
      </w:r>
      <w:r w:rsidR="008805E1">
        <w:t>:</w:t>
      </w:r>
      <w:r>
        <w:t xml:space="preserve"> 162</w:t>
      </w:r>
      <w:r w:rsidR="004958A3">
        <w:noBreakHyphen/>
      </w:r>
      <w:r>
        <w:t>183 http://dx.doi.org/10.1111/kykl.12166</w:t>
      </w:r>
    </w:p>
    <w:p w14:paraId="2ACD4EE2" w14:textId="06ABA4C4" w:rsidR="0058017C" w:rsidRDefault="0058017C" w:rsidP="0058017C">
      <w:r>
        <w:t>May</w:t>
      </w:r>
      <w:r w:rsidR="008508CF">
        <w:t>, A</w:t>
      </w:r>
      <w:r>
        <w:t>, McGarvey</w:t>
      </w:r>
      <w:r w:rsidR="008508CF">
        <w:t>, M</w:t>
      </w:r>
      <w:r>
        <w:t xml:space="preserve">, </w:t>
      </w:r>
      <w:r w:rsidR="008508CF">
        <w:t xml:space="preserve">and Whaples, R </w:t>
      </w:r>
      <w:r>
        <w:t xml:space="preserve">2013 </w:t>
      </w:r>
      <w:r w:rsidR="004958A3">
        <w:t>‘</w:t>
      </w:r>
      <w:r>
        <w:t>Are disagreements among male and female economists marginal at best?: A survey of AEA members and their views on economics and economic policy’</w:t>
      </w:r>
      <w:r w:rsidR="004958A3">
        <w:t xml:space="preserve"> </w:t>
      </w:r>
      <w:r w:rsidR="004958A3" w:rsidRPr="004958A3">
        <w:rPr>
          <w:i/>
        </w:rPr>
        <w:t>Contemporary Economic Policy</w:t>
      </w:r>
      <w:r w:rsidR="004958A3">
        <w:t xml:space="preserve"> 32(1)</w:t>
      </w:r>
      <w:r w:rsidR="008805E1">
        <w:t>:</w:t>
      </w:r>
      <w:r w:rsidR="004958A3">
        <w:t xml:space="preserve"> 111-132</w:t>
      </w:r>
      <w:r>
        <w:t xml:space="preserve"> https://onlinelibrary.wiley.com/doi/full/10.1111/coep.12004</w:t>
      </w:r>
    </w:p>
    <w:p w14:paraId="58E14B5C" w14:textId="1D3A5519" w:rsidR="008508CF" w:rsidRDefault="008508CF" w:rsidP="008508CF">
      <w:r>
        <w:t>Moreno-Gómez</w:t>
      </w:r>
      <w:r w:rsidR="00E400A5">
        <w:t>,</w:t>
      </w:r>
      <w:r>
        <w:t xml:space="preserve"> J, Lafuente</w:t>
      </w:r>
      <w:r w:rsidR="00E400A5">
        <w:t>,</w:t>
      </w:r>
      <w:r>
        <w:t xml:space="preserve"> E and </w:t>
      </w:r>
      <w:r w:rsidR="004958A3">
        <w:t>Vaillant</w:t>
      </w:r>
      <w:r w:rsidR="00E400A5">
        <w:t>,</w:t>
      </w:r>
      <w:r w:rsidR="004958A3">
        <w:t xml:space="preserve"> Y </w:t>
      </w:r>
      <w:r>
        <w:t xml:space="preserve">2018 </w:t>
      </w:r>
      <w:r w:rsidR="004958A3">
        <w:t>‘</w:t>
      </w:r>
      <w:r>
        <w:t>Gender diversity in the board, women’s leadership and business performance</w:t>
      </w:r>
      <w:r w:rsidR="004958A3">
        <w:t>’</w:t>
      </w:r>
      <w:r>
        <w:t xml:space="preserve"> </w:t>
      </w:r>
      <w:r w:rsidRPr="008508CF">
        <w:rPr>
          <w:i/>
        </w:rPr>
        <w:t>Gender in Management</w:t>
      </w:r>
      <w:r>
        <w:t xml:space="preserve"> 33(2)</w:t>
      </w:r>
      <w:r w:rsidR="008805E1">
        <w:t>:</w:t>
      </w:r>
      <w:r>
        <w:t xml:space="preserve"> 104-122</w:t>
      </w:r>
    </w:p>
    <w:p w14:paraId="7BEE1084" w14:textId="500E2A5A" w:rsidR="00156242" w:rsidRDefault="00156242" w:rsidP="0058017C">
      <w:r w:rsidRPr="00156242">
        <w:t>Nelson, J</w:t>
      </w:r>
      <w:r>
        <w:t xml:space="preserve"> </w:t>
      </w:r>
      <w:r w:rsidRPr="00156242">
        <w:t xml:space="preserve">1995 </w:t>
      </w:r>
      <w:r>
        <w:t>‘</w:t>
      </w:r>
      <w:r w:rsidRPr="00156242">
        <w:t xml:space="preserve">Feminism and </w:t>
      </w:r>
      <w:r>
        <w:t>e</w:t>
      </w:r>
      <w:r w:rsidRPr="00156242">
        <w:t>conomics</w:t>
      </w:r>
      <w:r>
        <w:t>’</w:t>
      </w:r>
      <w:r w:rsidRPr="00156242">
        <w:t xml:space="preserve"> </w:t>
      </w:r>
      <w:r w:rsidRPr="00156242">
        <w:rPr>
          <w:i/>
        </w:rPr>
        <w:t>Journal of Economic Perspectives</w:t>
      </w:r>
      <w:r w:rsidRPr="00156242">
        <w:t xml:space="preserve"> 9(2): 131-148</w:t>
      </w:r>
    </w:p>
    <w:p w14:paraId="2157F045" w14:textId="6C93C4B4" w:rsidR="0058017C" w:rsidRDefault="0058017C" w:rsidP="0058017C">
      <w:r>
        <w:t>Neumark, D and Gardecki</w:t>
      </w:r>
      <w:r w:rsidR="008508CF">
        <w:t>, R</w:t>
      </w:r>
      <w:r>
        <w:t xml:space="preserve"> 1998 ‘Women </w:t>
      </w:r>
      <w:r w:rsidR="004958A3">
        <w:t>h</w:t>
      </w:r>
      <w:r>
        <w:t xml:space="preserve">elping </w:t>
      </w:r>
      <w:r w:rsidR="004958A3">
        <w:t>w</w:t>
      </w:r>
      <w:r>
        <w:t xml:space="preserve">omen? </w:t>
      </w:r>
      <w:r w:rsidR="004958A3">
        <w:t>R</w:t>
      </w:r>
      <w:r>
        <w:t xml:space="preserve">ole </w:t>
      </w:r>
      <w:r w:rsidR="004958A3">
        <w:t>m</w:t>
      </w:r>
      <w:r>
        <w:t xml:space="preserve">odel and </w:t>
      </w:r>
      <w:r w:rsidR="004958A3">
        <w:t>m</w:t>
      </w:r>
      <w:r>
        <w:t xml:space="preserve">entoring </w:t>
      </w:r>
      <w:r w:rsidR="004958A3">
        <w:t>e</w:t>
      </w:r>
      <w:r>
        <w:t xml:space="preserve">ffects on </w:t>
      </w:r>
      <w:r w:rsidR="004958A3">
        <w:t>f</w:t>
      </w:r>
      <w:r>
        <w:t xml:space="preserve">emale PhD </w:t>
      </w:r>
      <w:r w:rsidR="004958A3">
        <w:t>s</w:t>
      </w:r>
      <w:r>
        <w:t xml:space="preserve">tudents in </w:t>
      </w:r>
      <w:r w:rsidR="004958A3">
        <w:t>economics</w:t>
      </w:r>
      <w:r>
        <w:t xml:space="preserve">’ </w:t>
      </w:r>
      <w:r w:rsidRPr="008508CF">
        <w:rPr>
          <w:i/>
        </w:rPr>
        <w:t>Journal of Human Resources</w:t>
      </w:r>
      <w:r w:rsidR="004958A3">
        <w:t xml:space="preserve"> 3(1)</w:t>
      </w:r>
      <w:r w:rsidR="008805E1">
        <w:t>:</w:t>
      </w:r>
      <w:r>
        <w:t xml:space="preserve"> 220</w:t>
      </w:r>
      <w:r w:rsidR="004958A3">
        <w:noBreakHyphen/>
      </w:r>
      <w:r>
        <w:t>46</w:t>
      </w:r>
    </w:p>
    <w:p w14:paraId="45A95B70" w14:textId="36BAED99" w:rsidR="0058017C" w:rsidRDefault="0058017C" w:rsidP="0058017C">
      <w:r>
        <w:t xml:space="preserve">Niederle, M and Vesterlund, L 2011 ‘Gender and </w:t>
      </w:r>
      <w:r w:rsidR="004958A3">
        <w:t>c</w:t>
      </w:r>
      <w:r>
        <w:t xml:space="preserve">ompetition’ </w:t>
      </w:r>
      <w:r w:rsidR="004958A3">
        <w:rPr>
          <w:i/>
        </w:rPr>
        <w:t>Annual Review of Economics</w:t>
      </w:r>
      <w:r>
        <w:t xml:space="preserve"> 3</w:t>
      </w:r>
      <w:r w:rsidR="008805E1">
        <w:t>:</w:t>
      </w:r>
      <w:r w:rsidR="004958A3">
        <w:t xml:space="preserve"> </w:t>
      </w:r>
      <w:r>
        <w:t>601</w:t>
      </w:r>
      <w:r w:rsidR="004958A3">
        <w:noBreakHyphen/>
      </w:r>
      <w:r>
        <w:t>30 https://web.stanford.edu/~niederle/NV.AnnualReview.Print.pdf</w:t>
      </w:r>
    </w:p>
    <w:p w14:paraId="0D259F66" w14:textId="4FC5C64C" w:rsidR="0058017C" w:rsidRDefault="00E400A5" w:rsidP="0058017C">
      <w:r>
        <w:t>Rask, K</w:t>
      </w:r>
      <w:r w:rsidR="0058017C">
        <w:t xml:space="preserve"> and Tiefenthaler</w:t>
      </w:r>
      <w:r>
        <w:t>, J</w:t>
      </w:r>
      <w:r w:rsidR="0058017C">
        <w:t xml:space="preserve"> 2008. ‘The </w:t>
      </w:r>
      <w:r w:rsidR="004958A3">
        <w:t>r</w:t>
      </w:r>
      <w:r w:rsidR="0058017C">
        <w:t xml:space="preserve">ole of </w:t>
      </w:r>
      <w:r w:rsidR="004958A3">
        <w:t>g</w:t>
      </w:r>
      <w:r w:rsidR="0058017C">
        <w:t xml:space="preserve">rade </w:t>
      </w:r>
      <w:r w:rsidR="004958A3">
        <w:t>s</w:t>
      </w:r>
      <w:r w:rsidR="0058017C">
        <w:t xml:space="preserve">ensitivity in </w:t>
      </w:r>
      <w:r w:rsidR="004958A3">
        <w:t>e</w:t>
      </w:r>
      <w:r w:rsidR="0058017C">
        <w:t xml:space="preserve">xplaining the </w:t>
      </w:r>
      <w:r w:rsidR="004958A3">
        <w:t>g</w:t>
      </w:r>
      <w:r w:rsidR="0058017C">
        <w:t xml:space="preserve">ender </w:t>
      </w:r>
      <w:r w:rsidR="004958A3">
        <w:t>i</w:t>
      </w:r>
      <w:r w:rsidR="0058017C">
        <w:t xml:space="preserve">mbalance in </w:t>
      </w:r>
      <w:r w:rsidR="004958A3">
        <w:t>u</w:t>
      </w:r>
      <w:r w:rsidR="0058017C">
        <w:t xml:space="preserve">ndergraduate </w:t>
      </w:r>
      <w:r w:rsidR="004958A3">
        <w:t>e</w:t>
      </w:r>
      <w:r w:rsidR="0058017C">
        <w:t xml:space="preserve">conomics’ </w:t>
      </w:r>
      <w:r w:rsidR="0058017C" w:rsidRPr="008508CF">
        <w:rPr>
          <w:i/>
        </w:rPr>
        <w:t>Economics of Education Review</w:t>
      </w:r>
      <w:r w:rsidR="0058017C">
        <w:t xml:space="preserve"> 27(6)</w:t>
      </w:r>
      <w:r w:rsidR="008805E1">
        <w:t>:</w:t>
      </w:r>
      <w:r w:rsidR="0058017C">
        <w:t xml:space="preserve"> 676–87 </w:t>
      </w:r>
    </w:p>
    <w:p w14:paraId="7760B902" w14:textId="2C9EF5C7" w:rsidR="0058017C" w:rsidRDefault="0058017C" w:rsidP="0058017C">
      <w:r>
        <w:t xml:space="preserve">Sarsons, H 2015 ‘Gender </w:t>
      </w:r>
      <w:r w:rsidR="004958A3">
        <w:t>d</w:t>
      </w:r>
      <w:r>
        <w:t xml:space="preserve">ifferences in </w:t>
      </w:r>
      <w:r w:rsidR="004958A3">
        <w:t>r</w:t>
      </w:r>
      <w:r>
        <w:t xml:space="preserve">ecognition for </w:t>
      </w:r>
      <w:r w:rsidR="004958A3">
        <w:t>g</w:t>
      </w:r>
      <w:r>
        <w:t xml:space="preserve">roup </w:t>
      </w:r>
      <w:r w:rsidR="004958A3">
        <w:t>w</w:t>
      </w:r>
      <w:r>
        <w:t>ork.’ Harvard University Working Paper, December 3.</w:t>
      </w:r>
    </w:p>
    <w:p w14:paraId="54A68154" w14:textId="5CD1A5C5" w:rsidR="0058017C" w:rsidRDefault="0058017C" w:rsidP="0058017C">
      <w:r>
        <w:t>Stevenson</w:t>
      </w:r>
      <w:r w:rsidR="008508CF">
        <w:t xml:space="preserve">, </w:t>
      </w:r>
      <w:r w:rsidR="004958A3">
        <w:t>B</w:t>
      </w:r>
      <w:r>
        <w:t xml:space="preserve"> and Zlotnick, </w:t>
      </w:r>
      <w:r w:rsidR="004958A3">
        <w:t xml:space="preserve">H </w:t>
      </w:r>
      <w:r>
        <w:t xml:space="preserve">2018 </w:t>
      </w:r>
      <w:r w:rsidR="004958A3">
        <w:t>‘</w:t>
      </w:r>
      <w:r>
        <w:t xml:space="preserve">Representations of </w:t>
      </w:r>
      <w:r w:rsidR="004958A3">
        <w:t>m</w:t>
      </w:r>
      <w:r>
        <w:t xml:space="preserve">en and </w:t>
      </w:r>
      <w:r w:rsidR="004958A3">
        <w:t>w</w:t>
      </w:r>
      <w:r>
        <w:t xml:space="preserve">omen in </w:t>
      </w:r>
      <w:r w:rsidR="004958A3">
        <w:t>i</w:t>
      </w:r>
      <w:r>
        <w:t xml:space="preserve">ntroductory </w:t>
      </w:r>
      <w:r w:rsidR="004958A3">
        <w:t>e</w:t>
      </w:r>
      <w:r>
        <w:t xml:space="preserve">conomics </w:t>
      </w:r>
      <w:r w:rsidR="004958A3">
        <w:t>t</w:t>
      </w:r>
      <w:r>
        <w:t>extbooks</w:t>
      </w:r>
      <w:r w:rsidR="004958A3">
        <w:t xml:space="preserve">’ </w:t>
      </w:r>
      <w:r w:rsidR="004958A3" w:rsidRPr="004958A3">
        <w:rPr>
          <w:i/>
        </w:rPr>
        <w:t>AEA Papers and Proceedings</w:t>
      </w:r>
      <w:r w:rsidR="004958A3" w:rsidRPr="004958A3">
        <w:t xml:space="preserve"> 108: 180</w:t>
      </w:r>
      <w:r w:rsidR="004958A3">
        <w:noBreakHyphen/>
      </w:r>
      <w:r w:rsidR="004958A3" w:rsidRPr="004958A3">
        <w:t>85</w:t>
      </w:r>
    </w:p>
    <w:p w14:paraId="3E501DE2" w14:textId="77777777" w:rsidR="001D2EF1" w:rsidRDefault="001D2EF1" w:rsidP="001D2EF1">
      <w:r>
        <w:t xml:space="preserve">Turner, S and Bowen, W 1999 ‘Choice of major: The changing (unchanging) gender gap’ </w:t>
      </w:r>
      <w:r w:rsidRPr="0076697F">
        <w:rPr>
          <w:i/>
        </w:rPr>
        <w:t>Industrial and Labor Relations Review</w:t>
      </w:r>
      <w:r>
        <w:t xml:space="preserve"> 52: 289-313</w:t>
      </w:r>
    </w:p>
    <w:p w14:paraId="2392A4D6" w14:textId="3B210DBC" w:rsidR="008508CF" w:rsidRDefault="008508CF" w:rsidP="0058017C">
      <w:r w:rsidRPr="008508CF">
        <w:t>Vedel</w:t>
      </w:r>
      <w:r w:rsidR="008805E1">
        <w:t>, A</w:t>
      </w:r>
      <w:r w:rsidRPr="008508CF">
        <w:t xml:space="preserve"> and Thomsen</w:t>
      </w:r>
      <w:r w:rsidR="008805E1">
        <w:t>, D</w:t>
      </w:r>
      <w:r w:rsidRPr="008508CF">
        <w:t xml:space="preserve"> 2017 </w:t>
      </w:r>
      <w:r w:rsidR="004958A3">
        <w:t>‘</w:t>
      </w:r>
      <w:r w:rsidRPr="008508CF">
        <w:t>The Dark Triad across academic majors</w:t>
      </w:r>
      <w:r w:rsidR="004958A3">
        <w:t>’</w:t>
      </w:r>
      <w:r w:rsidRPr="008508CF">
        <w:t xml:space="preserve"> </w:t>
      </w:r>
      <w:r w:rsidRPr="004958A3">
        <w:rPr>
          <w:i/>
        </w:rPr>
        <w:t>Personality and Individual Differences</w:t>
      </w:r>
      <w:r w:rsidRPr="008508CF">
        <w:t xml:space="preserve"> 116</w:t>
      </w:r>
      <w:r w:rsidR="008805E1">
        <w:t>:</w:t>
      </w:r>
      <w:r w:rsidRPr="008508CF">
        <w:t xml:space="preserve"> 86-91</w:t>
      </w:r>
    </w:p>
    <w:p w14:paraId="2033892A" w14:textId="17B9A619" w:rsidR="0058017C" w:rsidRDefault="0058017C" w:rsidP="0058017C">
      <w:r>
        <w:t xml:space="preserve">Wood, D 2017 </w:t>
      </w:r>
      <w:r w:rsidR="008508CF">
        <w:t>‘</w:t>
      </w:r>
      <w:r>
        <w:t>Women are dropping out of economics, which means men are running our economy</w:t>
      </w:r>
      <w:r w:rsidR="008508CF">
        <w:t>’</w:t>
      </w:r>
      <w:r>
        <w:t xml:space="preserve"> </w:t>
      </w:r>
      <w:r w:rsidRPr="008508CF">
        <w:rPr>
          <w:i/>
        </w:rPr>
        <w:t>The Conversation</w:t>
      </w:r>
      <w:r w:rsidR="008805E1">
        <w:t xml:space="preserve">, </w:t>
      </w:r>
      <w:r>
        <w:t>March</w:t>
      </w:r>
    </w:p>
    <w:p w14:paraId="70D2EF22" w14:textId="3E5DA4F8" w:rsidR="008508CF" w:rsidRDefault="00E400A5" w:rsidP="008508CF">
      <w:r>
        <w:t>Women’s Leadership Institute Australia 2016 ‘2016 w</w:t>
      </w:r>
      <w:r w:rsidR="008508CF">
        <w:t xml:space="preserve">omen for </w:t>
      </w:r>
      <w:r>
        <w:t>m</w:t>
      </w:r>
      <w:r w:rsidR="008508CF">
        <w:t xml:space="preserve">edia </w:t>
      </w:r>
      <w:r>
        <w:t>report:</w:t>
      </w:r>
      <w:r w:rsidR="004958A3">
        <w:t xml:space="preserve"> </w:t>
      </w:r>
      <w:r>
        <w:t>a</w:t>
      </w:r>
      <w:r w:rsidR="008508CF">
        <w:t>n analysis of the gender balance of sources and experts across Australian metropolitan print media</w:t>
      </w:r>
      <w:r w:rsidR="004958A3">
        <w:t>’</w:t>
      </w:r>
      <w:r w:rsidR="008508CF">
        <w:t xml:space="preserve"> </w:t>
      </w:r>
      <w:r w:rsidRPr="00E400A5">
        <w:t>https://apo.org.au/node/74747</w:t>
      </w:r>
    </w:p>
    <w:p w14:paraId="0BF079F7" w14:textId="77777777" w:rsidR="00A33149" w:rsidRDefault="004958A3" w:rsidP="00A33149">
      <w:r>
        <w:t>Wu, A 2017</w:t>
      </w:r>
      <w:r w:rsidR="008508CF">
        <w:t xml:space="preserve"> ‘Gender </w:t>
      </w:r>
      <w:r>
        <w:t>s</w:t>
      </w:r>
      <w:r w:rsidR="008508CF">
        <w:t xml:space="preserve">tereotype in </w:t>
      </w:r>
      <w:r>
        <w:t>a</w:t>
      </w:r>
      <w:r w:rsidR="008508CF">
        <w:t xml:space="preserve">cademia: </w:t>
      </w:r>
      <w:r>
        <w:t>e</w:t>
      </w:r>
      <w:r w:rsidR="008508CF">
        <w:t xml:space="preserve">vidence from </w:t>
      </w:r>
      <w:r>
        <w:t>e</w:t>
      </w:r>
      <w:r w:rsidR="008508CF">
        <w:t xml:space="preserve">conomics </w:t>
      </w:r>
      <w:r>
        <w:t>j</w:t>
      </w:r>
      <w:r w:rsidR="008508CF">
        <w:t xml:space="preserve">ob </w:t>
      </w:r>
      <w:r>
        <w:t>m</w:t>
      </w:r>
      <w:r w:rsidR="008508CF">
        <w:t xml:space="preserve">arket </w:t>
      </w:r>
      <w:r>
        <w:t>r</w:t>
      </w:r>
      <w:r w:rsidR="008508CF">
        <w:t xml:space="preserve">umors </w:t>
      </w:r>
      <w:r>
        <w:t>f</w:t>
      </w:r>
      <w:r w:rsidR="008508CF">
        <w:t>orum’, Working Papers 2017-09, Princeton University, Woodrow Wilson School of Public and International Affairs, Center for Health and Wellbeing.</w:t>
      </w:r>
    </w:p>
    <w:p w14:paraId="0DEAF97F" w14:textId="77777777" w:rsidR="00A33149" w:rsidRDefault="00A33149">
      <w:pPr>
        <w:spacing w:before="0" w:after="0" w:line="240" w:lineRule="auto"/>
      </w:pPr>
      <w:r>
        <w:br w:type="page"/>
      </w:r>
    </w:p>
    <w:p w14:paraId="6E0532CE" w14:textId="6C684EC7" w:rsidR="00EB0609" w:rsidRDefault="00EB0609" w:rsidP="00A33149"/>
    <w:p w14:paraId="587AE958" w14:textId="77777777" w:rsidR="00EB0609" w:rsidRDefault="00EB0609" w:rsidP="00EB0609">
      <w:pPr>
        <w:pStyle w:val="DisclaimerH1"/>
      </w:pPr>
    </w:p>
    <w:p w14:paraId="7E56AD02" w14:textId="4BC00A1B" w:rsidR="00EB0609" w:rsidRPr="00C711A6" w:rsidRDefault="00EB0609" w:rsidP="00EB0609">
      <w:pPr>
        <w:pStyle w:val="DisclaimerH2"/>
      </w:pPr>
      <w:r w:rsidRPr="00C711A6">
        <w:t>© Commonwealth of Australia 20</w:t>
      </w:r>
      <w:r w:rsidR="00F3166D">
        <w:t>2</w:t>
      </w:r>
      <w:r w:rsidR="00852E7C">
        <w:t>1</w:t>
      </w:r>
    </w:p>
    <w:p w14:paraId="47AA8AC9" w14:textId="77777777" w:rsidR="00852E7C" w:rsidRDefault="00852E7C" w:rsidP="00EB0609">
      <w:r w:rsidRPr="00852E7C">
        <w:t>ISBN 978-1-925364-49-1</w:t>
      </w:r>
      <w:r>
        <w:t xml:space="preserve"> </w:t>
      </w:r>
      <w:r w:rsidR="009D2B78">
        <w:t>Mentoring for women economics students</w:t>
      </w:r>
    </w:p>
    <w:p w14:paraId="7FEB9884" w14:textId="77777777" w:rsidR="00EB0609" w:rsidRPr="00C711A6" w:rsidRDefault="00EB0609" w:rsidP="00EB0609">
      <w:pPr>
        <w:pStyle w:val="DisclaimerH2"/>
      </w:pPr>
      <w:r w:rsidRPr="00C711A6">
        <w:t>Copyright Notice</w:t>
      </w:r>
    </w:p>
    <w:p w14:paraId="0C46F19F" w14:textId="77777777" w:rsidR="00EB0609" w:rsidRDefault="00EB0609" w:rsidP="00EB0609">
      <w:r>
        <w:t xml:space="preserve">With the exception of the Commonwealth Coat of Arms, this work is licensed under a Creative Commons Attribution 4.0 International license (CC BY 4.0) </w:t>
      </w:r>
      <w:hyperlink r:id="rId41" w:history="1">
        <w:r w:rsidRPr="006911C0">
          <w:rPr>
            <w:rStyle w:val="Hyperlink"/>
          </w:rPr>
          <w:t>http://creativecommons.org/licensesby/4.0/deed.en</w:t>
        </w:r>
      </w:hyperlink>
    </w:p>
    <w:p w14:paraId="18B0295F" w14:textId="77777777" w:rsidR="00EB0609" w:rsidRDefault="00EB0609" w:rsidP="00EB0609">
      <w:pPr>
        <w:spacing w:before="240"/>
      </w:pPr>
      <w:r>
        <w:rPr>
          <w:noProof/>
        </w:rPr>
        <w:drawing>
          <wp:inline distT="0" distB="0" distL="0" distR="0" wp14:anchorId="58ABD56D" wp14:editId="53278CB0">
            <wp:extent cx="771146" cy="307849"/>
            <wp:effectExtent l="0" t="0" r="0" b="0"/>
            <wp:docPr id="2" name="Picture 2"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392FD55D" w14:textId="77777777" w:rsidR="00EB0609" w:rsidRDefault="00EB0609" w:rsidP="00EB0609">
      <w:pPr>
        <w:pStyle w:val="DisclaimerH2"/>
      </w:pPr>
      <w:r>
        <w:t>Third party copyright</w:t>
      </w:r>
    </w:p>
    <w:p w14:paraId="7B191EEF" w14:textId="77777777" w:rsidR="00EB0609" w:rsidRDefault="00EB0609" w:rsidP="00EB0609">
      <w:r>
        <w:t>Wherever a third party holds copyright in this material, the copyright remains with that party. Their permission may be required to use the material. Please contact them directly.</w:t>
      </w:r>
    </w:p>
    <w:p w14:paraId="0DC4A1FA" w14:textId="77777777" w:rsidR="00EB0609" w:rsidRDefault="00EB0609" w:rsidP="00EB0609">
      <w:pPr>
        <w:pStyle w:val="DisclaimerH2"/>
      </w:pPr>
      <w:r>
        <w:t>Attribution</w:t>
      </w:r>
    </w:p>
    <w:p w14:paraId="4B869DB4" w14:textId="77777777" w:rsidR="00EB0609" w:rsidRDefault="00EB0609" w:rsidP="00EB0609">
      <w:r>
        <w:t xml:space="preserve">This publication should be attributed as follows: Commonwealth of Australia, Department of the Prime Minister and Cabinet, Effective use of SMS: timely reminders to report on time. </w:t>
      </w:r>
    </w:p>
    <w:p w14:paraId="065CF0D7" w14:textId="77777777" w:rsidR="00EB0609" w:rsidRDefault="00EB0609" w:rsidP="00EB0609">
      <w:pPr>
        <w:pStyle w:val="DisclaimerH2"/>
      </w:pPr>
      <w:r>
        <w:t>Use of the Coat of Arms</w:t>
      </w:r>
    </w:p>
    <w:p w14:paraId="3690118B" w14:textId="77777777" w:rsidR="00EB0609" w:rsidRDefault="00EB0609" w:rsidP="00EB0609">
      <w:r>
        <w:t xml:space="preserve">The terms under which the Coat of Arms can be used are detailed on the following website: </w:t>
      </w:r>
      <w:hyperlink r:id="rId43" w:history="1">
        <w:r w:rsidRPr="006911C0">
          <w:rPr>
            <w:rStyle w:val="Hyperlink"/>
          </w:rPr>
          <w:t>http://www.itsanhonour.gov.au/coat-arms</w:t>
        </w:r>
      </w:hyperlink>
    </w:p>
    <w:p w14:paraId="4FFDC621" w14:textId="77777777" w:rsidR="00C67F21" w:rsidRPr="00C67F21" w:rsidRDefault="00C67F21" w:rsidP="00C67F21"/>
    <w:p w14:paraId="55A6C883" w14:textId="77777777" w:rsidR="000A48B2" w:rsidRDefault="000A48B2" w:rsidP="00F04EF6"/>
    <w:p w14:paraId="7A673256" w14:textId="77777777" w:rsidR="009C7EE6" w:rsidRDefault="009C7EE6" w:rsidP="00C6442A">
      <w:pPr>
        <w:sectPr w:rsidR="009C7EE6" w:rsidSect="00541CFD">
          <w:type w:val="continuous"/>
          <w:pgSz w:w="11906" w:h="16838" w:code="9"/>
          <w:pgMar w:top="2041" w:right="2381" w:bottom="1247" w:left="1247" w:header="720" w:footer="851" w:gutter="0"/>
          <w:cols w:space="708"/>
          <w:docGrid w:linePitch="360"/>
        </w:sectPr>
      </w:pPr>
    </w:p>
    <w:p w14:paraId="64030AE5" w14:textId="77777777" w:rsidR="00D10FA1" w:rsidRDefault="00037F3D" w:rsidP="00E320C4">
      <w:pPr>
        <w:ind w:left="-378"/>
      </w:pPr>
      <w:r>
        <w:rPr>
          <w:noProof/>
        </w:rPr>
        <w:drawing>
          <wp:inline distT="0" distB="0" distL="0" distR="0" wp14:anchorId="2F4D30D4" wp14:editId="4AF743ED">
            <wp:extent cx="2526352" cy="3496063"/>
            <wp:effectExtent l="0" t="0" r="7620" b="0"/>
            <wp:docPr id="9" name="Picture 9" descr="The Commonwealth Government logo, and the logo of the Behavioural Economics Team of the Australian Government" title="Logo - Australian Government and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44">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63C5E48E" w14:textId="77777777" w:rsidR="001A0BF0" w:rsidRPr="00DF234F" w:rsidRDefault="001A0BF0" w:rsidP="001A0BF0">
      <w:pPr>
        <w:pStyle w:val="BackPageH1"/>
      </w:pPr>
      <w:r w:rsidRPr="00037F3D">
        <w:t xml:space="preserve">Behavioural Economics Team </w:t>
      </w:r>
      <w:r>
        <w:br/>
      </w:r>
      <w:r w:rsidRPr="00037F3D">
        <w:t>of the Australian Government</w:t>
      </w:r>
    </w:p>
    <w:p w14:paraId="39DE14F8" w14:textId="77777777" w:rsidR="001A0BF0" w:rsidRPr="004A4D74" w:rsidRDefault="001A0BF0" w:rsidP="004A4D74">
      <w:pPr>
        <w:pStyle w:val="BackPageH2"/>
      </w:pPr>
      <w:r w:rsidRPr="004A4D74">
        <w:t xml:space="preserve">General enquiries </w:t>
      </w:r>
      <w:hyperlink r:id="rId45" w:history="1">
        <w:r w:rsidRPr="004A4D74">
          <w:rPr>
            <w:rStyle w:val="Hyperlink"/>
          </w:rPr>
          <w:t>beta@pmc.gov.au</w:t>
        </w:r>
      </w:hyperlink>
    </w:p>
    <w:p w14:paraId="17D751D3" w14:textId="77777777" w:rsidR="001A0BF0" w:rsidRPr="004A4D74" w:rsidRDefault="001A0BF0" w:rsidP="004A4D74">
      <w:pPr>
        <w:pStyle w:val="BackPageH2"/>
      </w:pPr>
      <w:r w:rsidRPr="004A4D74">
        <w:t xml:space="preserve">Media enquiries </w:t>
      </w:r>
      <w:hyperlink r:id="rId46" w:history="1">
        <w:r w:rsidRPr="004A4D74">
          <w:rPr>
            <w:rStyle w:val="Hyperlink"/>
          </w:rPr>
          <w:t>media@pmc.gov.au</w:t>
        </w:r>
      </w:hyperlink>
    </w:p>
    <w:p w14:paraId="3A6ADC6D" w14:textId="77777777" w:rsidR="001A0BF0" w:rsidRPr="004A4D74" w:rsidRDefault="001A0BF0" w:rsidP="004A4D74">
      <w:pPr>
        <w:pStyle w:val="BackPageH2"/>
      </w:pPr>
      <w:r w:rsidRPr="004A4D74">
        <w:t xml:space="preserve">Find out more </w:t>
      </w:r>
      <w:hyperlink r:id="rId47" w:history="1">
        <w:r w:rsidRPr="004A4D74">
          <w:rPr>
            <w:rStyle w:val="Hyperlink"/>
          </w:rPr>
          <w:t>www.pmc.gov.au/beta</w:t>
        </w:r>
      </w:hyperlink>
    </w:p>
    <w:p w14:paraId="30971418" w14:textId="77777777" w:rsidR="00037F3D" w:rsidRPr="00037F3D" w:rsidRDefault="00037F3D" w:rsidP="00037F3D">
      <w:pPr>
        <w:spacing w:before="0" w:after="0" w:line="240" w:lineRule="auto"/>
        <w:rPr>
          <w:sz w:val="2"/>
          <w:szCs w:val="2"/>
        </w:rPr>
      </w:pPr>
    </w:p>
    <w:sectPr w:rsidR="00037F3D" w:rsidRPr="00037F3D" w:rsidSect="00F202CA">
      <w:headerReference w:type="default" r:id="rId48"/>
      <w:footerReference w:type="default" r:id="rId49"/>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638F9" w14:textId="77777777" w:rsidR="007B73FD" w:rsidRDefault="007B73FD">
      <w:r>
        <w:separator/>
      </w:r>
    </w:p>
  </w:endnote>
  <w:endnote w:type="continuationSeparator" w:id="0">
    <w:p w14:paraId="30707678" w14:textId="77777777" w:rsidR="007B73FD" w:rsidRDefault="007B7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EEF9A" w14:textId="4DA878FC" w:rsidR="007B73FD" w:rsidRDefault="007B73FD" w:rsidP="00A00EEB">
    <w:pPr>
      <w:pStyle w:val="Footer"/>
    </w:pPr>
    <w:r w:rsidRPr="003F31E6">
      <w:rPr>
        <w:noProof/>
      </w:rPr>
      <mc:AlternateContent>
        <mc:Choice Requires="wps">
          <w:drawing>
            <wp:anchor distT="0" distB="0" distL="114300" distR="114300" simplePos="0" relativeHeight="251660288" behindDoc="1" locked="0" layoutInCell="1" allowOverlap="1" wp14:anchorId="04CE1498" wp14:editId="70F8C4D6">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2E041" id="Rectangle 4" o:spid="_x0000_s1026" style="position:absolute;margin-left:0;margin-top:0;width:595.3pt;height:84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 </w:t>
    </w:r>
    <w:r>
      <w:tab/>
    </w:r>
    <w:r w:rsidRPr="00D91DE4">
      <w:fldChar w:fldCharType="begin"/>
    </w:r>
    <w:r w:rsidRPr="00D91DE4">
      <w:instrText xml:space="preserve"> PAGE   \* MERGEFORMAT </w:instrText>
    </w:r>
    <w:r w:rsidRPr="00D91DE4">
      <w:fldChar w:fldCharType="separate"/>
    </w:r>
    <w:r w:rsidR="006D4C86">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B33FF" w14:textId="1726FEA6" w:rsidR="007B73FD" w:rsidRPr="008253C4" w:rsidRDefault="007B73FD" w:rsidP="00A00EEB">
    <w:pPr>
      <w:pStyle w:val="Footer"/>
      <w:rPr>
        <w:color w:val="FFFFFF" w:themeColor="background1"/>
      </w:rPr>
    </w:pPr>
    <w:r w:rsidRPr="003F31E6">
      <w:rPr>
        <w:noProof/>
      </w:rPr>
      <mc:AlternateContent>
        <mc:Choice Requires="wps">
          <w:drawing>
            <wp:anchor distT="0" distB="0" distL="114300" distR="114300" simplePos="0" relativeHeight="251654144" behindDoc="1" locked="0" layoutInCell="1" allowOverlap="1" wp14:anchorId="12A439BC" wp14:editId="41479BAB">
              <wp:simplePos x="0" y="0"/>
              <wp:positionH relativeFrom="page">
                <wp:posOffset>0</wp:posOffset>
              </wp:positionH>
              <wp:positionV relativeFrom="page">
                <wp:posOffset>0</wp:posOffset>
              </wp:positionV>
              <wp:extent cx="7560000" cy="10692000"/>
              <wp:effectExtent l="0" t="0" r="0" b="1905"/>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8644E" id="Rectangle 3" o:spid="_x0000_s1026" style="position:absolute;margin-left:0;margin-top:0;width:595.3pt;height:84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PqmQIAAIcFAAAOAAAAZHJzL2Uyb0RvYy54bWysVN9PGzEMfp+0/yHK+7hrgQIVV1QVMU1C&#10;gICJ5zSX9E7KxZmT9tr99XNyP2AM7WFaH9L4bH+2v9i+vNo3hu0U+hpswSdHOWfKSihruyn49+eb&#10;L+ec+SBsKQxYVfCD8vxq8fnTZevmagoVmFIhIxDr560reBWCm2eZl5VqhD8CpywpNWAjAom4yUoU&#10;LaE3Jpvm+SxrAUuHIJX39PW6U/JFwtdayXCvtVeBmYJTbiGdmM51PLPFpZhvULiqln0a4h+yaERt&#10;KegIdS2CYFus/4BqaongQYcjCU0GWtdSpRqomkn+rpqnSjiVaiFyvBtp8v8PVt7tHpDVZcGPObOi&#10;oSd6JNKE3RjFjiM9rfNzsnpyD9hLnq6x1r3GJv5TFWyfKD2MlKp9YJI+np3OcvpxJkk3yWcX9GiJ&#10;9ezV36EPXxU0LF4KjhQ/cSl2tz5QTDIdTGI4D6Yub2pjkoCb9cog2wl64On19Gy2ikmTy29mxkZj&#10;C9GtU8cvWaytqybdwsGoaGfso9JECuU/TZmkdlRjHCGlsmHSqSpRqi78aaq0jx4bOHqkXBJgRNYU&#10;f8TuAQbLDmTA7mB6++iqUjePzvnfEuucR48UGWwYnZvaAn4EYKiqPnJnP5DUURNZWkN5oJZB6GbJ&#10;O3lT07vdCh8eBNLw0GPTQgj3dGgDbcGhv3FWAf786Hu0p54mLWctDWPB/Y+tQMWZ+Wap2y8mJydx&#10;epNwcno2JQHfatZvNXbbrIDaYUKrx8l0jfbBDFeN0LzQ3ljGqKQSVlLsgsuAg7AK3ZKgzSPVcpnM&#10;aGKdCLf2yckIHlmNffm8fxHo+uYN1Ph3MAyumL/r4c42elpYbgPoOjX4K6893zTtqXH6zRTXyVs5&#10;Wb3uz8UvAAAA//8DAFBLAwQUAAYACAAAACEAGvK3ld0AAAAHAQAADwAAAGRycy9kb3ducmV2Lnht&#10;bEyPQUvDQBCF74L/YRnBi9hJFUIasykqFnpSbD14nGbHJJidDdlNk/57t170MrzhDe99U6xn26kj&#10;D751omG5SECxVM60Umv42G9uM1A+kBjqnLCGE3tYl5cXBeXGTfLOx12oVQwRn5OGJoQ+R/RVw5b8&#10;wvUs0ftyg6UQ16FGM9AUw22Hd0mSoqVWYkNDPT83XH3vRqthdFP1eWM2+55w+/S6nfG0ennT+vpq&#10;fnwAFXgOf8dwxo/oUEamgxvFeNVpiI+E33n2lqskBXWIKs3uM8CywP/85Q8AAAD//wMAUEsBAi0A&#10;FAAGAAgAAAAhALaDOJL+AAAA4QEAABMAAAAAAAAAAAAAAAAAAAAAAFtDb250ZW50X1R5cGVzXS54&#10;bWxQSwECLQAUAAYACAAAACEAOP0h/9YAAACUAQAACwAAAAAAAAAAAAAAAAAvAQAAX3JlbHMvLnJl&#10;bHNQSwECLQAUAAYACAAAACEAG0rD6pkCAACHBQAADgAAAAAAAAAAAAAAAAAuAgAAZHJzL2Uyb0Rv&#10;Yy54bWxQSwECLQAUAAYACAAAACEAGvK3ld0AAAAHAQAADwAAAAAAAAAAAAAAAADzBAAAZHJzL2Rv&#10;d25yZXYueG1sUEsFBgAAAAAEAAQA8wAAAP0FAAAAAA==&#10;" fillcolor="#2d276c" stroked="f" strokeweight="2pt">
              <w10:wrap anchorx="page" anchory="page"/>
            </v:rect>
          </w:pict>
        </mc:Fallback>
      </mc:AlternateConten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6D4C86">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017BB" w14:textId="61D99C16" w:rsidR="007B73FD" w:rsidRDefault="007B73FD" w:rsidP="00A00EEB">
    <w:pPr>
      <w:pStyle w:val="Footer"/>
    </w:pPr>
    <w:r>
      <w:tab/>
    </w:r>
    <w:r w:rsidRPr="00D91DE4">
      <w:fldChar w:fldCharType="begin"/>
    </w:r>
    <w:r w:rsidRPr="00D91DE4">
      <w:instrText xml:space="preserve"> PAGE   \* MERGEFORMAT </w:instrText>
    </w:r>
    <w:r w:rsidRPr="00D91DE4">
      <w:fldChar w:fldCharType="separate"/>
    </w:r>
    <w:r w:rsidR="006D4C86">
      <w:rPr>
        <w:noProof/>
      </w:rPr>
      <w:t>13</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8AFF0" w14:textId="77777777" w:rsidR="007B73FD" w:rsidRPr="00F202CA" w:rsidRDefault="007B73FD"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5439AF" w14:textId="77777777" w:rsidR="007B73FD" w:rsidRDefault="007B73FD">
      <w:r>
        <w:separator/>
      </w:r>
    </w:p>
  </w:footnote>
  <w:footnote w:type="continuationSeparator" w:id="0">
    <w:p w14:paraId="302D9B76" w14:textId="77777777" w:rsidR="007B73FD" w:rsidRDefault="007B73FD">
      <w:r>
        <w:continuationSeparator/>
      </w:r>
    </w:p>
  </w:footnote>
  <w:footnote w:id="1">
    <w:p w14:paraId="60003F80" w14:textId="77777777" w:rsidR="007B73FD" w:rsidRDefault="007B73FD" w:rsidP="002A0A62">
      <w:pPr>
        <w:pStyle w:val="FootnoteText"/>
      </w:pPr>
      <w:r>
        <w:rPr>
          <w:rStyle w:val="FootnoteReference"/>
        </w:rPr>
        <w:footnoteRef/>
      </w:r>
      <w:r>
        <w:t xml:space="preserve"> </w:t>
      </w:r>
      <w:r w:rsidRPr="00235BC5">
        <w:t>The total number of students, both men and women, enrolled in economics has been declining as a share of the university population, however the rate of decline is faster for women than men.</w:t>
      </w:r>
    </w:p>
  </w:footnote>
  <w:footnote w:id="2">
    <w:p w14:paraId="627458C2" w14:textId="22EF81D1" w:rsidR="007B73FD" w:rsidRDefault="007B73FD">
      <w:pPr>
        <w:pStyle w:val="FootnoteText"/>
      </w:pPr>
      <w:r>
        <w:rPr>
          <w:rStyle w:val="FootnoteReference"/>
        </w:rPr>
        <w:footnoteRef/>
      </w:r>
      <w:r>
        <w:t xml:space="preserve"> While this outcome variable is consistent with the intent of the pre</w:t>
      </w:r>
      <w:r>
        <w:noBreakHyphen/>
        <w:t xml:space="preserve">specified outcomes, it does deviate from them and so the results for this outcome should be interpreted with some caution. See Appendix 1 for further discussion. </w:t>
      </w:r>
    </w:p>
  </w:footnote>
  <w:footnote w:id="3">
    <w:p w14:paraId="0E4DBCB6" w14:textId="680BA554" w:rsidR="007B73FD" w:rsidRDefault="007B73FD">
      <w:pPr>
        <w:pStyle w:val="FootnoteText"/>
      </w:pPr>
      <w:r>
        <w:rPr>
          <w:rStyle w:val="FootnoteReference"/>
        </w:rPr>
        <w:footnoteRef/>
      </w:r>
      <w:r>
        <w:t xml:space="preserve"> For example, in semester two 2019, the one</w:t>
      </w:r>
      <w:r>
        <w:noBreakHyphen/>
        <w:t xml:space="preserve">sided 95% confidence interval includes effects ranging upwards from a </w:t>
      </w:r>
      <w:r w:rsidRPr="00791D90">
        <w:rPr>
          <w:i/>
        </w:rPr>
        <w:t xml:space="preserve">negative </w:t>
      </w:r>
      <w:r>
        <w:t xml:space="preserve">effect of four percentage points. </w:t>
      </w:r>
    </w:p>
  </w:footnote>
  <w:footnote w:id="4">
    <w:p w14:paraId="3E4FD201" w14:textId="3A38F02E" w:rsidR="007B73FD" w:rsidRDefault="007B73FD">
      <w:pPr>
        <w:pStyle w:val="FootnoteText"/>
      </w:pPr>
      <w:r>
        <w:rPr>
          <w:rStyle w:val="FootnoteReference"/>
        </w:rPr>
        <w:footnoteRef/>
      </w:r>
      <w:r>
        <w:t xml:space="preserve"> Furthermore, this particular example did not figure in our results since we only had access to enrolment data from ANU.</w:t>
      </w:r>
    </w:p>
  </w:footnote>
  <w:footnote w:id="5">
    <w:p w14:paraId="3CD04D70" w14:textId="77777777" w:rsidR="007B73FD" w:rsidRDefault="007B73FD" w:rsidP="00D422A9">
      <w:pPr>
        <w:pStyle w:val="FootnoteText"/>
      </w:pPr>
      <w:r>
        <w:rPr>
          <w:rStyle w:val="FootnoteReference"/>
        </w:rPr>
        <w:footnoteRef/>
      </w:r>
      <w:r>
        <w:t xml:space="preserve"> In addition to the wide confidence interval, another reason for caution when interpreting this result is that we did not prespecify this hypothesis or outcome variable in our pre-analysis plan. Therefore, this finding should be treated as ‘exploratory’: a basis for further research rather than a firm finding. </w:t>
      </w:r>
    </w:p>
  </w:footnote>
  <w:footnote w:id="6">
    <w:p w14:paraId="6B531194" w14:textId="56C67FD0" w:rsidR="007B73FD" w:rsidRDefault="007B73FD">
      <w:pPr>
        <w:pStyle w:val="FootnoteText"/>
      </w:pPr>
      <w:r>
        <w:rPr>
          <w:rStyle w:val="FootnoteReference"/>
        </w:rPr>
        <w:footnoteRef/>
      </w:r>
      <w:r>
        <w:t xml:space="preserve"> Total responses=37, since one respondent chose not to answer this question. </w:t>
      </w:r>
    </w:p>
  </w:footnote>
  <w:footnote w:id="7">
    <w:p w14:paraId="765D737C" w14:textId="32123933" w:rsidR="007B73FD" w:rsidRDefault="007B73FD">
      <w:pPr>
        <w:pStyle w:val="FootnoteText"/>
      </w:pPr>
      <w:r>
        <w:rPr>
          <w:rStyle w:val="FootnoteReference"/>
        </w:rPr>
        <w:footnoteRef/>
      </w:r>
      <w:r>
        <w:t xml:space="preserve"> Course codes ECON1101, ECON2101, ECON3101, ECON1102, ECON2102 and ECON3102.</w:t>
      </w:r>
    </w:p>
  </w:footnote>
  <w:footnote w:id="8">
    <w:p w14:paraId="3902C651" w14:textId="228ECC1B" w:rsidR="007B73FD" w:rsidRDefault="007B73FD" w:rsidP="00EC0422">
      <w:pPr>
        <w:pStyle w:val="FootnoteText"/>
      </w:pPr>
      <w:r>
        <w:rPr>
          <w:rStyle w:val="FootnoteReference"/>
        </w:rPr>
        <w:footnoteRef/>
      </w:r>
      <w:r>
        <w:t xml:space="preserve"> An economics degree was defined as a Bachelor of Economicss, a Master of Economics, a Master of Economic Policy, or a Master of Applied Economics. We excluded degrees in accounting, commerce, finance, business administration, or PPE (politics, philosophy and economics).</w:t>
      </w:r>
    </w:p>
  </w:footnote>
  <w:footnote w:id="9">
    <w:p w14:paraId="60C7D50D" w14:textId="1D450F6D" w:rsidR="007B73FD" w:rsidRDefault="007B73FD">
      <w:pPr>
        <w:pStyle w:val="FootnoteText"/>
      </w:pPr>
      <w:r>
        <w:rPr>
          <w:rStyle w:val="FootnoteReference"/>
        </w:rPr>
        <w:footnoteRef/>
      </w:r>
      <w:r>
        <w:t xml:space="preserve"> While we have referred to this as a ‘primary outcome’, it deviates from the prespecified outcomes and so should be interpreted with more caution. See discussion in Appendix 1 for details.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039A6" w14:textId="77777777" w:rsidR="007B73FD" w:rsidRDefault="007B73FD" w:rsidP="008D551E">
    <w:pPr>
      <w:pStyle w:val="Header"/>
      <w:ind w:right="-24"/>
    </w:pPr>
    <w:r>
      <w:rPr>
        <w:noProof/>
      </w:rPr>
      <w:drawing>
        <wp:anchor distT="0" distB="0" distL="114300" distR="114300" simplePos="0" relativeHeight="251666432" behindDoc="1" locked="0" layoutInCell="1" allowOverlap="1" wp14:anchorId="4938D77D" wp14:editId="5E244175">
          <wp:simplePos x="0" y="0"/>
          <wp:positionH relativeFrom="page">
            <wp:align>left</wp:align>
          </wp:positionH>
          <wp:positionV relativeFrom="page">
            <wp:align>top</wp:align>
          </wp:positionV>
          <wp:extent cx="7563600" cy="10690735"/>
          <wp:effectExtent l="0" t="0" r="0" b="0"/>
          <wp:wrapNone/>
          <wp:docPr id="12" name="Picture 12" descr="The Australian Government (Department of the Prime Minister and Cabinet) logo, and the Bheavioural Economics Team of the Australian Government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6A5F1" w14:textId="77777777" w:rsidR="007B73FD" w:rsidRDefault="007B73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DDD7B" w14:textId="5FBBE4C2" w:rsidR="007B73FD" w:rsidRPr="004909C3" w:rsidRDefault="007B73FD" w:rsidP="008253C4">
    <w:pPr>
      <w:pStyle w:val="Header"/>
      <w:rPr>
        <w:color w:val="FFFFFF" w:themeColor="background1"/>
      </w:rPr>
    </w:pPr>
    <w:r>
      <w:rPr>
        <w:color w:val="FFFFFF" w:themeColor="background1"/>
      </w:rPr>
      <w:t>Mentoring for women economics students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61213" w14:textId="4D070AE1" w:rsidR="007B73FD" w:rsidRDefault="007B73FD">
    <w:pPr>
      <w:pStyle w:val="Header"/>
    </w:pPr>
    <w:r>
      <w:t>Mentoring for women economics students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A6530" w14:textId="77777777" w:rsidR="007B73FD" w:rsidRPr="00F202CA" w:rsidRDefault="007B73FD"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F1AD9"/>
    <w:multiLevelType w:val="hybridMultilevel"/>
    <w:tmpl w:val="6D9213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4F0389"/>
    <w:multiLevelType w:val="hybridMultilevel"/>
    <w:tmpl w:val="CC42AB64"/>
    <w:lvl w:ilvl="0" w:tplc="A41A1F5A">
      <w:start w:val="1"/>
      <w:numFmt w:val="bullet"/>
      <w:pStyle w:val="GreyBodyFrameBullet"/>
      <w:lvlText w:val=""/>
      <w:lvlJc w:val="left"/>
      <w:pPr>
        <w:ind w:left="5724" w:hanging="360"/>
      </w:pPr>
      <w:rPr>
        <w:rFonts w:ascii="Symbol" w:hAnsi="Symbol" w:hint="default"/>
      </w:rPr>
    </w:lvl>
    <w:lvl w:ilvl="1" w:tplc="0C090003" w:tentative="1">
      <w:start w:val="1"/>
      <w:numFmt w:val="bullet"/>
      <w:lvlText w:val="o"/>
      <w:lvlJc w:val="left"/>
      <w:pPr>
        <w:ind w:left="6444" w:hanging="360"/>
      </w:pPr>
      <w:rPr>
        <w:rFonts w:ascii="Courier New" w:hAnsi="Courier New" w:cs="Courier New" w:hint="default"/>
      </w:rPr>
    </w:lvl>
    <w:lvl w:ilvl="2" w:tplc="0C090005" w:tentative="1">
      <w:start w:val="1"/>
      <w:numFmt w:val="bullet"/>
      <w:lvlText w:val=""/>
      <w:lvlJc w:val="left"/>
      <w:pPr>
        <w:ind w:left="7164" w:hanging="360"/>
      </w:pPr>
      <w:rPr>
        <w:rFonts w:ascii="Wingdings" w:hAnsi="Wingdings" w:hint="default"/>
      </w:rPr>
    </w:lvl>
    <w:lvl w:ilvl="3" w:tplc="0C090001" w:tentative="1">
      <w:start w:val="1"/>
      <w:numFmt w:val="bullet"/>
      <w:lvlText w:val=""/>
      <w:lvlJc w:val="left"/>
      <w:pPr>
        <w:ind w:left="7884" w:hanging="360"/>
      </w:pPr>
      <w:rPr>
        <w:rFonts w:ascii="Symbol" w:hAnsi="Symbol" w:hint="default"/>
      </w:rPr>
    </w:lvl>
    <w:lvl w:ilvl="4" w:tplc="0C090003" w:tentative="1">
      <w:start w:val="1"/>
      <w:numFmt w:val="bullet"/>
      <w:lvlText w:val="o"/>
      <w:lvlJc w:val="left"/>
      <w:pPr>
        <w:ind w:left="8604" w:hanging="360"/>
      </w:pPr>
      <w:rPr>
        <w:rFonts w:ascii="Courier New" w:hAnsi="Courier New" w:cs="Courier New" w:hint="default"/>
      </w:rPr>
    </w:lvl>
    <w:lvl w:ilvl="5" w:tplc="0C090005" w:tentative="1">
      <w:start w:val="1"/>
      <w:numFmt w:val="bullet"/>
      <w:lvlText w:val=""/>
      <w:lvlJc w:val="left"/>
      <w:pPr>
        <w:ind w:left="9324" w:hanging="360"/>
      </w:pPr>
      <w:rPr>
        <w:rFonts w:ascii="Wingdings" w:hAnsi="Wingdings" w:hint="default"/>
      </w:rPr>
    </w:lvl>
    <w:lvl w:ilvl="6" w:tplc="0C090001" w:tentative="1">
      <w:start w:val="1"/>
      <w:numFmt w:val="bullet"/>
      <w:lvlText w:val=""/>
      <w:lvlJc w:val="left"/>
      <w:pPr>
        <w:ind w:left="10044" w:hanging="360"/>
      </w:pPr>
      <w:rPr>
        <w:rFonts w:ascii="Symbol" w:hAnsi="Symbol" w:hint="default"/>
      </w:rPr>
    </w:lvl>
    <w:lvl w:ilvl="7" w:tplc="0C090003" w:tentative="1">
      <w:start w:val="1"/>
      <w:numFmt w:val="bullet"/>
      <w:lvlText w:val="o"/>
      <w:lvlJc w:val="left"/>
      <w:pPr>
        <w:ind w:left="10764" w:hanging="360"/>
      </w:pPr>
      <w:rPr>
        <w:rFonts w:ascii="Courier New" w:hAnsi="Courier New" w:cs="Courier New" w:hint="default"/>
      </w:rPr>
    </w:lvl>
    <w:lvl w:ilvl="8" w:tplc="0C090005" w:tentative="1">
      <w:start w:val="1"/>
      <w:numFmt w:val="bullet"/>
      <w:lvlText w:val=""/>
      <w:lvlJc w:val="left"/>
      <w:pPr>
        <w:ind w:left="11484" w:hanging="360"/>
      </w:pPr>
      <w:rPr>
        <w:rFonts w:ascii="Wingdings" w:hAnsi="Wingdings" w:hint="default"/>
      </w:rPr>
    </w:lvl>
  </w:abstractNum>
  <w:abstractNum w:abstractNumId="2" w15:restartNumberingAfterBreak="0">
    <w:nsid w:val="19615095"/>
    <w:multiLevelType w:val="hybridMultilevel"/>
    <w:tmpl w:val="ADF28F06"/>
    <w:lvl w:ilvl="0" w:tplc="8FA413E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7E7E05"/>
    <w:multiLevelType w:val="hybridMultilevel"/>
    <w:tmpl w:val="C5A26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252B37"/>
    <w:multiLevelType w:val="hybridMultilevel"/>
    <w:tmpl w:val="39C240D8"/>
    <w:lvl w:ilvl="0" w:tplc="46E66788">
      <w:numFmt w:val="bullet"/>
      <w:lvlText w:val="•"/>
      <w:lvlJc w:val="left"/>
      <w:pPr>
        <w:ind w:left="1080" w:hanging="72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DB367E2"/>
    <w:multiLevelType w:val="hybridMultilevel"/>
    <w:tmpl w:val="42D8D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882539"/>
    <w:multiLevelType w:val="hybridMultilevel"/>
    <w:tmpl w:val="5366F368"/>
    <w:lvl w:ilvl="0" w:tplc="65B0B0B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087F50"/>
    <w:multiLevelType w:val="multilevel"/>
    <w:tmpl w:val="C6264426"/>
    <w:lvl w:ilvl="0">
      <w:start w:val="1"/>
      <w:numFmt w:val="decimal"/>
      <w:pStyle w:val="AppendixHeading"/>
      <w:suff w:val="nothing"/>
      <w:lvlText w:val="Appendix %1 - "/>
      <w:lvlJc w:val="left"/>
      <w:pPr>
        <w:ind w:left="1134" w:hanging="1134"/>
      </w:pPr>
      <w:rPr>
        <w:rFonts w:ascii="Helvetica" w:hAnsi="Helvetica" w:hint="default"/>
        <w:b/>
        <w:i w:val="0"/>
        <w:color w:val="2158A8"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pStyle w:val="Heading5"/>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9" w15:restartNumberingAfterBreak="0">
    <w:nsid w:val="39C624AC"/>
    <w:multiLevelType w:val="hybridMultilevel"/>
    <w:tmpl w:val="0F72C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036226"/>
    <w:multiLevelType w:val="hybridMultilevel"/>
    <w:tmpl w:val="3F7E2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2979D0"/>
    <w:multiLevelType w:val="hybridMultilevel"/>
    <w:tmpl w:val="EED4D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D84648"/>
    <w:multiLevelType w:val="hybridMultilevel"/>
    <w:tmpl w:val="D5E0A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B852D8"/>
    <w:multiLevelType w:val="hybridMultilevel"/>
    <w:tmpl w:val="A37E9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6A7891"/>
    <w:multiLevelType w:val="multilevel"/>
    <w:tmpl w:val="2BDCEEE2"/>
    <w:lvl w:ilvl="0">
      <w:start w:val="1"/>
      <w:numFmt w:val="decimal"/>
      <w:pStyle w:val="FigureHeading"/>
      <w:suff w:val="space"/>
      <w:lvlText w:val="Figure %1:"/>
      <w:lvlJc w:val="left"/>
      <w:pPr>
        <w:ind w:left="1430" w:hanging="720"/>
      </w:pPr>
      <w:rPr>
        <w:specVanish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3193DC9"/>
    <w:multiLevelType w:val="hybridMultilevel"/>
    <w:tmpl w:val="09D81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1A24AF"/>
    <w:multiLevelType w:val="hybridMultilevel"/>
    <w:tmpl w:val="515A7696"/>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18" w15:restartNumberingAfterBreak="0">
    <w:nsid w:val="5B6F0B3A"/>
    <w:multiLevelType w:val="hybridMultilevel"/>
    <w:tmpl w:val="E53CE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0422E3"/>
    <w:multiLevelType w:val="hybridMultilevel"/>
    <w:tmpl w:val="2D6E3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CC7A3F"/>
    <w:multiLevelType w:val="hybridMultilevel"/>
    <w:tmpl w:val="340C03C2"/>
    <w:lvl w:ilvl="0" w:tplc="46E66788">
      <w:numFmt w:val="bullet"/>
      <w:lvlText w:val="•"/>
      <w:lvlJc w:val="left"/>
      <w:pPr>
        <w:ind w:left="1080" w:hanging="72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E14C80"/>
    <w:multiLevelType w:val="hybridMultilevel"/>
    <w:tmpl w:val="03122384"/>
    <w:lvl w:ilvl="0" w:tplc="0C090017">
      <w:start w:val="1"/>
      <w:numFmt w:val="lowerLetter"/>
      <w:lvlText w:val="%1)"/>
      <w:lvlJc w:val="left"/>
      <w:pPr>
        <w:ind w:left="1080" w:hanging="72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4"/>
  </w:num>
  <w:num w:numId="4">
    <w:abstractNumId w:val="8"/>
  </w:num>
  <w:num w:numId="5">
    <w:abstractNumId w:val="20"/>
  </w:num>
  <w:num w:numId="6">
    <w:abstractNumId w:val="2"/>
  </w:num>
  <w:num w:numId="7">
    <w:abstractNumId w:val="4"/>
  </w:num>
  <w:num w:numId="8">
    <w:abstractNumId w:val="1"/>
  </w:num>
  <w:num w:numId="9">
    <w:abstractNumId w:val="12"/>
  </w:num>
  <w:num w:numId="10">
    <w:abstractNumId w:val="3"/>
  </w:num>
  <w:num w:numId="11">
    <w:abstractNumId w:val="21"/>
  </w:num>
  <w:num w:numId="12">
    <w:abstractNumId w:val="14"/>
  </w:num>
  <w:num w:numId="13">
    <w:abstractNumId w:val="14"/>
  </w:num>
  <w:num w:numId="14">
    <w:abstractNumId w:val="14"/>
  </w:num>
  <w:num w:numId="15">
    <w:abstractNumId w:val="14"/>
  </w:num>
  <w:num w:numId="16">
    <w:abstractNumId w:val="7"/>
  </w:num>
  <w:num w:numId="17">
    <w:abstractNumId w:val="16"/>
  </w:num>
  <w:num w:numId="18">
    <w:abstractNumId w:val="8"/>
  </w:num>
  <w:num w:numId="19">
    <w:abstractNumId w:val="14"/>
  </w:num>
  <w:num w:numId="20">
    <w:abstractNumId w:val="14"/>
  </w:num>
  <w:num w:numId="21">
    <w:abstractNumId w:val="15"/>
  </w:num>
  <w:num w:numId="22">
    <w:abstractNumId w:val="10"/>
  </w:num>
  <w:num w:numId="23">
    <w:abstractNumId w:val="0"/>
  </w:num>
  <w:num w:numId="24">
    <w:abstractNumId w:val="6"/>
  </w:num>
  <w:num w:numId="25">
    <w:abstractNumId w:val="8"/>
  </w:num>
  <w:num w:numId="26">
    <w:abstractNumId w:val="8"/>
  </w:num>
  <w:num w:numId="27">
    <w:abstractNumId w:val="8"/>
  </w:num>
  <w:num w:numId="28">
    <w:abstractNumId w:val="18"/>
  </w:num>
  <w:num w:numId="29">
    <w:abstractNumId w:val="11"/>
  </w:num>
  <w:num w:numId="30">
    <w:abstractNumId w:val="19"/>
  </w:num>
  <w:num w:numId="31">
    <w:abstractNumId w:val="9"/>
  </w:num>
  <w:num w:numId="32">
    <w:abstractNumId w:val="13"/>
  </w:num>
  <w:num w:numId="33">
    <w:abstractNumId w:val="8"/>
  </w:num>
  <w:num w:numId="34">
    <w:abstractNumId w:val="14"/>
  </w:num>
  <w:num w:numId="35">
    <w:abstractNumId w:val="14"/>
  </w:num>
  <w:num w:numId="36">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DateAndTime/>
  <w:hideSpellingErrors/>
  <w:hideGrammaticalError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inkAnnotations="0"/>
  <w:documentProtection w:edit="readOnly" w:enforcement="0"/>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F7B"/>
    <w:rsid w:val="00005785"/>
    <w:rsid w:val="000059F8"/>
    <w:rsid w:val="00006876"/>
    <w:rsid w:val="000079AD"/>
    <w:rsid w:val="00007D1F"/>
    <w:rsid w:val="00010D84"/>
    <w:rsid w:val="00010F15"/>
    <w:rsid w:val="00011CE3"/>
    <w:rsid w:val="00011F9F"/>
    <w:rsid w:val="000131D0"/>
    <w:rsid w:val="000176B5"/>
    <w:rsid w:val="00022E9C"/>
    <w:rsid w:val="00024EF0"/>
    <w:rsid w:val="00025631"/>
    <w:rsid w:val="0002784D"/>
    <w:rsid w:val="00027B26"/>
    <w:rsid w:val="00030705"/>
    <w:rsid w:val="00031521"/>
    <w:rsid w:val="00032861"/>
    <w:rsid w:val="00032B77"/>
    <w:rsid w:val="00032C4C"/>
    <w:rsid w:val="00037F3D"/>
    <w:rsid w:val="000416F1"/>
    <w:rsid w:val="00042285"/>
    <w:rsid w:val="00043256"/>
    <w:rsid w:val="00045A89"/>
    <w:rsid w:val="00046F8E"/>
    <w:rsid w:val="00047261"/>
    <w:rsid w:val="00047524"/>
    <w:rsid w:val="00050332"/>
    <w:rsid w:val="0005040E"/>
    <w:rsid w:val="0005087D"/>
    <w:rsid w:val="00050F9E"/>
    <w:rsid w:val="000547EF"/>
    <w:rsid w:val="00056004"/>
    <w:rsid w:val="0006075A"/>
    <w:rsid w:val="00061C84"/>
    <w:rsid w:val="00062484"/>
    <w:rsid w:val="00063129"/>
    <w:rsid w:val="00064EE9"/>
    <w:rsid w:val="00065022"/>
    <w:rsid w:val="00065A5E"/>
    <w:rsid w:val="0006687B"/>
    <w:rsid w:val="00070681"/>
    <w:rsid w:val="0007097B"/>
    <w:rsid w:val="00070F67"/>
    <w:rsid w:val="00072DA5"/>
    <w:rsid w:val="00076014"/>
    <w:rsid w:val="00077729"/>
    <w:rsid w:val="00080A09"/>
    <w:rsid w:val="00081366"/>
    <w:rsid w:val="00081BBD"/>
    <w:rsid w:val="00081CEB"/>
    <w:rsid w:val="00083082"/>
    <w:rsid w:val="00083F36"/>
    <w:rsid w:val="00086D9F"/>
    <w:rsid w:val="00087B2C"/>
    <w:rsid w:val="00087D4E"/>
    <w:rsid w:val="00087DBD"/>
    <w:rsid w:val="00090718"/>
    <w:rsid w:val="00091B4E"/>
    <w:rsid w:val="00091CD7"/>
    <w:rsid w:val="00093DD5"/>
    <w:rsid w:val="00095258"/>
    <w:rsid w:val="00095B0C"/>
    <w:rsid w:val="000A03DD"/>
    <w:rsid w:val="000A1A09"/>
    <w:rsid w:val="000A47A8"/>
    <w:rsid w:val="000A48B2"/>
    <w:rsid w:val="000A73FB"/>
    <w:rsid w:val="000B0129"/>
    <w:rsid w:val="000B0456"/>
    <w:rsid w:val="000B1196"/>
    <w:rsid w:val="000B218A"/>
    <w:rsid w:val="000C014D"/>
    <w:rsid w:val="000C2466"/>
    <w:rsid w:val="000C29B4"/>
    <w:rsid w:val="000C48FB"/>
    <w:rsid w:val="000C5CD8"/>
    <w:rsid w:val="000C71BF"/>
    <w:rsid w:val="000C7A69"/>
    <w:rsid w:val="000C7B05"/>
    <w:rsid w:val="000D1158"/>
    <w:rsid w:val="000D4703"/>
    <w:rsid w:val="000D5A7F"/>
    <w:rsid w:val="000E12D4"/>
    <w:rsid w:val="000E39EF"/>
    <w:rsid w:val="000E51CE"/>
    <w:rsid w:val="000E620E"/>
    <w:rsid w:val="000F0238"/>
    <w:rsid w:val="000F2063"/>
    <w:rsid w:val="000F2FD3"/>
    <w:rsid w:val="000F3D28"/>
    <w:rsid w:val="000F3E99"/>
    <w:rsid w:val="000F63C4"/>
    <w:rsid w:val="000F7463"/>
    <w:rsid w:val="00100200"/>
    <w:rsid w:val="00100DF6"/>
    <w:rsid w:val="0010263D"/>
    <w:rsid w:val="00102824"/>
    <w:rsid w:val="0010300A"/>
    <w:rsid w:val="0010302C"/>
    <w:rsid w:val="001131F0"/>
    <w:rsid w:val="001139C7"/>
    <w:rsid w:val="00114EBC"/>
    <w:rsid w:val="0012073F"/>
    <w:rsid w:val="001239B3"/>
    <w:rsid w:val="0012427E"/>
    <w:rsid w:val="001247E0"/>
    <w:rsid w:val="001252F6"/>
    <w:rsid w:val="001266F9"/>
    <w:rsid w:val="00126750"/>
    <w:rsid w:val="00126941"/>
    <w:rsid w:val="00127115"/>
    <w:rsid w:val="001271A1"/>
    <w:rsid w:val="00127B5C"/>
    <w:rsid w:val="00131C0F"/>
    <w:rsid w:val="001325BF"/>
    <w:rsid w:val="00132F0D"/>
    <w:rsid w:val="00133713"/>
    <w:rsid w:val="0013451F"/>
    <w:rsid w:val="00134ED6"/>
    <w:rsid w:val="00135B7E"/>
    <w:rsid w:val="00137FDB"/>
    <w:rsid w:val="00140D2F"/>
    <w:rsid w:val="00140FC9"/>
    <w:rsid w:val="001413C5"/>
    <w:rsid w:val="00141458"/>
    <w:rsid w:val="0014231B"/>
    <w:rsid w:val="00142956"/>
    <w:rsid w:val="00142D10"/>
    <w:rsid w:val="001432B0"/>
    <w:rsid w:val="00144868"/>
    <w:rsid w:val="001452BC"/>
    <w:rsid w:val="00150D2A"/>
    <w:rsid w:val="00150E25"/>
    <w:rsid w:val="00150EA9"/>
    <w:rsid w:val="00151650"/>
    <w:rsid w:val="00155B98"/>
    <w:rsid w:val="00156242"/>
    <w:rsid w:val="00157001"/>
    <w:rsid w:val="00157709"/>
    <w:rsid w:val="00160B66"/>
    <w:rsid w:val="00160E91"/>
    <w:rsid w:val="00160F9A"/>
    <w:rsid w:val="00164353"/>
    <w:rsid w:val="00165626"/>
    <w:rsid w:val="00166272"/>
    <w:rsid w:val="001671D2"/>
    <w:rsid w:val="00167CF4"/>
    <w:rsid w:val="00170BE9"/>
    <w:rsid w:val="0017147C"/>
    <w:rsid w:val="0017194E"/>
    <w:rsid w:val="0017249B"/>
    <w:rsid w:val="001727A4"/>
    <w:rsid w:val="00177EC4"/>
    <w:rsid w:val="00180E9B"/>
    <w:rsid w:val="00181533"/>
    <w:rsid w:val="001824C8"/>
    <w:rsid w:val="00182698"/>
    <w:rsid w:val="001864FD"/>
    <w:rsid w:val="00186C77"/>
    <w:rsid w:val="00190F70"/>
    <w:rsid w:val="001936A7"/>
    <w:rsid w:val="001943DD"/>
    <w:rsid w:val="00196157"/>
    <w:rsid w:val="00196BAC"/>
    <w:rsid w:val="00196F1C"/>
    <w:rsid w:val="00197EBC"/>
    <w:rsid w:val="001A009A"/>
    <w:rsid w:val="001A0BF0"/>
    <w:rsid w:val="001A13F6"/>
    <w:rsid w:val="001A2674"/>
    <w:rsid w:val="001A2D78"/>
    <w:rsid w:val="001A4452"/>
    <w:rsid w:val="001A549D"/>
    <w:rsid w:val="001A61C4"/>
    <w:rsid w:val="001A7249"/>
    <w:rsid w:val="001B0369"/>
    <w:rsid w:val="001B35FF"/>
    <w:rsid w:val="001B37BE"/>
    <w:rsid w:val="001B385A"/>
    <w:rsid w:val="001B3904"/>
    <w:rsid w:val="001B3AEC"/>
    <w:rsid w:val="001B3E8D"/>
    <w:rsid w:val="001B5259"/>
    <w:rsid w:val="001B53B8"/>
    <w:rsid w:val="001B5E58"/>
    <w:rsid w:val="001B60D4"/>
    <w:rsid w:val="001B6F28"/>
    <w:rsid w:val="001C12DB"/>
    <w:rsid w:val="001C2611"/>
    <w:rsid w:val="001C4F4F"/>
    <w:rsid w:val="001C6BA1"/>
    <w:rsid w:val="001C6F22"/>
    <w:rsid w:val="001D141C"/>
    <w:rsid w:val="001D2904"/>
    <w:rsid w:val="001D2EF1"/>
    <w:rsid w:val="001D652D"/>
    <w:rsid w:val="001D693F"/>
    <w:rsid w:val="001D6EDF"/>
    <w:rsid w:val="001D6F9E"/>
    <w:rsid w:val="001E38FB"/>
    <w:rsid w:val="001E52C2"/>
    <w:rsid w:val="001E5B4C"/>
    <w:rsid w:val="001E5FE8"/>
    <w:rsid w:val="001E6A27"/>
    <w:rsid w:val="001E7AE0"/>
    <w:rsid w:val="001F0BE1"/>
    <w:rsid w:val="001F101A"/>
    <w:rsid w:val="001F194F"/>
    <w:rsid w:val="001F24EF"/>
    <w:rsid w:val="001F56C7"/>
    <w:rsid w:val="001F5B84"/>
    <w:rsid w:val="00203039"/>
    <w:rsid w:val="00203A42"/>
    <w:rsid w:val="00204B17"/>
    <w:rsid w:val="002069D2"/>
    <w:rsid w:val="002111E1"/>
    <w:rsid w:val="00211DA2"/>
    <w:rsid w:val="00213693"/>
    <w:rsid w:val="00215137"/>
    <w:rsid w:val="00215479"/>
    <w:rsid w:val="00215B64"/>
    <w:rsid w:val="00215CCB"/>
    <w:rsid w:val="00216CF5"/>
    <w:rsid w:val="0022037B"/>
    <w:rsid w:val="00222C8D"/>
    <w:rsid w:val="00222D50"/>
    <w:rsid w:val="00223DCE"/>
    <w:rsid w:val="002243BB"/>
    <w:rsid w:val="002256A8"/>
    <w:rsid w:val="00225E6E"/>
    <w:rsid w:val="00226D96"/>
    <w:rsid w:val="00230E6B"/>
    <w:rsid w:val="002320BC"/>
    <w:rsid w:val="00232B97"/>
    <w:rsid w:val="00233077"/>
    <w:rsid w:val="0023523A"/>
    <w:rsid w:val="002369E9"/>
    <w:rsid w:val="0023757C"/>
    <w:rsid w:val="00237C47"/>
    <w:rsid w:val="002402E4"/>
    <w:rsid w:val="002421A0"/>
    <w:rsid w:val="00242B98"/>
    <w:rsid w:val="0024386A"/>
    <w:rsid w:val="002445A1"/>
    <w:rsid w:val="00246484"/>
    <w:rsid w:val="00246FE6"/>
    <w:rsid w:val="002470E3"/>
    <w:rsid w:val="0025207D"/>
    <w:rsid w:val="002535AE"/>
    <w:rsid w:val="00254DE9"/>
    <w:rsid w:val="00255B7B"/>
    <w:rsid w:val="00257A66"/>
    <w:rsid w:val="00257BBD"/>
    <w:rsid w:val="002602FC"/>
    <w:rsid w:val="002615D3"/>
    <w:rsid w:val="0026268A"/>
    <w:rsid w:val="00262845"/>
    <w:rsid w:val="002672F1"/>
    <w:rsid w:val="00271414"/>
    <w:rsid w:val="00271922"/>
    <w:rsid w:val="00271939"/>
    <w:rsid w:val="00273412"/>
    <w:rsid w:val="0027373F"/>
    <w:rsid w:val="00274ACF"/>
    <w:rsid w:val="00277388"/>
    <w:rsid w:val="00277C8F"/>
    <w:rsid w:val="0028159B"/>
    <w:rsid w:val="00282671"/>
    <w:rsid w:val="00282861"/>
    <w:rsid w:val="00283BE5"/>
    <w:rsid w:val="002843E2"/>
    <w:rsid w:val="00284434"/>
    <w:rsid w:val="00286319"/>
    <w:rsid w:val="00287792"/>
    <w:rsid w:val="00287BAA"/>
    <w:rsid w:val="0029180D"/>
    <w:rsid w:val="00293489"/>
    <w:rsid w:val="0029359B"/>
    <w:rsid w:val="00295B30"/>
    <w:rsid w:val="00296F5E"/>
    <w:rsid w:val="00297A8D"/>
    <w:rsid w:val="002A0A62"/>
    <w:rsid w:val="002A30F0"/>
    <w:rsid w:val="002A38A4"/>
    <w:rsid w:val="002A6358"/>
    <w:rsid w:val="002A6DF5"/>
    <w:rsid w:val="002B6406"/>
    <w:rsid w:val="002B6809"/>
    <w:rsid w:val="002C1E9A"/>
    <w:rsid w:val="002C4231"/>
    <w:rsid w:val="002C5495"/>
    <w:rsid w:val="002C56BB"/>
    <w:rsid w:val="002C6CF1"/>
    <w:rsid w:val="002C7080"/>
    <w:rsid w:val="002D00B0"/>
    <w:rsid w:val="002D2364"/>
    <w:rsid w:val="002D2E16"/>
    <w:rsid w:val="002D38B7"/>
    <w:rsid w:val="002D3D4F"/>
    <w:rsid w:val="002D6050"/>
    <w:rsid w:val="002D6E3E"/>
    <w:rsid w:val="002E21D6"/>
    <w:rsid w:val="002E45F0"/>
    <w:rsid w:val="002E7672"/>
    <w:rsid w:val="002E7778"/>
    <w:rsid w:val="00303871"/>
    <w:rsid w:val="00303B35"/>
    <w:rsid w:val="00304B3E"/>
    <w:rsid w:val="00304D97"/>
    <w:rsid w:val="00306D2B"/>
    <w:rsid w:val="0031180A"/>
    <w:rsid w:val="003122C7"/>
    <w:rsid w:val="00312500"/>
    <w:rsid w:val="00313127"/>
    <w:rsid w:val="00313304"/>
    <w:rsid w:val="003155F4"/>
    <w:rsid w:val="00320309"/>
    <w:rsid w:val="00321D1E"/>
    <w:rsid w:val="00321DBB"/>
    <w:rsid w:val="00322758"/>
    <w:rsid w:val="0032530E"/>
    <w:rsid w:val="00325A61"/>
    <w:rsid w:val="00326976"/>
    <w:rsid w:val="00326B01"/>
    <w:rsid w:val="003279E4"/>
    <w:rsid w:val="003311D7"/>
    <w:rsid w:val="00332B8B"/>
    <w:rsid w:val="00334C38"/>
    <w:rsid w:val="0033521E"/>
    <w:rsid w:val="003364C7"/>
    <w:rsid w:val="00337CA2"/>
    <w:rsid w:val="003402FB"/>
    <w:rsid w:val="003404A4"/>
    <w:rsid w:val="003418E4"/>
    <w:rsid w:val="003441A9"/>
    <w:rsid w:val="00346843"/>
    <w:rsid w:val="00347104"/>
    <w:rsid w:val="00350852"/>
    <w:rsid w:val="0035096E"/>
    <w:rsid w:val="0035129C"/>
    <w:rsid w:val="0035219F"/>
    <w:rsid w:val="00355D01"/>
    <w:rsid w:val="00360B81"/>
    <w:rsid w:val="00361FC8"/>
    <w:rsid w:val="00366283"/>
    <w:rsid w:val="00366B94"/>
    <w:rsid w:val="0036777E"/>
    <w:rsid w:val="003701FA"/>
    <w:rsid w:val="003713C0"/>
    <w:rsid w:val="0037271A"/>
    <w:rsid w:val="00372A26"/>
    <w:rsid w:val="00372EC7"/>
    <w:rsid w:val="0037484C"/>
    <w:rsid w:val="003749CD"/>
    <w:rsid w:val="00374A6C"/>
    <w:rsid w:val="0038045A"/>
    <w:rsid w:val="00382718"/>
    <w:rsid w:val="00382B3B"/>
    <w:rsid w:val="00385ED2"/>
    <w:rsid w:val="003866D6"/>
    <w:rsid w:val="0038714A"/>
    <w:rsid w:val="00391F86"/>
    <w:rsid w:val="003923FB"/>
    <w:rsid w:val="003931C7"/>
    <w:rsid w:val="00393F00"/>
    <w:rsid w:val="003945C0"/>
    <w:rsid w:val="003978D0"/>
    <w:rsid w:val="003A25A7"/>
    <w:rsid w:val="003A5246"/>
    <w:rsid w:val="003B28CC"/>
    <w:rsid w:val="003B3E26"/>
    <w:rsid w:val="003B52CE"/>
    <w:rsid w:val="003B535C"/>
    <w:rsid w:val="003B5F0C"/>
    <w:rsid w:val="003C2120"/>
    <w:rsid w:val="003C273A"/>
    <w:rsid w:val="003C47C0"/>
    <w:rsid w:val="003C4BB1"/>
    <w:rsid w:val="003C5588"/>
    <w:rsid w:val="003C63A3"/>
    <w:rsid w:val="003D030E"/>
    <w:rsid w:val="003D040D"/>
    <w:rsid w:val="003D1F49"/>
    <w:rsid w:val="003D2061"/>
    <w:rsid w:val="003D543B"/>
    <w:rsid w:val="003D6AE7"/>
    <w:rsid w:val="003D7E3D"/>
    <w:rsid w:val="003E02C5"/>
    <w:rsid w:val="003E16DC"/>
    <w:rsid w:val="003E1FE3"/>
    <w:rsid w:val="003E32A7"/>
    <w:rsid w:val="003E5BAF"/>
    <w:rsid w:val="003E74AE"/>
    <w:rsid w:val="003E7C46"/>
    <w:rsid w:val="003F0DE5"/>
    <w:rsid w:val="003F1A33"/>
    <w:rsid w:val="003F3072"/>
    <w:rsid w:val="003F31E6"/>
    <w:rsid w:val="003F3621"/>
    <w:rsid w:val="003F3BE6"/>
    <w:rsid w:val="003F6160"/>
    <w:rsid w:val="003F6D5E"/>
    <w:rsid w:val="003F7E2C"/>
    <w:rsid w:val="00401057"/>
    <w:rsid w:val="00401E16"/>
    <w:rsid w:val="0040207C"/>
    <w:rsid w:val="004024E4"/>
    <w:rsid w:val="004061B4"/>
    <w:rsid w:val="00406289"/>
    <w:rsid w:val="00406578"/>
    <w:rsid w:val="004074EF"/>
    <w:rsid w:val="004078CC"/>
    <w:rsid w:val="004102C3"/>
    <w:rsid w:val="00412637"/>
    <w:rsid w:val="0041307C"/>
    <w:rsid w:val="00413699"/>
    <w:rsid w:val="004167B4"/>
    <w:rsid w:val="004167BC"/>
    <w:rsid w:val="0042032D"/>
    <w:rsid w:val="004225DC"/>
    <w:rsid w:val="00423A41"/>
    <w:rsid w:val="00425FBA"/>
    <w:rsid w:val="00427C7D"/>
    <w:rsid w:val="00430D7E"/>
    <w:rsid w:val="00432332"/>
    <w:rsid w:val="00432368"/>
    <w:rsid w:val="00433B04"/>
    <w:rsid w:val="00436A4E"/>
    <w:rsid w:val="0043784D"/>
    <w:rsid w:val="00440256"/>
    <w:rsid w:val="00440878"/>
    <w:rsid w:val="00440E22"/>
    <w:rsid w:val="0044547D"/>
    <w:rsid w:val="00446F93"/>
    <w:rsid w:val="00451A74"/>
    <w:rsid w:val="00452FC0"/>
    <w:rsid w:val="004540DE"/>
    <w:rsid w:val="004552AB"/>
    <w:rsid w:val="004553FF"/>
    <w:rsid w:val="0045622C"/>
    <w:rsid w:val="00464B51"/>
    <w:rsid w:val="00464FB1"/>
    <w:rsid w:val="004661E9"/>
    <w:rsid w:val="00466320"/>
    <w:rsid w:val="00467185"/>
    <w:rsid w:val="00467736"/>
    <w:rsid w:val="0047050C"/>
    <w:rsid w:val="00472272"/>
    <w:rsid w:val="00472A45"/>
    <w:rsid w:val="00473930"/>
    <w:rsid w:val="00474D25"/>
    <w:rsid w:val="004750DB"/>
    <w:rsid w:val="004750FB"/>
    <w:rsid w:val="00480F21"/>
    <w:rsid w:val="0048108E"/>
    <w:rsid w:val="004821BA"/>
    <w:rsid w:val="00484B88"/>
    <w:rsid w:val="0048537F"/>
    <w:rsid w:val="004872F7"/>
    <w:rsid w:val="004874E5"/>
    <w:rsid w:val="00487885"/>
    <w:rsid w:val="004909C3"/>
    <w:rsid w:val="00490A65"/>
    <w:rsid w:val="0049116C"/>
    <w:rsid w:val="00491968"/>
    <w:rsid w:val="004930C9"/>
    <w:rsid w:val="00493F62"/>
    <w:rsid w:val="00494832"/>
    <w:rsid w:val="004957C2"/>
    <w:rsid w:val="004958A3"/>
    <w:rsid w:val="00495AF1"/>
    <w:rsid w:val="00497A89"/>
    <w:rsid w:val="004A1EBF"/>
    <w:rsid w:val="004A3832"/>
    <w:rsid w:val="004A39C7"/>
    <w:rsid w:val="004A4CED"/>
    <w:rsid w:val="004A4D74"/>
    <w:rsid w:val="004A4E75"/>
    <w:rsid w:val="004A6BE6"/>
    <w:rsid w:val="004B047F"/>
    <w:rsid w:val="004B0828"/>
    <w:rsid w:val="004B203D"/>
    <w:rsid w:val="004B3304"/>
    <w:rsid w:val="004B3DF1"/>
    <w:rsid w:val="004B4B1B"/>
    <w:rsid w:val="004B4BC0"/>
    <w:rsid w:val="004B5555"/>
    <w:rsid w:val="004C0484"/>
    <w:rsid w:val="004C259B"/>
    <w:rsid w:val="004C777E"/>
    <w:rsid w:val="004D0C54"/>
    <w:rsid w:val="004D16A4"/>
    <w:rsid w:val="004D3F7B"/>
    <w:rsid w:val="004E16E0"/>
    <w:rsid w:val="004E4FD5"/>
    <w:rsid w:val="004E6682"/>
    <w:rsid w:val="004E6D00"/>
    <w:rsid w:val="004E6D8A"/>
    <w:rsid w:val="004E7990"/>
    <w:rsid w:val="004F0411"/>
    <w:rsid w:val="004F15EF"/>
    <w:rsid w:val="004F1EC9"/>
    <w:rsid w:val="004F22FE"/>
    <w:rsid w:val="004F3BD5"/>
    <w:rsid w:val="004F43AD"/>
    <w:rsid w:val="004F67F0"/>
    <w:rsid w:val="004F6DF6"/>
    <w:rsid w:val="004F774D"/>
    <w:rsid w:val="005002FC"/>
    <w:rsid w:val="0050069A"/>
    <w:rsid w:val="005013B0"/>
    <w:rsid w:val="005015E4"/>
    <w:rsid w:val="005017A6"/>
    <w:rsid w:val="0050291D"/>
    <w:rsid w:val="00504808"/>
    <w:rsid w:val="005064CD"/>
    <w:rsid w:val="00506C00"/>
    <w:rsid w:val="00511016"/>
    <w:rsid w:val="005146FC"/>
    <w:rsid w:val="00514DD4"/>
    <w:rsid w:val="005159B3"/>
    <w:rsid w:val="00522C03"/>
    <w:rsid w:val="00523110"/>
    <w:rsid w:val="00525EA4"/>
    <w:rsid w:val="005276B7"/>
    <w:rsid w:val="0052791F"/>
    <w:rsid w:val="00531375"/>
    <w:rsid w:val="00532CFF"/>
    <w:rsid w:val="00534D3D"/>
    <w:rsid w:val="0053525C"/>
    <w:rsid w:val="00535476"/>
    <w:rsid w:val="005360AA"/>
    <w:rsid w:val="00536880"/>
    <w:rsid w:val="005371F1"/>
    <w:rsid w:val="0053759C"/>
    <w:rsid w:val="00540AD0"/>
    <w:rsid w:val="00541CFD"/>
    <w:rsid w:val="0054357A"/>
    <w:rsid w:val="00543A76"/>
    <w:rsid w:val="00547738"/>
    <w:rsid w:val="00551647"/>
    <w:rsid w:val="005522F3"/>
    <w:rsid w:val="005523D1"/>
    <w:rsid w:val="00554A1D"/>
    <w:rsid w:val="0055532E"/>
    <w:rsid w:val="00555BC3"/>
    <w:rsid w:val="0055787C"/>
    <w:rsid w:val="00557C8E"/>
    <w:rsid w:val="00560096"/>
    <w:rsid w:val="00561B2B"/>
    <w:rsid w:val="0056357E"/>
    <w:rsid w:val="00564952"/>
    <w:rsid w:val="0056645F"/>
    <w:rsid w:val="00571AB1"/>
    <w:rsid w:val="00575A30"/>
    <w:rsid w:val="00577542"/>
    <w:rsid w:val="00577E1C"/>
    <w:rsid w:val="0058017C"/>
    <w:rsid w:val="00580DB1"/>
    <w:rsid w:val="005814AC"/>
    <w:rsid w:val="00584676"/>
    <w:rsid w:val="00584923"/>
    <w:rsid w:val="0058520F"/>
    <w:rsid w:val="005854B7"/>
    <w:rsid w:val="00585708"/>
    <w:rsid w:val="00587AB1"/>
    <w:rsid w:val="0059070B"/>
    <w:rsid w:val="00590729"/>
    <w:rsid w:val="0059283C"/>
    <w:rsid w:val="00595082"/>
    <w:rsid w:val="005A0D95"/>
    <w:rsid w:val="005A224B"/>
    <w:rsid w:val="005A2741"/>
    <w:rsid w:val="005A5EAE"/>
    <w:rsid w:val="005A65D5"/>
    <w:rsid w:val="005A760D"/>
    <w:rsid w:val="005A7D75"/>
    <w:rsid w:val="005B1225"/>
    <w:rsid w:val="005B16CC"/>
    <w:rsid w:val="005B17D8"/>
    <w:rsid w:val="005B1D82"/>
    <w:rsid w:val="005B4077"/>
    <w:rsid w:val="005B4CD2"/>
    <w:rsid w:val="005B65E5"/>
    <w:rsid w:val="005B6753"/>
    <w:rsid w:val="005B7500"/>
    <w:rsid w:val="005C28B0"/>
    <w:rsid w:val="005C2F01"/>
    <w:rsid w:val="005C5F3C"/>
    <w:rsid w:val="005D01BE"/>
    <w:rsid w:val="005D1177"/>
    <w:rsid w:val="005D18BE"/>
    <w:rsid w:val="005D1D13"/>
    <w:rsid w:val="005D254A"/>
    <w:rsid w:val="005D283E"/>
    <w:rsid w:val="005D4382"/>
    <w:rsid w:val="005D5460"/>
    <w:rsid w:val="005E08CD"/>
    <w:rsid w:val="005E34F8"/>
    <w:rsid w:val="005E37E8"/>
    <w:rsid w:val="005E74C5"/>
    <w:rsid w:val="005E7D81"/>
    <w:rsid w:val="005F219D"/>
    <w:rsid w:val="005F2437"/>
    <w:rsid w:val="005F318A"/>
    <w:rsid w:val="005F7710"/>
    <w:rsid w:val="006004F7"/>
    <w:rsid w:val="00603261"/>
    <w:rsid w:val="006041E2"/>
    <w:rsid w:val="006059F7"/>
    <w:rsid w:val="00607597"/>
    <w:rsid w:val="00610F93"/>
    <w:rsid w:val="006127CC"/>
    <w:rsid w:val="00614661"/>
    <w:rsid w:val="00623846"/>
    <w:rsid w:val="00623B14"/>
    <w:rsid w:val="006240EE"/>
    <w:rsid w:val="006243C6"/>
    <w:rsid w:val="006244E7"/>
    <w:rsid w:val="006273BC"/>
    <w:rsid w:val="00632009"/>
    <w:rsid w:val="00632D70"/>
    <w:rsid w:val="00633CF1"/>
    <w:rsid w:val="00634478"/>
    <w:rsid w:val="00635A6C"/>
    <w:rsid w:val="0063664B"/>
    <w:rsid w:val="00637091"/>
    <w:rsid w:val="00640CEA"/>
    <w:rsid w:val="00642839"/>
    <w:rsid w:val="00643C9B"/>
    <w:rsid w:val="00645389"/>
    <w:rsid w:val="00645425"/>
    <w:rsid w:val="006457F8"/>
    <w:rsid w:val="00645CCB"/>
    <w:rsid w:val="0064700E"/>
    <w:rsid w:val="006472A3"/>
    <w:rsid w:val="006474E0"/>
    <w:rsid w:val="006478CB"/>
    <w:rsid w:val="00650B88"/>
    <w:rsid w:val="00650E2C"/>
    <w:rsid w:val="00652C58"/>
    <w:rsid w:val="006530EF"/>
    <w:rsid w:val="00653B6A"/>
    <w:rsid w:val="006554DD"/>
    <w:rsid w:val="006557EC"/>
    <w:rsid w:val="00660951"/>
    <w:rsid w:val="00662464"/>
    <w:rsid w:val="006636E2"/>
    <w:rsid w:val="00664C4E"/>
    <w:rsid w:val="00666273"/>
    <w:rsid w:val="00667FA9"/>
    <w:rsid w:val="0067233D"/>
    <w:rsid w:val="00672B2E"/>
    <w:rsid w:val="00673938"/>
    <w:rsid w:val="00673989"/>
    <w:rsid w:val="006745AE"/>
    <w:rsid w:val="00676870"/>
    <w:rsid w:val="00676AF3"/>
    <w:rsid w:val="00677508"/>
    <w:rsid w:val="00677895"/>
    <w:rsid w:val="00677BEF"/>
    <w:rsid w:val="006812F4"/>
    <w:rsid w:val="006814A3"/>
    <w:rsid w:val="00682AFC"/>
    <w:rsid w:val="00683344"/>
    <w:rsid w:val="00684FC9"/>
    <w:rsid w:val="0069072B"/>
    <w:rsid w:val="0069174B"/>
    <w:rsid w:val="00693340"/>
    <w:rsid w:val="006A04C7"/>
    <w:rsid w:val="006A4287"/>
    <w:rsid w:val="006B05E3"/>
    <w:rsid w:val="006B09BC"/>
    <w:rsid w:val="006B2ACA"/>
    <w:rsid w:val="006B6D5D"/>
    <w:rsid w:val="006B7B5A"/>
    <w:rsid w:val="006C0801"/>
    <w:rsid w:val="006C0C2C"/>
    <w:rsid w:val="006C1EAA"/>
    <w:rsid w:val="006C216F"/>
    <w:rsid w:val="006C45D4"/>
    <w:rsid w:val="006D0013"/>
    <w:rsid w:val="006D11BD"/>
    <w:rsid w:val="006D2042"/>
    <w:rsid w:val="006D4C86"/>
    <w:rsid w:val="006D4DB7"/>
    <w:rsid w:val="006D66E3"/>
    <w:rsid w:val="006D75BA"/>
    <w:rsid w:val="006D7855"/>
    <w:rsid w:val="006E010C"/>
    <w:rsid w:val="006E1003"/>
    <w:rsid w:val="006E16BF"/>
    <w:rsid w:val="006E18F0"/>
    <w:rsid w:val="006E2A4E"/>
    <w:rsid w:val="006E2C89"/>
    <w:rsid w:val="006E38AF"/>
    <w:rsid w:val="006E4F93"/>
    <w:rsid w:val="006E5016"/>
    <w:rsid w:val="006E501B"/>
    <w:rsid w:val="006E7F4D"/>
    <w:rsid w:val="006F10FE"/>
    <w:rsid w:val="006F1174"/>
    <w:rsid w:val="006F28A9"/>
    <w:rsid w:val="00700135"/>
    <w:rsid w:val="0070212F"/>
    <w:rsid w:val="007023AB"/>
    <w:rsid w:val="007034D5"/>
    <w:rsid w:val="00704C40"/>
    <w:rsid w:val="00705180"/>
    <w:rsid w:val="00705D90"/>
    <w:rsid w:val="00706883"/>
    <w:rsid w:val="00706917"/>
    <w:rsid w:val="007105E9"/>
    <w:rsid w:val="00710A39"/>
    <w:rsid w:val="00711605"/>
    <w:rsid w:val="00711DF6"/>
    <w:rsid w:val="00712D0E"/>
    <w:rsid w:val="00714821"/>
    <w:rsid w:val="00716FBC"/>
    <w:rsid w:val="00717090"/>
    <w:rsid w:val="00717D72"/>
    <w:rsid w:val="00720739"/>
    <w:rsid w:val="00720FBB"/>
    <w:rsid w:val="0072125A"/>
    <w:rsid w:val="00721B0C"/>
    <w:rsid w:val="0072253E"/>
    <w:rsid w:val="00723E1F"/>
    <w:rsid w:val="0072443D"/>
    <w:rsid w:val="007247E5"/>
    <w:rsid w:val="007248B7"/>
    <w:rsid w:val="007254CA"/>
    <w:rsid w:val="007267D2"/>
    <w:rsid w:val="00730CF8"/>
    <w:rsid w:val="00731A90"/>
    <w:rsid w:val="00731AAA"/>
    <w:rsid w:val="00731BC3"/>
    <w:rsid w:val="00731CEB"/>
    <w:rsid w:val="00732608"/>
    <w:rsid w:val="00733251"/>
    <w:rsid w:val="00734083"/>
    <w:rsid w:val="00736DCA"/>
    <w:rsid w:val="00737671"/>
    <w:rsid w:val="00740A69"/>
    <w:rsid w:val="007417C1"/>
    <w:rsid w:val="007422A4"/>
    <w:rsid w:val="00745C47"/>
    <w:rsid w:val="00745E49"/>
    <w:rsid w:val="0074630F"/>
    <w:rsid w:val="00747E9D"/>
    <w:rsid w:val="0075003D"/>
    <w:rsid w:val="00750731"/>
    <w:rsid w:val="00750D11"/>
    <w:rsid w:val="00751D97"/>
    <w:rsid w:val="00752C55"/>
    <w:rsid w:val="00752D91"/>
    <w:rsid w:val="00753F90"/>
    <w:rsid w:val="007562D4"/>
    <w:rsid w:val="007573FA"/>
    <w:rsid w:val="007576A5"/>
    <w:rsid w:val="00757EF9"/>
    <w:rsid w:val="0076030C"/>
    <w:rsid w:val="00761DBF"/>
    <w:rsid w:val="00761FCF"/>
    <w:rsid w:val="00765503"/>
    <w:rsid w:val="00766C93"/>
    <w:rsid w:val="00767B7E"/>
    <w:rsid w:val="007705E9"/>
    <w:rsid w:val="00771D7D"/>
    <w:rsid w:val="007727C4"/>
    <w:rsid w:val="007745B7"/>
    <w:rsid w:val="007750C8"/>
    <w:rsid w:val="00776538"/>
    <w:rsid w:val="007802BE"/>
    <w:rsid w:val="00780EEF"/>
    <w:rsid w:val="0078134C"/>
    <w:rsid w:val="00781C47"/>
    <w:rsid w:val="00782189"/>
    <w:rsid w:val="0078310B"/>
    <w:rsid w:val="007837C7"/>
    <w:rsid w:val="00784B44"/>
    <w:rsid w:val="00785465"/>
    <w:rsid w:val="00787656"/>
    <w:rsid w:val="00791767"/>
    <w:rsid w:val="00791D90"/>
    <w:rsid w:val="0079268A"/>
    <w:rsid w:val="00794859"/>
    <w:rsid w:val="0079756F"/>
    <w:rsid w:val="00797C88"/>
    <w:rsid w:val="007A1013"/>
    <w:rsid w:val="007A235B"/>
    <w:rsid w:val="007A4CA9"/>
    <w:rsid w:val="007A516F"/>
    <w:rsid w:val="007A60B4"/>
    <w:rsid w:val="007A7D19"/>
    <w:rsid w:val="007A7EC2"/>
    <w:rsid w:val="007B042D"/>
    <w:rsid w:val="007B05BB"/>
    <w:rsid w:val="007B6E0A"/>
    <w:rsid w:val="007B73FD"/>
    <w:rsid w:val="007B764C"/>
    <w:rsid w:val="007C118A"/>
    <w:rsid w:val="007C1323"/>
    <w:rsid w:val="007C2007"/>
    <w:rsid w:val="007C26DB"/>
    <w:rsid w:val="007C4693"/>
    <w:rsid w:val="007C636F"/>
    <w:rsid w:val="007C70B7"/>
    <w:rsid w:val="007C7899"/>
    <w:rsid w:val="007D0FC7"/>
    <w:rsid w:val="007D39EB"/>
    <w:rsid w:val="007D4512"/>
    <w:rsid w:val="007E6307"/>
    <w:rsid w:val="007E7319"/>
    <w:rsid w:val="007E74E1"/>
    <w:rsid w:val="007E77A8"/>
    <w:rsid w:val="007E7924"/>
    <w:rsid w:val="007F0318"/>
    <w:rsid w:val="007F198A"/>
    <w:rsid w:val="007F491C"/>
    <w:rsid w:val="00800D07"/>
    <w:rsid w:val="008025F3"/>
    <w:rsid w:val="008029D5"/>
    <w:rsid w:val="00803BF8"/>
    <w:rsid w:val="00804477"/>
    <w:rsid w:val="008061C9"/>
    <w:rsid w:val="008066D8"/>
    <w:rsid w:val="008074BB"/>
    <w:rsid w:val="00811A18"/>
    <w:rsid w:val="008121AF"/>
    <w:rsid w:val="00812E18"/>
    <w:rsid w:val="00813711"/>
    <w:rsid w:val="008201BD"/>
    <w:rsid w:val="00820A12"/>
    <w:rsid w:val="00821E64"/>
    <w:rsid w:val="00825008"/>
    <w:rsid w:val="008253C4"/>
    <w:rsid w:val="008263C2"/>
    <w:rsid w:val="008307DB"/>
    <w:rsid w:val="00831A7E"/>
    <w:rsid w:val="00833398"/>
    <w:rsid w:val="00835D9D"/>
    <w:rsid w:val="00835FC9"/>
    <w:rsid w:val="008368F8"/>
    <w:rsid w:val="008370E3"/>
    <w:rsid w:val="008418FA"/>
    <w:rsid w:val="00842959"/>
    <w:rsid w:val="00843390"/>
    <w:rsid w:val="00846BFE"/>
    <w:rsid w:val="008508CF"/>
    <w:rsid w:val="0085235A"/>
    <w:rsid w:val="00852E7C"/>
    <w:rsid w:val="008533E3"/>
    <w:rsid w:val="00854138"/>
    <w:rsid w:val="00854410"/>
    <w:rsid w:val="008544DF"/>
    <w:rsid w:val="008570B4"/>
    <w:rsid w:val="00857B0B"/>
    <w:rsid w:val="008602B6"/>
    <w:rsid w:val="00860AAD"/>
    <w:rsid w:val="00861AA6"/>
    <w:rsid w:val="008708F3"/>
    <w:rsid w:val="00871354"/>
    <w:rsid w:val="00873611"/>
    <w:rsid w:val="00873C8F"/>
    <w:rsid w:val="00874203"/>
    <w:rsid w:val="00874490"/>
    <w:rsid w:val="008745FE"/>
    <w:rsid w:val="00874FB3"/>
    <w:rsid w:val="00876012"/>
    <w:rsid w:val="00877F7C"/>
    <w:rsid w:val="008805E1"/>
    <w:rsid w:val="00880BE3"/>
    <w:rsid w:val="00881359"/>
    <w:rsid w:val="00882093"/>
    <w:rsid w:val="00882588"/>
    <w:rsid w:val="00884ADE"/>
    <w:rsid w:val="008856CF"/>
    <w:rsid w:val="0088581C"/>
    <w:rsid w:val="00885864"/>
    <w:rsid w:val="008865BB"/>
    <w:rsid w:val="00890A1D"/>
    <w:rsid w:val="0089137B"/>
    <w:rsid w:val="0089383B"/>
    <w:rsid w:val="00893E2B"/>
    <w:rsid w:val="008950BA"/>
    <w:rsid w:val="0089534B"/>
    <w:rsid w:val="0089616F"/>
    <w:rsid w:val="008A0232"/>
    <w:rsid w:val="008A4E5A"/>
    <w:rsid w:val="008B0470"/>
    <w:rsid w:val="008B05E7"/>
    <w:rsid w:val="008B06C5"/>
    <w:rsid w:val="008B164E"/>
    <w:rsid w:val="008B32A1"/>
    <w:rsid w:val="008B4F06"/>
    <w:rsid w:val="008B502A"/>
    <w:rsid w:val="008B57D8"/>
    <w:rsid w:val="008B65CF"/>
    <w:rsid w:val="008B7A65"/>
    <w:rsid w:val="008C0163"/>
    <w:rsid w:val="008C1219"/>
    <w:rsid w:val="008C123E"/>
    <w:rsid w:val="008C137D"/>
    <w:rsid w:val="008C22DD"/>
    <w:rsid w:val="008C3DFD"/>
    <w:rsid w:val="008C3ED0"/>
    <w:rsid w:val="008C5DA5"/>
    <w:rsid w:val="008C5E94"/>
    <w:rsid w:val="008D196A"/>
    <w:rsid w:val="008D27BC"/>
    <w:rsid w:val="008D551E"/>
    <w:rsid w:val="008D5AF5"/>
    <w:rsid w:val="008E3EF2"/>
    <w:rsid w:val="008E51C9"/>
    <w:rsid w:val="008E5BEB"/>
    <w:rsid w:val="008E6306"/>
    <w:rsid w:val="008F4C63"/>
    <w:rsid w:val="008F6355"/>
    <w:rsid w:val="008F68F7"/>
    <w:rsid w:val="009005A6"/>
    <w:rsid w:val="009006CF"/>
    <w:rsid w:val="00900C71"/>
    <w:rsid w:val="00902A1C"/>
    <w:rsid w:val="009037B6"/>
    <w:rsid w:val="00906CBE"/>
    <w:rsid w:val="00910024"/>
    <w:rsid w:val="00910384"/>
    <w:rsid w:val="00911046"/>
    <w:rsid w:val="0091643D"/>
    <w:rsid w:val="00916E33"/>
    <w:rsid w:val="0092093B"/>
    <w:rsid w:val="00930669"/>
    <w:rsid w:val="00932C33"/>
    <w:rsid w:val="00935EE5"/>
    <w:rsid w:val="00937C63"/>
    <w:rsid w:val="009427A1"/>
    <w:rsid w:val="00942FFE"/>
    <w:rsid w:val="009433AA"/>
    <w:rsid w:val="00950585"/>
    <w:rsid w:val="00950640"/>
    <w:rsid w:val="009551E0"/>
    <w:rsid w:val="0095654E"/>
    <w:rsid w:val="00956F3C"/>
    <w:rsid w:val="009572C6"/>
    <w:rsid w:val="0096054C"/>
    <w:rsid w:val="00960CFB"/>
    <w:rsid w:val="00970678"/>
    <w:rsid w:val="00971C34"/>
    <w:rsid w:val="00972488"/>
    <w:rsid w:val="009726D0"/>
    <w:rsid w:val="00973B23"/>
    <w:rsid w:val="0097421D"/>
    <w:rsid w:val="00976117"/>
    <w:rsid w:val="00976281"/>
    <w:rsid w:val="00976A23"/>
    <w:rsid w:val="00976DEC"/>
    <w:rsid w:val="009800BC"/>
    <w:rsid w:val="00980312"/>
    <w:rsid w:val="00980575"/>
    <w:rsid w:val="009816F6"/>
    <w:rsid w:val="0098238B"/>
    <w:rsid w:val="009843BA"/>
    <w:rsid w:val="00987866"/>
    <w:rsid w:val="009900F0"/>
    <w:rsid w:val="00990B9B"/>
    <w:rsid w:val="00991370"/>
    <w:rsid w:val="00991769"/>
    <w:rsid w:val="00991ACA"/>
    <w:rsid w:val="009928B5"/>
    <w:rsid w:val="00993236"/>
    <w:rsid w:val="00993D8C"/>
    <w:rsid w:val="00994E3D"/>
    <w:rsid w:val="009A297E"/>
    <w:rsid w:val="009A6127"/>
    <w:rsid w:val="009A6D43"/>
    <w:rsid w:val="009B0CC1"/>
    <w:rsid w:val="009B2C7D"/>
    <w:rsid w:val="009B69F0"/>
    <w:rsid w:val="009B713C"/>
    <w:rsid w:val="009B7B2E"/>
    <w:rsid w:val="009C0F18"/>
    <w:rsid w:val="009C12C6"/>
    <w:rsid w:val="009C19D4"/>
    <w:rsid w:val="009C1A07"/>
    <w:rsid w:val="009C2555"/>
    <w:rsid w:val="009C28B4"/>
    <w:rsid w:val="009C2DA6"/>
    <w:rsid w:val="009C705A"/>
    <w:rsid w:val="009C7778"/>
    <w:rsid w:val="009C7AEB"/>
    <w:rsid w:val="009C7EE6"/>
    <w:rsid w:val="009D06AE"/>
    <w:rsid w:val="009D09E2"/>
    <w:rsid w:val="009D1E42"/>
    <w:rsid w:val="009D282B"/>
    <w:rsid w:val="009D2B78"/>
    <w:rsid w:val="009D4FBE"/>
    <w:rsid w:val="009D7148"/>
    <w:rsid w:val="009E02FD"/>
    <w:rsid w:val="009E1352"/>
    <w:rsid w:val="009E3A7B"/>
    <w:rsid w:val="009E4C74"/>
    <w:rsid w:val="009E56CC"/>
    <w:rsid w:val="009E59F1"/>
    <w:rsid w:val="009E62B6"/>
    <w:rsid w:val="009F06C4"/>
    <w:rsid w:val="009F0A1A"/>
    <w:rsid w:val="009F26CA"/>
    <w:rsid w:val="009F35DA"/>
    <w:rsid w:val="009F4034"/>
    <w:rsid w:val="009F43D0"/>
    <w:rsid w:val="00A000F0"/>
    <w:rsid w:val="00A00568"/>
    <w:rsid w:val="00A00884"/>
    <w:rsid w:val="00A00EEB"/>
    <w:rsid w:val="00A020CE"/>
    <w:rsid w:val="00A02F62"/>
    <w:rsid w:val="00A02FA3"/>
    <w:rsid w:val="00A030C3"/>
    <w:rsid w:val="00A036B9"/>
    <w:rsid w:val="00A03C29"/>
    <w:rsid w:val="00A0476F"/>
    <w:rsid w:val="00A04803"/>
    <w:rsid w:val="00A10147"/>
    <w:rsid w:val="00A10EDE"/>
    <w:rsid w:val="00A11331"/>
    <w:rsid w:val="00A12348"/>
    <w:rsid w:val="00A131E6"/>
    <w:rsid w:val="00A13843"/>
    <w:rsid w:val="00A146A5"/>
    <w:rsid w:val="00A1552C"/>
    <w:rsid w:val="00A17466"/>
    <w:rsid w:val="00A204B3"/>
    <w:rsid w:val="00A20576"/>
    <w:rsid w:val="00A21593"/>
    <w:rsid w:val="00A221F7"/>
    <w:rsid w:val="00A2227F"/>
    <w:rsid w:val="00A22C21"/>
    <w:rsid w:val="00A23B80"/>
    <w:rsid w:val="00A25CA2"/>
    <w:rsid w:val="00A25D56"/>
    <w:rsid w:val="00A2604E"/>
    <w:rsid w:val="00A31CCE"/>
    <w:rsid w:val="00A33149"/>
    <w:rsid w:val="00A33C95"/>
    <w:rsid w:val="00A34FF3"/>
    <w:rsid w:val="00A35351"/>
    <w:rsid w:val="00A361C7"/>
    <w:rsid w:val="00A36723"/>
    <w:rsid w:val="00A36E1D"/>
    <w:rsid w:val="00A43140"/>
    <w:rsid w:val="00A44C7B"/>
    <w:rsid w:val="00A465FA"/>
    <w:rsid w:val="00A46DF5"/>
    <w:rsid w:val="00A50820"/>
    <w:rsid w:val="00A5149A"/>
    <w:rsid w:val="00A53650"/>
    <w:rsid w:val="00A53E51"/>
    <w:rsid w:val="00A57183"/>
    <w:rsid w:val="00A60693"/>
    <w:rsid w:val="00A6196D"/>
    <w:rsid w:val="00A619C0"/>
    <w:rsid w:val="00A61ADF"/>
    <w:rsid w:val="00A62012"/>
    <w:rsid w:val="00A624CB"/>
    <w:rsid w:val="00A62AC0"/>
    <w:rsid w:val="00A71BF0"/>
    <w:rsid w:val="00A75118"/>
    <w:rsid w:val="00A769C4"/>
    <w:rsid w:val="00A76BD2"/>
    <w:rsid w:val="00A8267D"/>
    <w:rsid w:val="00A82E14"/>
    <w:rsid w:val="00A84918"/>
    <w:rsid w:val="00A85F13"/>
    <w:rsid w:val="00A8688E"/>
    <w:rsid w:val="00A8722B"/>
    <w:rsid w:val="00A901E9"/>
    <w:rsid w:val="00A917B6"/>
    <w:rsid w:val="00A91831"/>
    <w:rsid w:val="00A91B3B"/>
    <w:rsid w:val="00A93B4F"/>
    <w:rsid w:val="00A93E7E"/>
    <w:rsid w:val="00A94F7A"/>
    <w:rsid w:val="00A95D3B"/>
    <w:rsid w:val="00A97341"/>
    <w:rsid w:val="00A97BBC"/>
    <w:rsid w:val="00AA0081"/>
    <w:rsid w:val="00AA4E4D"/>
    <w:rsid w:val="00AA5E38"/>
    <w:rsid w:val="00AB09ED"/>
    <w:rsid w:val="00AB1258"/>
    <w:rsid w:val="00AB3DC0"/>
    <w:rsid w:val="00AB4209"/>
    <w:rsid w:val="00AB4CBB"/>
    <w:rsid w:val="00AC125E"/>
    <w:rsid w:val="00AC258B"/>
    <w:rsid w:val="00AC45DF"/>
    <w:rsid w:val="00AC474D"/>
    <w:rsid w:val="00AC4DFD"/>
    <w:rsid w:val="00AC4F47"/>
    <w:rsid w:val="00AC5663"/>
    <w:rsid w:val="00AC58FD"/>
    <w:rsid w:val="00AC704E"/>
    <w:rsid w:val="00AD0F6D"/>
    <w:rsid w:val="00AD1166"/>
    <w:rsid w:val="00AD19D2"/>
    <w:rsid w:val="00AD1A96"/>
    <w:rsid w:val="00AD1CAD"/>
    <w:rsid w:val="00AD3042"/>
    <w:rsid w:val="00AD793A"/>
    <w:rsid w:val="00AE0120"/>
    <w:rsid w:val="00AE0226"/>
    <w:rsid w:val="00AE0851"/>
    <w:rsid w:val="00AE3038"/>
    <w:rsid w:val="00AE3D4A"/>
    <w:rsid w:val="00AE4C76"/>
    <w:rsid w:val="00AE5956"/>
    <w:rsid w:val="00AE619F"/>
    <w:rsid w:val="00AE7A88"/>
    <w:rsid w:val="00AF060F"/>
    <w:rsid w:val="00AF0F05"/>
    <w:rsid w:val="00AF13D2"/>
    <w:rsid w:val="00AF2A56"/>
    <w:rsid w:val="00AF45B0"/>
    <w:rsid w:val="00AF51D1"/>
    <w:rsid w:val="00AF63AB"/>
    <w:rsid w:val="00B01784"/>
    <w:rsid w:val="00B03694"/>
    <w:rsid w:val="00B0388B"/>
    <w:rsid w:val="00B03BEE"/>
    <w:rsid w:val="00B04153"/>
    <w:rsid w:val="00B0517E"/>
    <w:rsid w:val="00B11314"/>
    <w:rsid w:val="00B113E3"/>
    <w:rsid w:val="00B1156A"/>
    <w:rsid w:val="00B138E3"/>
    <w:rsid w:val="00B13A5E"/>
    <w:rsid w:val="00B13FB5"/>
    <w:rsid w:val="00B14898"/>
    <w:rsid w:val="00B15540"/>
    <w:rsid w:val="00B178FA"/>
    <w:rsid w:val="00B17D8E"/>
    <w:rsid w:val="00B207C3"/>
    <w:rsid w:val="00B21443"/>
    <w:rsid w:val="00B22468"/>
    <w:rsid w:val="00B23267"/>
    <w:rsid w:val="00B23523"/>
    <w:rsid w:val="00B23906"/>
    <w:rsid w:val="00B23F96"/>
    <w:rsid w:val="00B257BF"/>
    <w:rsid w:val="00B27149"/>
    <w:rsid w:val="00B30AB2"/>
    <w:rsid w:val="00B3106B"/>
    <w:rsid w:val="00B31B51"/>
    <w:rsid w:val="00B3279A"/>
    <w:rsid w:val="00B34BB7"/>
    <w:rsid w:val="00B35B4D"/>
    <w:rsid w:val="00B362F0"/>
    <w:rsid w:val="00B36652"/>
    <w:rsid w:val="00B425AB"/>
    <w:rsid w:val="00B43417"/>
    <w:rsid w:val="00B43773"/>
    <w:rsid w:val="00B44534"/>
    <w:rsid w:val="00B446BE"/>
    <w:rsid w:val="00B45279"/>
    <w:rsid w:val="00B47090"/>
    <w:rsid w:val="00B50813"/>
    <w:rsid w:val="00B532D1"/>
    <w:rsid w:val="00B57925"/>
    <w:rsid w:val="00B57CD1"/>
    <w:rsid w:val="00B601BB"/>
    <w:rsid w:val="00B602A5"/>
    <w:rsid w:val="00B61E3E"/>
    <w:rsid w:val="00B6432A"/>
    <w:rsid w:val="00B64A14"/>
    <w:rsid w:val="00B67A79"/>
    <w:rsid w:val="00B72335"/>
    <w:rsid w:val="00B72D62"/>
    <w:rsid w:val="00B767AF"/>
    <w:rsid w:val="00B779CE"/>
    <w:rsid w:val="00B80511"/>
    <w:rsid w:val="00B80798"/>
    <w:rsid w:val="00B80876"/>
    <w:rsid w:val="00B82C3C"/>
    <w:rsid w:val="00B82DE6"/>
    <w:rsid w:val="00B831CD"/>
    <w:rsid w:val="00B846F6"/>
    <w:rsid w:val="00B84D8C"/>
    <w:rsid w:val="00B85329"/>
    <w:rsid w:val="00B85446"/>
    <w:rsid w:val="00B85FF5"/>
    <w:rsid w:val="00B91B73"/>
    <w:rsid w:val="00B91B9D"/>
    <w:rsid w:val="00B965B5"/>
    <w:rsid w:val="00BA1B71"/>
    <w:rsid w:val="00BA3176"/>
    <w:rsid w:val="00BA5E20"/>
    <w:rsid w:val="00BA607C"/>
    <w:rsid w:val="00BA656F"/>
    <w:rsid w:val="00BA6734"/>
    <w:rsid w:val="00BB0360"/>
    <w:rsid w:val="00BB3E2A"/>
    <w:rsid w:val="00BB48A7"/>
    <w:rsid w:val="00BB7121"/>
    <w:rsid w:val="00BC0479"/>
    <w:rsid w:val="00BC1651"/>
    <w:rsid w:val="00BC16F5"/>
    <w:rsid w:val="00BC18FF"/>
    <w:rsid w:val="00BC287D"/>
    <w:rsid w:val="00BC2A38"/>
    <w:rsid w:val="00BC2A59"/>
    <w:rsid w:val="00BC3BF9"/>
    <w:rsid w:val="00BC4315"/>
    <w:rsid w:val="00BC46EB"/>
    <w:rsid w:val="00BC57FE"/>
    <w:rsid w:val="00BC643B"/>
    <w:rsid w:val="00BC78CF"/>
    <w:rsid w:val="00BD2A41"/>
    <w:rsid w:val="00BD32E5"/>
    <w:rsid w:val="00BD36C4"/>
    <w:rsid w:val="00BD4BC6"/>
    <w:rsid w:val="00BD545A"/>
    <w:rsid w:val="00BD6E1A"/>
    <w:rsid w:val="00BD79DE"/>
    <w:rsid w:val="00BE1095"/>
    <w:rsid w:val="00BE150A"/>
    <w:rsid w:val="00BE4036"/>
    <w:rsid w:val="00BE6767"/>
    <w:rsid w:val="00BE686C"/>
    <w:rsid w:val="00BE6980"/>
    <w:rsid w:val="00BE714D"/>
    <w:rsid w:val="00BE78EC"/>
    <w:rsid w:val="00BF1EB9"/>
    <w:rsid w:val="00BF46EE"/>
    <w:rsid w:val="00BF646E"/>
    <w:rsid w:val="00BF743C"/>
    <w:rsid w:val="00BF7AA1"/>
    <w:rsid w:val="00C03A8E"/>
    <w:rsid w:val="00C05333"/>
    <w:rsid w:val="00C0613C"/>
    <w:rsid w:val="00C10D05"/>
    <w:rsid w:val="00C13970"/>
    <w:rsid w:val="00C13DF9"/>
    <w:rsid w:val="00C140E2"/>
    <w:rsid w:val="00C14FBA"/>
    <w:rsid w:val="00C15484"/>
    <w:rsid w:val="00C15EA1"/>
    <w:rsid w:val="00C174DB"/>
    <w:rsid w:val="00C17A8E"/>
    <w:rsid w:val="00C20A58"/>
    <w:rsid w:val="00C2378F"/>
    <w:rsid w:val="00C24F70"/>
    <w:rsid w:val="00C25615"/>
    <w:rsid w:val="00C25DC2"/>
    <w:rsid w:val="00C26A06"/>
    <w:rsid w:val="00C3033C"/>
    <w:rsid w:val="00C33479"/>
    <w:rsid w:val="00C37D26"/>
    <w:rsid w:val="00C40ED2"/>
    <w:rsid w:val="00C41F10"/>
    <w:rsid w:val="00C432DD"/>
    <w:rsid w:val="00C4423A"/>
    <w:rsid w:val="00C501FE"/>
    <w:rsid w:val="00C54E0D"/>
    <w:rsid w:val="00C56957"/>
    <w:rsid w:val="00C5784B"/>
    <w:rsid w:val="00C6095B"/>
    <w:rsid w:val="00C6247D"/>
    <w:rsid w:val="00C62E70"/>
    <w:rsid w:val="00C639FF"/>
    <w:rsid w:val="00C63CB4"/>
    <w:rsid w:val="00C6442A"/>
    <w:rsid w:val="00C64D15"/>
    <w:rsid w:val="00C66088"/>
    <w:rsid w:val="00C67C4C"/>
    <w:rsid w:val="00C67F21"/>
    <w:rsid w:val="00C711A6"/>
    <w:rsid w:val="00C74796"/>
    <w:rsid w:val="00C74B5D"/>
    <w:rsid w:val="00C74F74"/>
    <w:rsid w:val="00C7539C"/>
    <w:rsid w:val="00C7554B"/>
    <w:rsid w:val="00C80951"/>
    <w:rsid w:val="00C8205E"/>
    <w:rsid w:val="00C8223A"/>
    <w:rsid w:val="00C82EB5"/>
    <w:rsid w:val="00C83809"/>
    <w:rsid w:val="00C85D24"/>
    <w:rsid w:val="00C86D1E"/>
    <w:rsid w:val="00C87966"/>
    <w:rsid w:val="00C902DE"/>
    <w:rsid w:val="00C916AE"/>
    <w:rsid w:val="00C91C74"/>
    <w:rsid w:val="00C92671"/>
    <w:rsid w:val="00C93AAA"/>
    <w:rsid w:val="00C95FCD"/>
    <w:rsid w:val="00C97188"/>
    <w:rsid w:val="00CA0639"/>
    <w:rsid w:val="00CA11D0"/>
    <w:rsid w:val="00CA1B13"/>
    <w:rsid w:val="00CA2E02"/>
    <w:rsid w:val="00CA583A"/>
    <w:rsid w:val="00CA59B3"/>
    <w:rsid w:val="00CA5EC6"/>
    <w:rsid w:val="00CA787C"/>
    <w:rsid w:val="00CB0062"/>
    <w:rsid w:val="00CB1E33"/>
    <w:rsid w:val="00CB1ED4"/>
    <w:rsid w:val="00CB21FD"/>
    <w:rsid w:val="00CB54CA"/>
    <w:rsid w:val="00CB5744"/>
    <w:rsid w:val="00CB7022"/>
    <w:rsid w:val="00CB7BC5"/>
    <w:rsid w:val="00CC141E"/>
    <w:rsid w:val="00CC586D"/>
    <w:rsid w:val="00CC7DBC"/>
    <w:rsid w:val="00CD1BA3"/>
    <w:rsid w:val="00CD1D23"/>
    <w:rsid w:val="00CD3612"/>
    <w:rsid w:val="00CD3E69"/>
    <w:rsid w:val="00CD4224"/>
    <w:rsid w:val="00CD6B7D"/>
    <w:rsid w:val="00CD7CE8"/>
    <w:rsid w:val="00CD7D29"/>
    <w:rsid w:val="00CE0847"/>
    <w:rsid w:val="00CE0B6C"/>
    <w:rsid w:val="00CE11D0"/>
    <w:rsid w:val="00CE3216"/>
    <w:rsid w:val="00CE4708"/>
    <w:rsid w:val="00CE4C50"/>
    <w:rsid w:val="00CE6858"/>
    <w:rsid w:val="00CE68D8"/>
    <w:rsid w:val="00CE7450"/>
    <w:rsid w:val="00CE770C"/>
    <w:rsid w:val="00CF50BE"/>
    <w:rsid w:val="00CF538C"/>
    <w:rsid w:val="00CF6016"/>
    <w:rsid w:val="00CF7625"/>
    <w:rsid w:val="00D0506A"/>
    <w:rsid w:val="00D10FA1"/>
    <w:rsid w:val="00D1289C"/>
    <w:rsid w:val="00D156DE"/>
    <w:rsid w:val="00D1666F"/>
    <w:rsid w:val="00D17A55"/>
    <w:rsid w:val="00D2071A"/>
    <w:rsid w:val="00D22F44"/>
    <w:rsid w:val="00D25177"/>
    <w:rsid w:val="00D30F73"/>
    <w:rsid w:val="00D30F97"/>
    <w:rsid w:val="00D313A0"/>
    <w:rsid w:val="00D313B7"/>
    <w:rsid w:val="00D33A7C"/>
    <w:rsid w:val="00D36FE0"/>
    <w:rsid w:val="00D40799"/>
    <w:rsid w:val="00D41776"/>
    <w:rsid w:val="00D41A06"/>
    <w:rsid w:val="00D422A9"/>
    <w:rsid w:val="00D42ABF"/>
    <w:rsid w:val="00D42F40"/>
    <w:rsid w:val="00D445A2"/>
    <w:rsid w:val="00D44ED0"/>
    <w:rsid w:val="00D45B67"/>
    <w:rsid w:val="00D5034A"/>
    <w:rsid w:val="00D51F49"/>
    <w:rsid w:val="00D55EE8"/>
    <w:rsid w:val="00D560D1"/>
    <w:rsid w:val="00D562CB"/>
    <w:rsid w:val="00D569D1"/>
    <w:rsid w:val="00D56AD8"/>
    <w:rsid w:val="00D56C05"/>
    <w:rsid w:val="00D5785A"/>
    <w:rsid w:val="00D62769"/>
    <w:rsid w:val="00D63293"/>
    <w:rsid w:val="00D6375F"/>
    <w:rsid w:val="00D64C48"/>
    <w:rsid w:val="00D6680B"/>
    <w:rsid w:val="00D72F4F"/>
    <w:rsid w:val="00D731C4"/>
    <w:rsid w:val="00D74EB4"/>
    <w:rsid w:val="00D76076"/>
    <w:rsid w:val="00D801FC"/>
    <w:rsid w:val="00D805B4"/>
    <w:rsid w:val="00D819C0"/>
    <w:rsid w:val="00D830C5"/>
    <w:rsid w:val="00D85BE0"/>
    <w:rsid w:val="00D87FD7"/>
    <w:rsid w:val="00D90467"/>
    <w:rsid w:val="00D9066D"/>
    <w:rsid w:val="00D91466"/>
    <w:rsid w:val="00D915ED"/>
    <w:rsid w:val="00D91DE4"/>
    <w:rsid w:val="00D92300"/>
    <w:rsid w:val="00D925ED"/>
    <w:rsid w:val="00D93B63"/>
    <w:rsid w:val="00D94AFC"/>
    <w:rsid w:val="00D950E6"/>
    <w:rsid w:val="00D95774"/>
    <w:rsid w:val="00D97047"/>
    <w:rsid w:val="00D97215"/>
    <w:rsid w:val="00D97B2E"/>
    <w:rsid w:val="00DA27E1"/>
    <w:rsid w:val="00DA30F2"/>
    <w:rsid w:val="00DA3619"/>
    <w:rsid w:val="00DA59D8"/>
    <w:rsid w:val="00DA7AE4"/>
    <w:rsid w:val="00DB0B88"/>
    <w:rsid w:val="00DB1652"/>
    <w:rsid w:val="00DB203E"/>
    <w:rsid w:val="00DB5773"/>
    <w:rsid w:val="00DB58A6"/>
    <w:rsid w:val="00DB6B99"/>
    <w:rsid w:val="00DB7F5C"/>
    <w:rsid w:val="00DC001A"/>
    <w:rsid w:val="00DC1A4D"/>
    <w:rsid w:val="00DC1A83"/>
    <w:rsid w:val="00DC79F1"/>
    <w:rsid w:val="00DD22BB"/>
    <w:rsid w:val="00DD2952"/>
    <w:rsid w:val="00DD4F44"/>
    <w:rsid w:val="00DD686C"/>
    <w:rsid w:val="00DD7E0C"/>
    <w:rsid w:val="00DE22BC"/>
    <w:rsid w:val="00DE2AC3"/>
    <w:rsid w:val="00DE2E40"/>
    <w:rsid w:val="00DE3598"/>
    <w:rsid w:val="00DE3FBD"/>
    <w:rsid w:val="00DE43F5"/>
    <w:rsid w:val="00DE65FB"/>
    <w:rsid w:val="00DF234F"/>
    <w:rsid w:val="00DF420A"/>
    <w:rsid w:val="00DF52A2"/>
    <w:rsid w:val="00DF52FB"/>
    <w:rsid w:val="00E00E16"/>
    <w:rsid w:val="00E02472"/>
    <w:rsid w:val="00E0295A"/>
    <w:rsid w:val="00E041F0"/>
    <w:rsid w:val="00E128D8"/>
    <w:rsid w:val="00E130C3"/>
    <w:rsid w:val="00E17EDF"/>
    <w:rsid w:val="00E2082D"/>
    <w:rsid w:val="00E22129"/>
    <w:rsid w:val="00E221E2"/>
    <w:rsid w:val="00E2330D"/>
    <w:rsid w:val="00E24303"/>
    <w:rsid w:val="00E27A16"/>
    <w:rsid w:val="00E3085E"/>
    <w:rsid w:val="00E320C4"/>
    <w:rsid w:val="00E344B0"/>
    <w:rsid w:val="00E34DB3"/>
    <w:rsid w:val="00E400A5"/>
    <w:rsid w:val="00E40F7B"/>
    <w:rsid w:val="00E419C1"/>
    <w:rsid w:val="00E43E48"/>
    <w:rsid w:val="00E46D60"/>
    <w:rsid w:val="00E477E5"/>
    <w:rsid w:val="00E47C33"/>
    <w:rsid w:val="00E47F58"/>
    <w:rsid w:val="00E54BFC"/>
    <w:rsid w:val="00E54C46"/>
    <w:rsid w:val="00E55248"/>
    <w:rsid w:val="00E56D9D"/>
    <w:rsid w:val="00E60E2E"/>
    <w:rsid w:val="00E66BF7"/>
    <w:rsid w:val="00E71A2D"/>
    <w:rsid w:val="00E7207D"/>
    <w:rsid w:val="00E72797"/>
    <w:rsid w:val="00E72FB3"/>
    <w:rsid w:val="00E74A73"/>
    <w:rsid w:val="00E823C1"/>
    <w:rsid w:val="00E824AB"/>
    <w:rsid w:val="00E82DB7"/>
    <w:rsid w:val="00E83C85"/>
    <w:rsid w:val="00E84ACD"/>
    <w:rsid w:val="00E8579C"/>
    <w:rsid w:val="00E865FE"/>
    <w:rsid w:val="00E91408"/>
    <w:rsid w:val="00E91759"/>
    <w:rsid w:val="00E9654B"/>
    <w:rsid w:val="00EA13E4"/>
    <w:rsid w:val="00EA18DB"/>
    <w:rsid w:val="00EA2FBA"/>
    <w:rsid w:val="00EA4DC5"/>
    <w:rsid w:val="00EA5664"/>
    <w:rsid w:val="00EA66DF"/>
    <w:rsid w:val="00EA6ADC"/>
    <w:rsid w:val="00EB0609"/>
    <w:rsid w:val="00EB13A7"/>
    <w:rsid w:val="00EB14DF"/>
    <w:rsid w:val="00EB1A4D"/>
    <w:rsid w:val="00EB34EC"/>
    <w:rsid w:val="00EB3A07"/>
    <w:rsid w:val="00EB5539"/>
    <w:rsid w:val="00EC0422"/>
    <w:rsid w:val="00EC14A6"/>
    <w:rsid w:val="00EC3E7E"/>
    <w:rsid w:val="00EC3F31"/>
    <w:rsid w:val="00EC52E7"/>
    <w:rsid w:val="00EC55E3"/>
    <w:rsid w:val="00EC6BAD"/>
    <w:rsid w:val="00EC7E0E"/>
    <w:rsid w:val="00ED3698"/>
    <w:rsid w:val="00ED4794"/>
    <w:rsid w:val="00ED72E7"/>
    <w:rsid w:val="00ED7B59"/>
    <w:rsid w:val="00EE265C"/>
    <w:rsid w:val="00EE3AFD"/>
    <w:rsid w:val="00EE5C63"/>
    <w:rsid w:val="00EF359C"/>
    <w:rsid w:val="00EF416F"/>
    <w:rsid w:val="00EF7D4E"/>
    <w:rsid w:val="00F00449"/>
    <w:rsid w:val="00F0095C"/>
    <w:rsid w:val="00F01129"/>
    <w:rsid w:val="00F01CCA"/>
    <w:rsid w:val="00F01F2C"/>
    <w:rsid w:val="00F02104"/>
    <w:rsid w:val="00F03B44"/>
    <w:rsid w:val="00F04EF6"/>
    <w:rsid w:val="00F06C17"/>
    <w:rsid w:val="00F06F10"/>
    <w:rsid w:val="00F121B2"/>
    <w:rsid w:val="00F138B4"/>
    <w:rsid w:val="00F13C82"/>
    <w:rsid w:val="00F158E7"/>
    <w:rsid w:val="00F1632B"/>
    <w:rsid w:val="00F202CA"/>
    <w:rsid w:val="00F20939"/>
    <w:rsid w:val="00F20BA0"/>
    <w:rsid w:val="00F21A58"/>
    <w:rsid w:val="00F223A7"/>
    <w:rsid w:val="00F26A64"/>
    <w:rsid w:val="00F3166D"/>
    <w:rsid w:val="00F320F8"/>
    <w:rsid w:val="00F334CB"/>
    <w:rsid w:val="00F3495A"/>
    <w:rsid w:val="00F34E2C"/>
    <w:rsid w:val="00F370BC"/>
    <w:rsid w:val="00F37143"/>
    <w:rsid w:val="00F40CEA"/>
    <w:rsid w:val="00F428FD"/>
    <w:rsid w:val="00F430C2"/>
    <w:rsid w:val="00F478EE"/>
    <w:rsid w:val="00F50562"/>
    <w:rsid w:val="00F50A92"/>
    <w:rsid w:val="00F50B0B"/>
    <w:rsid w:val="00F50C10"/>
    <w:rsid w:val="00F50D01"/>
    <w:rsid w:val="00F539B3"/>
    <w:rsid w:val="00F56BC1"/>
    <w:rsid w:val="00F618C4"/>
    <w:rsid w:val="00F6544B"/>
    <w:rsid w:val="00F65774"/>
    <w:rsid w:val="00F65A34"/>
    <w:rsid w:val="00F65F4C"/>
    <w:rsid w:val="00F71307"/>
    <w:rsid w:val="00F715E9"/>
    <w:rsid w:val="00F71A60"/>
    <w:rsid w:val="00F71E3D"/>
    <w:rsid w:val="00F725DA"/>
    <w:rsid w:val="00F7434B"/>
    <w:rsid w:val="00F7536E"/>
    <w:rsid w:val="00F75652"/>
    <w:rsid w:val="00F76137"/>
    <w:rsid w:val="00F7782D"/>
    <w:rsid w:val="00F81371"/>
    <w:rsid w:val="00F8168B"/>
    <w:rsid w:val="00F81CF2"/>
    <w:rsid w:val="00F81F93"/>
    <w:rsid w:val="00F857D1"/>
    <w:rsid w:val="00F86296"/>
    <w:rsid w:val="00F86FD9"/>
    <w:rsid w:val="00F91DCC"/>
    <w:rsid w:val="00F9323F"/>
    <w:rsid w:val="00F943FE"/>
    <w:rsid w:val="00F95814"/>
    <w:rsid w:val="00F95CE9"/>
    <w:rsid w:val="00F97100"/>
    <w:rsid w:val="00FA01D9"/>
    <w:rsid w:val="00FB0401"/>
    <w:rsid w:val="00FB13D5"/>
    <w:rsid w:val="00FB2B5D"/>
    <w:rsid w:val="00FC1DFB"/>
    <w:rsid w:val="00FC1EF2"/>
    <w:rsid w:val="00FC3343"/>
    <w:rsid w:val="00FC33BA"/>
    <w:rsid w:val="00FC35AB"/>
    <w:rsid w:val="00FC52A5"/>
    <w:rsid w:val="00FC5859"/>
    <w:rsid w:val="00FC6134"/>
    <w:rsid w:val="00FC654D"/>
    <w:rsid w:val="00FC77CF"/>
    <w:rsid w:val="00FD0555"/>
    <w:rsid w:val="00FD06F5"/>
    <w:rsid w:val="00FD5961"/>
    <w:rsid w:val="00FE12A3"/>
    <w:rsid w:val="00FE3EFA"/>
    <w:rsid w:val="00FE5C56"/>
    <w:rsid w:val="00FE5E20"/>
    <w:rsid w:val="00FE6757"/>
    <w:rsid w:val="00FE7AAC"/>
    <w:rsid w:val="00FE7B06"/>
    <w:rsid w:val="00FE7CEA"/>
    <w:rsid w:val="00FE7E98"/>
    <w:rsid w:val="00FF06BC"/>
    <w:rsid w:val="00FF06E2"/>
    <w:rsid w:val="00FF20AC"/>
    <w:rsid w:val="00FF3801"/>
    <w:rsid w:val="00FF3A27"/>
    <w:rsid w:val="00FF3B27"/>
    <w:rsid w:val="00FF4E8D"/>
    <w:rsid w:val="00FF4F37"/>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749737E2"/>
  <w15:docId w15:val="{ADF24097-9591-4580-B069-E6BE433B2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qFormat="1"/>
    <w:lsdException w:name="heading 6" w:semiHidden="1"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nhideWhenUsed="1" w:qFormat="1"/>
    <w:lsdException w:name="List Number" w:uiPriority="3"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link w:val="Heading1Char"/>
    <w:uiPriority w:val="4"/>
    <w:qFormat/>
    <w:rsid w:val="009E3A7B"/>
    <w:pPr>
      <w:keepNext/>
      <w:keepLines/>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4"/>
    <w:qFormat/>
    <w:rsid w:val="00720FBB"/>
    <w:pPr>
      <w:keepNext/>
      <w:keepLines/>
      <w:pBdr>
        <w:bottom w:val="single" w:sz="24" w:space="31" w:color="2158A8" w:themeColor="accent1"/>
      </w:pBdr>
      <w:spacing w:before="240" w:line="240" w:lineRule="auto"/>
      <w:contextualSpacing/>
      <w:outlineLvl w:val="1"/>
    </w:pPr>
    <w:rPr>
      <w:rFonts w:asciiTheme="majorHAnsi" w:hAnsiTheme="majorHAnsi"/>
      <w:b/>
      <w:color w:val="auto"/>
      <w:sz w:val="80"/>
      <w:szCs w:val="44"/>
    </w:rPr>
  </w:style>
  <w:style w:type="paragraph" w:styleId="Heading3">
    <w:name w:val="heading 3"/>
    <w:basedOn w:val="Normal"/>
    <w:next w:val="Normal"/>
    <w:uiPriority w:val="4"/>
    <w:qFormat/>
    <w:rsid w:val="00F478EE"/>
    <w:pPr>
      <w:keepNext/>
      <w:keepLines/>
      <w:spacing w:before="240"/>
      <w:contextualSpacing/>
      <w:outlineLvl w:val="2"/>
    </w:pPr>
    <w:rPr>
      <w:rFonts w:asciiTheme="majorHAnsi" w:hAnsiTheme="majorHAnsi"/>
      <w:b/>
      <w:color w:val="2158A8" w:themeColor="accent1"/>
      <w:sz w:val="22"/>
      <w:szCs w:val="28"/>
    </w:rPr>
  </w:style>
  <w:style w:type="paragraph" w:styleId="Heading4">
    <w:name w:val="heading 4"/>
    <w:basedOn w:val="Normal"/>
    <w:next w:val="Normal"/>
    <w:uiPriority w:val="4"/>
    <w:qFormat/>
    <w:rsid w:val="00E84ACD"/>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9F06C4"/>
    <w:pPr>
      <w:keepNext/>
      <w:numPr>
        <w:ilvl w:val="4"/>
        <w:numId w:val="4"/>
      </w:numPr>
      <w:spacing w:before="240"/>
      <w:contextualSpacing/>
      <w:outlineLvl w:val="4"/>
    </w:pPr>
    <w:rPr>
      <w:b/>
      <w:szCs w:val="22"/>
    </w:rPr>
  </w:style>
  <w:style w:type="paragraph" w:styleId="Heading6">
    <w:name w:val="heading 6"/>
    <w:basedOn w:val="Normal"/>
    <w:next w:val="Normal"/>
    <w:link w:val="Heading6Char"/>
    <w:uiPriority w:val="99"/>
    <w:semiHidden/>
    <w:rsid w:val="009F06C4"/>
    <w:pPr>
      <w:keepNext/>
      <w:numPr>
        <w:ilvl w:val="5"/>
        <w:numId w:val="4"/>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02B53"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5C5C5C"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5C5C5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qFormat/>
    <w:rsid w:val="00BA3176"/>
    <w:pPr>
      <w:numPr>
        <w:numId w:val="1"/>
      </w:numPr>
    </w:pPr>
  </w:style>
  <w:style w:type="paragraph" w:styleId="Footer">
    <w:name w:val="footer"/>
    <w:basedOn w:val="Header"/>
    <w:uiPriority w:val="99"/>
    <w:rsid w:val="00650E2C"/>
    <w:pPr>
      <w:pBdr>
        <w:bottom w:val="single" w:sz="24" w:space="12" w:color="2158A8" w:themeColor="accent1"/>
      </w:pBdr>
      <w:tabs>
        <w:tab w:val="clear" w:pos="10319"/>
        <w:tab w:val="right" w:pos="9940"/>
      </w:tabs>
      <w:ind w:right="-1661"/>
    </w:pPr>
  </w:style>
  <w:style w:type="character" w:styleId="Hyperlink">
    <w:name w:val="Hyperlink"/>
    <w:basedOn w:val="DefaultParagraphFont"/>
    <w:uiPriority w:val="99"/>
    <w:rsid w:val="00650E2C"/>
    <w:rPr>
      <w:color w:val="2158A8" w:themeColor="accent1"/>
      <w:u w:val="single"/>
    </w:rPr>
  </w:style>
  <w:style w:type="character" w:customStyle="1" w:styleId="Heading5Char">
    <w:name w:val="Heading 5 Char"/>
    <w:basedOn w:val="DefaultParagraphFont"/>
    <w:link w:val="Heading5"/>
    <w:uiPriority w:val="99"/>
    <w:semiHidden/>
    <w:rsid w:val="00160B66"/>
    <w:rPr>
      <w:rFonts w:asciiTheme="minorHAnsi" w:hAnsiTheme="minorHAnsi"/>
      <w:b/>
      <w:color w:val="3F3F3F" w:themeColor="text1"/>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4"/>
    <w:rsid w:val="00720FBB"/>
    <w:rPr>
      <w:rFonts w:asciiTheme="majorHAnsi" w:hAnsiTheme="majorHAnsi"/>
      <w:b/>
      <w:sz w:val="80"/>
      <w:szCs w:val="44"/>
    </w:rPr>
  </w:style>
  <w:style w:type="paragraph" w:styleId="TOC1">
    <w:name w:val="toc 1"/>
    <w:basedOn w:val="Normal"/>
    <w:next w:val="Normal"/>
    <w:autoRedefine/>
    <w:uiPriority w:val="39"/>
    <w:rsid w:val="00A33149"/>
    <w:pPr>
      <w:pBdr>
        <w:top w:val="single" w:sz="24" w:space="6" w:color="2158A8" w:themeColor="accent1"/>
        <w:between w:val="single" w:sz="24" w:space="6" w:color="2158A8"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color w:val="3F3F3F" w:themeColor="text1"/>
      <w:szCs w:val="22"/>
    </w:rPr>
  </w:style>
  <w:style w:type="table" w:customStyle="1" w:styleId="DefaultTable">
    <w:name w:val="Default Table"/>
    <w:basedOn w:val="TableNormal"/>
    <w:uiPriority w:val="99"/>
    <w:rsid w:val="00650E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2D276C"/>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qFormat/>
    <w:rsid w:val="00A10EDE"/>
    <w:pP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link w:val="FigureHeadingChar"/>
    <w:uiPriority w:val="48"/>
    <w:qFormat/>
    <w:rsid w:val="00FF4F37"/>
    <w:pPr>
      <w:keepNext/>
      <w:keepLines/>
      <w:numPr>
        <w:numId w:val="3"/>
      </w:numPr>
      <w:tabs>
        <w:tab w:val="left" w:pos="907"/>
      </w:tabs>
      <w:spacing w:before="240" w:after="300"/>
      <w:contextualSpacing/>
      <w:outlineLvl w:val="4"/>
    </w:pPr>
    <w:rPr>
      <w:b/>
      <w:color w:val="auto"/>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158A8"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158A8"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E84ACD"/>
    <w:pPr>
      <w:numPr>
        <w:numId w:val="4"/>
      </w:numPr>
      <w:spacing w:before="240"/>
      <w:contextualSpacing/>
      <w:outlineLvl w:val="2"/>
    </w:pPr>
    <w:rPr>
      <w:b/>
      <w:color w:val="2158A8"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2B53"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5C5C5C"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5C5C5C" w:themeColor="text1" w:themeTint="D8"/>
      <w:sz w:val="21"/>
      <w:szCs w:val="21"/>
    </w:rPr>
  </w:style>
  <w:style w:type="character" w:customStyle="1" w:styleId="ListParagraphChar">
    <w:name w:val="List Paragraph Char"/>
    <w:basedOn w:val="DefaultParagraphFont"/>
    <w:link w:val="ListParagraph"/>
    <w:uiPriority w:val="34"/>
    <w:rsid w:val="0063664B"/>
    <w:rPr>
      <w:rFonts w:asciiTheme="minorHAnsi" w:hAnsiTheme="minorHAnsi"/>
      <w:color w:val="3F3F3F" w:themeColor="text1"/>
      <w:szCs w:val="24"/>
    </w:rPr>
  </w:style>
  <w:style w:type="paragraph" w:customStyle="1" w:styleId="GreyBodyFrameBullet">
    <w:name w:val="Grey Body Frame Bullet"/>
    <w:basedOn w:val="Normal"/>
    <w:uiPriority w:val="1"/>
    <w:qFormat/>
    <w:rsid w:val="0063664B"/>
    <w:pPr>
      <w:widowControl w:val="0"/>
      <w:numPr>
        <w:numId w:val="8"/>
      </w:numPr>
      <w:pBdr>
        <w:top w:val="single" w:sz="48" w:space="1" w:color="20B9A3" w:themeColor="background2"/>
        <w:left w:val="single" w:sz="48" w:space="4" w:color="20B9A3" w:themeColor="background2"/>
        <w:bottom w:val="single" w:sz="48" w:space="1" w:color="20B9A3" w:themeColor="background2"/>
        <w:right w:val="single" w:sz="48" w:space="4" w:color="20B9A3" w:themeColor="background2"/>
      </w:pBdr>
      <w:shd w:val="clear" w:color="auto" w:fill="20B9A3" w:themeFill="background2"/>
      <w:spacing w:before="60" w:after="28" w:line="312" w:lineRule="auto"/>
      <w:ind w:left="357" w:hanging="357"/>
    </w:pPr>
    <w:rPr>
      <w:rFonts w:ascii="Calibri Light" w:eastAsia="Calibri Light" w:hAnsi="Calibri Light" w:cstheme="minorBidi"/>
      <w:color w:val="082E28" w:themeColor="background2" w:themeShade="40"/>
      <w:szCs w:val="20"/>
      <w:lang w:val="en-US" w:eastAsia="en-US"/>
    </w:rPr>
  </w:style>
  <w:style w:type="character" w:styleId="IntenseEmphasis">
    <w:name w:val="Intense Emphasis"/>
    <w:basedOn w:val="DefaultParagraphFont"/>
    <w:uiPriority w:val="21"/>
    <w:qFormat/>
    <w:rsid w:val="00976281"/>
    <w:rPr>
      <w:i/>
      <w:iCs/>
      <w:color w:val="2158A8" w:themeColor="accent1"/>
    </w:rPr>
  </w:style>
  <w:style w:type="paragraph" w:styleId="BodyText">
    <w:name w:val="Body Text"/>
    <w:link w:val="BodyTextChar"/>
    <w:qFormat/>
    <w:rsid w:val="00C03A8E"/>
    <w:pPr>
      <w:spacing w:before="240" w:line="300" w:lineRule="atLeast"/>
      <w:jc w:val="both"/>
    </w:pPr>
    <w:rPr>
      <w:sz w:val="24"/>
    </w:rPr>
  </w:style>
  <w:style w:type="character" w:customStyle="1" w:styleId="BodyTextChar">
    <w:name w:val="Body Text Char"/>
    <w:basedOn w:val="DefaultParagraphFont"/>
    <w:link w:val="BodyText"/>
    <w:rsid w:val="00C03A8E"/>
    <w:rPr>
      <w:sz w:val="24"/>
    </w:rPr>
  </w:style>
  <w:style w:type="paragraph" w:customStyle="1" w:styleId="Box">
    <w:name w:val="Box"/>
    <w:basedOn w:val="BodyText"/>
    <w:qFormat/>
    <w:rsid w:val="00C03A8E"/>
    <w:pPr>
      <w:keepNext/>
      <w:spacing w:before="120" w:line="260" w:lineRule="atLeast"/>
    </w:pPr>
    <w:rPr>
      <w:rFonts w:ascii="Arial" w:hAnsi="Arial"/>
      <w:sz w:val="20"/>
    </w:rPr>
  </w:style>
  <w:style w:type="paragraph" w:customStyle="1" w:styleId="Note">
    <w:name w:val="Note"/>
    <w:basedOn w:val="BodyText"/>
    <w:next w:val="BodyText"/>
    <w:rsid w:val="00C03A8E"/>
    <w:pPr>
      <w:keepLines/>
      <w:spacing w:before="80" w:line="220" w:lineRule="exact"/>
    </w:pPr>
    <w:rPr>
      <w:rFonts w:ascii="Arial" w:hAnsi="Arial"/>
      <w:sz w:val="18"/>
    </w:rPr>
  </w:style>
  <w:style w:type="paragraph" w:customStyle="1" w:styleId="Source">
    <w:name w:val="Source"/>
    <w:basedOn w:val="Normal"/>
    <w:next w:val="BodyText"/>
    <w:rsid w:val="00C03A8E"/>
    <w:pPr>
      <w:keepLines/>
      <w:spacing w:before="80" w:after="0" w:line="220" w:lineRule="exact"/>
      <w:jc w:val="both"/>
    </w:pPr>
    <w:rPr>
      <w:rFonts w:ascii="Arial" w:hAnsi="Arial"/>
      <w:color w:val="auto"/>
      <w:sz w:val="18"/>
      <w:szCs w:val="20"/>
    </w:rPr>
  </w:style>
  <w:style w:type="character" w:customStyle="1" w:styleId="NoteLabel">
    <w:name w:val="Note Label"/>
    <w:basedOn w:val="DefaultParagraphFont"/>
    <w:rsid w:val="00C03A8E"/>
    <w:rPr>
      <w:rFonts w:ascii="Arial" w:hAnsi="Arial"/>
      <w:b/>
      <w:position w:val="6"/>
      <w:sz w:val="18"/>
    </w:rPr>
  </w:style>
  <w:style w:type="paragraph" w:customStyle="1" w:styleId="TableBodyText">
    <w:name w:val="Table Body Text"/>
    <w:basedOn w:val="BodyText"/>
    <w:rsid w:val="00C03A8E"/>
    <w:pPr>
      <w:keepNext/>
      <w:keepLines/>
      <w:spacing w:before="0" w:after="40" w:line="200" w:lineRule="atLeast"/>
      <w:ind w:left="6" w:right="113"/>
      <w:jc w:val="right"/>
    </w:pPr>
    <w:rPr>
      <w:rFonts w:ascii="Arial" w:hAnsi="Arial"/>
      <w:sz w:val="18"/>
    </w:rPr>
  </w:style>
  <w:style w:type="paragraph" w:customStyle="1" w:styleId="TableColumnHeading">
    <w:name w:val="Table Column Heading"/>
    <w:basedOn w:val="TableBodyText"/>
    <w:rsid w:val="00C03A8E"/>
    <w:pPr>
      <w:spacing w:before="80" w:after="80"/>
    </w:pPr>
    <w:rPr>
      <w:i/>
    </w:rPr>
  </w:style>
  <w:style w:type="paragraph" w:customStyle="1" w:styleId="TableTitle">
    <w:name w:val="Table Title"/>
    <w:basedOn w:val="Caption"/>
    <w:next w:val="Subtitle"/>
    <w:qFormat/>
    <w:rsid w:val="00C03A8E"/>
    <w:pPr>
      <w:keepNext/>
      <w:keepLines/>
      <w:spacing w:before="120" w:after="80" w:line="280" w:lineRule="exact"/>
      <w:ind w:left="1474" w:hanging="1474"/>
    </w:pPr>
    <w:rPr>
      <w:rFonts w:ascii="Arial" w:hAnsi="Arial"/>
      <w:b/>
      <w:i w:val="0"/>
      <w:iCs w:val="0"/>
      <w:color w:val="auto"/>
      <w:sz w:val="24"/>
      <w:szCs w:val="24"/>
    </w:rPr>
  </w:style>
  <w:style w:type="paragraph" w:customStyle="1" w:styleId="TableUnitsRow">
    <w:name w:val="Table Units Row"/>
    <w:basedOn w:val="TableBodyText"/>
    <w:rsid w:val="00C03A8E"/>
    <w:pPr>
      <w:spacing w:before="40"/>
    </w:pPr>
  </w:style>
  <w:style w:type="paragraph" w:styleId="Caption">
    <w:name w:val="caption"/>
    <w:basedOn w:val="Normal"/>
    <w:next w:val="Normal"/>
    <w:uiPriority w:val="99"/>
    <w:semiHidden/>
    <w:unhideWhenUsed/>
    <w:qFormat/>
    <w:rsid w:val="00C03A8E"/>
    <w:pPr>
      <w:spacing w:before="0" w:after="200" w:line="240" w:lineRule="auto"/>
    </w:pPr>
    <w:rPr>
      <w:i/>
      <w:iCs/>
      <w:color w:val="000000" w:themeColor="text2"/>
      <w:sz w:val="18"/>
      <w:szCs w:val="18"/>
    </w:rPr>
  </w:style>
  <w:style w:type="paragraph" w:customStyle="1" w:styleId="Heading2-WEN">
    <w:name w:val="Heading 2 - WEN"/>
    <w:basedOn w:val="Heading1"/>
    <w:link w:val="Heading2-WENChar"/>
    <w:qFormat/>
    <w:rsid w:val="0006687B"/>
  </w:style>
  <w:style w:type="character" w:customStyle="1" w:styleId="Heading1Char">
    <w:name w:val="Heading 1 Char"/>
    <w:basedOn w:val="DefaultParagraphFont"/>
    <w:link w:val="Heading1"/>
    <w:uiPriority w:val="4"/>
    <w:rsid w:val="0006687B"/>
    <w:rPr>
      <w:rFonts w:asciiTheme="majorHAnsi" w:hAnsiTheme="majorHAnsi"/>
      <w:b/>
      <w:sz w:val="80"/>
      <w:szCs w:val="44"/>
    </w:rPr>
  </w:style>
  <w:style w:type="character" w:customStyle="1" w:styleId="Heading2-WENChar">
    <w:name w:val="Heading 2 - WEN Char"/>
    <w:basedOn w:val="Heading1Char"/>
    <w:link w:val="Heading2-WEN"/>
    <w:rsid w:val="0006687B"/>
    <w:rPr>
      <w:rFonts w:asciiTheme="majorHAnsi" w:hAnsiTheme="majorHAnsi"/>
      <w:b/>
      <w:sz w:val="80"/>
      <w:szCs w:val="44"/>
    </w:rPr>
  </w:style>
  <w:style w:type="paragraph" w:styleId="TOC3">
    <w:name w:val="toc 3"/>
    <w:basedOn w:val="Normal"/>
    <w:next w:val="Normal"/>
    <w:autoRedefine/>
    <w:uiPriority w:val="39"/>
    <w:rsid w:val="00B50813"/>
    <w:pPr>
      <w:spacing w:after="100"/>
      <w:ind w:left="400"/>
    </w:pPr>
  </w:style>
  <w:style w:type="character" w:customStyle="1" w:styleId="FigureHeadingChar">
    <w:name w:val="Figure Heading Char"/>
    <w:basedOn w:val="DefaultParagraphFont"/>
    <w:link w:val="FigureHeading"/>
    <w:uiPriority w:val="48"/>
    <w:rsid w:val="00FF4F37"/>
    <w:rPr>
      <w:rFonts w:asciiTheme="minorHAnsi" w:hAnsiTheme="minorHAns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25148">
      <w:bodyDiv w:val="1"/>
      <w:marLeft w:val="0"/>
      <w:marRight w:val="0"/>
      <w:marTop w:val="0"/>
      <w:marBottom w:val="0"/>
      <w:divBdr>
        <w:top w:val="none" w:sz="0" w:space="0" w:color="auto"/>
        <w:left w:val="none" w:sz="0" w:space="0" w:color="auto"/>
        <w:bottom w:val="none" w:sz="0" w:space="0" w:color="auto"/>
        <w:right w:val="none" w:sz="0" w:space="0" w:color="auto"/>
      </w:divBdr>
    </w:div>
    <w:div w:id="181674596">
      <w:bodyDiv w:val="1"/>
      <w:marLeft w:val="0"/>
      <w:marRight w:val="0"/>
      <w:marTop w:val="0"/>
      <w:marBottom w:val="0"/>
      <w:divBdr>
        <w:top w:val="none" w:sz="0" w:space="0" w:color="auto"/>
        <w:left w:val="none" w:sz="0" w:space="0" w:color="auto"/>
        <w:bottom w:val="none" w:sz="0" w:space="0" w:color="auto"/>
        <w:right w:val="none" w:sz="0" w:space="0" w:color="auto"/>
      </w:divBdr>
    </w:div>
    <w:div w:id="310715421">
      <w:bodyDiv w:val="1"/>
      <w:marLeft w:val="0"/>
      <w:marRight w:val="0"/>
      <w:marTop w:val="0"/>
      <w:marBottom w:val="0"/>
      <w:divBdr>
        <w:top w:val="none" w:sz="0" w:space="0" w:color="auto"/>
        <w:left w:val="none" w:sz="0" w:space="0" w:color="auto"/>
        <w:bottom w:val="none" w:sz="0" w:space="0" w:color="auto"/>
        <w:right w:val="none" w:sz="0" w:space="0" w:color="auto"/>
      </w:divBdr>
    </w:div>
    <w:div w:id="434443867">
      <w:bodyDiv w:val="1"/>
      <w:marLeft w:val="0"/>
      <w:marRight w:val="0"/>
      <w:marTop w:val="0"/>
      <w:marBottom w:val="0"/>
      <w:divBdr>
        <w:top w:val="none" w:sz="0" w:space="0" w:color="auto"/>
        <w:left w:val="none" w:sz="0" w:space="0" w:color="auto"/>
        <w:bottom w:val="none" w:sz="0" w:space="0" w:color="auto"/>
        <w:right w:val="none" w:sz="0" w:space="0" w:color="auto"/>
      </w:divBdr>
    </w:div>
    <w:div w:id="473645230">
      <w:bodyDiv w:val="1"/>
      <w:marLeft w:val="0"/>
      <w:marRight w:val="0"/>
      <w:marTop w:val="0"/>
      <w:marBottom w:val="0"/>
      <w:divBdr>
        <w:top w:val="none" w:sz="0" w:space="0" w:color="auto"/>
        <w:left w:val="none" w:sz="0" w:space="0" w:color="auto"/>
        <w:bottom w:val="none" w:sz="0" w:space="0" w:color="auto"/>
        <w:right w:val="none" w:sz="0" w:space="0" w:color="auto"/>
      </w:divBdr>
    </w:div>
    <w:div w:id="493496456">
      <w:bodyDiv w:val="1"/>
      <w:marLeft w:val="0"/>
      <w:marRight w:val="0"/>
      <w:marTop w:val="0"/>
      <w:marBottom w:val="0"/>
      <w:divBdr>
        <w:top w:val="none" w:sz="0" w:space="0" w:color="auto"/>
        <w:left w:val="none" w:sz="0" w:space="0" w:color="auto"/>
        <w:bottom w:val="none" w:sz="0" w:space="0" w:color="auto"/>
        <w:right w:val="none" w:sz="0" w:space="0" w:color="auto"/>
      </w:divBdr>
    </w:div>
    <w:div w:id="507139429">
      <w:bodyDiv w:val="1"/>
      <w:marLeft w:val="0"/>
      <w:marRight w:val="0"/>
      <w:marTop w:val="0"/>
      <w:marBottom w:val="0"/>
      <w:divBdr>
        <w:top w:val="none" w:sz="0" w:space="0" w:color="auto"/>
        <w:left w:val="none" w:sz="0" w:space="0" w:color="auto"/>
        <w:bottom w:val="none" w:sz="0" w:space="0" w:color="auto"/>
        <w:right w:val="none" w:sz="0" w:space="0" w:color="auto"/>
      </w:divBdr>
    </w:div>
    <w:div w:id="548882032">
      <w:bodyDiv w:val="1"/>
      <w:marLeft w:val="0"/>
      <w:marRight w:val="0"/>
      <w:marTop w:val="0"/>
      <w:marBottom w:val="0"/>
      <w:divBdr>
        <w:top w:val="none" w:sz="0" w:space="0" w:color="auto"/>
        <w:left w:val="none" w:sz="0" w:space="0" w:color="auto"/>
        <w:bottom w:val="none" w:sz="0" w:space="0" w:color="auto"/>
        <w:right w:val="none" w:sz="0" w:space="0" w:color="auto"/>
      </w:divBdr>
    </w:div>
    <w:div w:id="578516810">
      <w:bodyDiv w:val="1"/>
      <w:marLeft w:val="0"/>
      <w:marRight w:val="0"/>
      <w:marTop w:val="0"/>
      <w:marBottom w:val="0"/>
      <w:divBdr>
        <w:top w:val="none" w:sz="0" w:space="0" w:color="auto"/>
        <w:left w:val="none" w:sz="0" w:space="0" w:color="auto"/>
        <w:bottom w:val="none" w:sz="0" w:space="0" w:color="auto"/>
        <w:right w:val="none" w:sz="0" w:space="0" w:color="auto"/>
      </w:divBdr>
    </w:div>
    <w:div w:id="627010946">
      <w:bodyDiv w:val="1"/>
      <w:marLeft w:val="0"/>
      <w:marRight w:val="0"/>
      <w:marTop w:val="0"/>
      <w:marBottom w:val="0"/>
      <w:divBdr>
        <w:top w:val="none" w:sz="0" w:space="0" w:color="auto"/>
        <w:left w:val="none" w:sz="0" w:space="0" w:color="auto"/>
        <w:bottom w:val="none" w:sz="0" w:space="0" w:color="auto"/>
        <w:right w:val="none" w:sz="0" w:space="0" w:color="auto"/>
      </w:divBdr>
    </w:div>
    <w:div w:id="663315755">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897783980">
      <w:bodyDiv w:val="1"/>
      <w:marLeft w:val="0"/>
      <w:marRight w:val="0"/>
      <w:marTop w:val="0"/>
      <w:marBottom w:val="0"/>
      <w:divBdr>
        <w:top w:val="none" w:sz="0" w:space="0" w:color="auto"/>
        <w:left w:val="none" w:sz="0" w:space="0" w:color="auto"/>
        <w:bottom w:val="none" w:sz="0" w:space="0" w:color="auto"/>
        <w:right w:val="none" w:sz="0" w:space="0" w:color="auto"/>
      </w:divBdr>
    </w:div>
    <w:div w:id="914896557">
      <w:bodyDiv w:val="1"/>
      <w:marLeft w:val="0"/>
      <w:marRight w:val="0"/>
      <w:marTop w:val="0"/>
      <w:marBottom w:val="0"/>
      <w:divBdr>
        <w:top w:val="none" w:sz="0" w:space="0" w:color="auto"/>
        <w:left w:val="none" w:sz="0" w:space="0" w:color="auto"/>
        <w:bottom w:val="none" w:sz="0" w:space="0" w:color="auto"/>
        <w:right w:val="none" w:sz="0" w:space="0" w:color="auto"/>
      </w:divBdr>
    </w:div>
    <w:div w:id="952639335">
      <w:bodyDiv w:val="1"/>
      <w:marLeft w:val="0"/>
      <w:marRight w:val="0"/>
      <w:marTop w:val="0"/>
      <w:marBottom w:val="0"/>
      <w:divBdr>
        <w:top w:val="none" w:sz="0" w:space="0" w:color="auto"/>
        <w:left w:val="none" w:sz="0" w:space="0" w:color="auto"/>
        <w:bottom w:val="none" w:sz="0" w:space="0" w:color="auto"/>
        <w:right w:val="none" w:sz="0" w:space="0" w:color="auto"/>
      </w:divBdr>
    </w:div>
    <w:div w:id="957680729">
      <w:bodyDiv w:val="1"/>
      <w:marLeft w:val="0"/>
      <w:marRight w:val="0"/>
      <w:marTop w:val="0"/>
      <w:marBottom w:val="0"/>
      <w:divBdr>
        <w:top w:val="none" w:sz="0" w:space="0" w:color="auto"/>
        <w:left w:val="none" w:sz="0" w:space="0" w:color="auto"/>
        <w:bottom w:val="none" w:sz="0" w:space="0" w:color="auto"/>
        <w:right w:val="none" w:sz="0" w:space="0" w:color="auto"/>
      </w:divBdr>
    </w:div>
    <w:div w:id="1096436538">
      <w:bodyDiv w:val="1"/>
      <w:marLeft w:val="0"/>
      <w:marRight w:val="0"/>
      <w:marTop w:val="0"/>
      <w:marBottom w:val="0"/>
      <w:divBdr>
        <w:top w:val="none" w:sz="0" w:space="0" w:color="auto"/>
        <w:left w:val="none" w:sz="0" w:space="0" w:color="auto"/>
        <w:bottom w:val="none" w:sz="0" w:space="0" w:color="auto"/>
        <w:right w:val="none" w:sz="0" w:space="0" w:color="auto"/>
      </w:divBdr>
    </w:div>
    <w:div w:id="1103499253">
      <w:bodyDiv w:val="1"/>
      <w:marLeft w:val="0"/>
      <w:marRight w:val="0"/>
      <w:marTop w:val="0"/>
      <w:marBottom w:val="0"/>
      <w:divBdr>
        <w:top w:val="none" w:sz="0" w:space="0" w:color="auto"/>
        <w:left w:val="none" w:sz="0" w:space="0" w:color="auto"/>
        <w:bottom w:val="none" w:sz="0" w:space="0" w:color="auto"/>
        <w:right w:val="none" w:sz="0" w:space="0" w:color="auto"/>
      </w:divBdr>
    </w:div>
    <w:div w:id="1142039989">
      <w:bodyDiv w:val="1"/>
      <w:marLeft w:val="0"/>
      <w:marRight w:val="0"/>
      <w:marTop w:val="0"/>
      <w:marBottom w:val="0"/>
      <w:divBdr>
        <w:top w:val="none" w:sz="0" w:space="0" w:color="auto"/>
        <w:left w:val="none" w:sz="0" w:space="0" w:color="auto"/>
        <w:bottom w:val="none" w:sz="0" w:space="0" w:color="auto"/>
        <w:right w:val="none" w:sz="0" w:space="0" w:color="auto"/>
      </w:divBdr>
    </w:div>
    <w:div w:id="1152871148">
      <w:bodyDiv w:val="1"/>
      <w:marLeft w:val="0"/>
      <w:marRight w:val="0"/>
      <w:marTop w:val="0"/>
      <w:marBottom w:val="0"/>
      <w:divBdr>
        <w:top w:val="none" w:sz="0" w:space="0" w:color="auto"/>
        <w:left w:val="none" w:sz="0" w:space="0" w:color="auto"/>
        <w:bottom w:val="none" w:sz="0" w:space="0" w:color="auto"/>
        <w:right w:val="none" w:sz="0" w:space="0" w:color="auto"/>
      </w:divBdr>
    </w:div>
    <w:div w:id="1273122743">
      <w:bodyDiv w:val="1"/>
      <w:marLeft w:val="0"/>
      <w:marRight w:val="0"/>
      <w:marTop w:val="0"/>
      <w:marBottom w:val="0"/>
      <w:divBdr>
        <w:top w:val="none" w:sz="0" w:space="0" w:color="auto"/>
        <w:left w:val="none" w:sz="0" w:space="0" w:color="auto"/>
        <w:bottom w:val="none" w:sz="0" w:space="0" w:color="auto"/>
        <w:right w:val="none" w:sz="0" w:space="0" w:color="auto"/>
      </w:divBdr>
    </w:div>
    <w:div w:id="127555343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49341551">
      <w:bodyDiv w:val="1"/>
      <w:marLeft w:val="0"/>
      <w:marRight w:val="0"/>
      <w:marTop w:val="0"/>
      <w:marBottom w:val="0"/>
      <w:divBdr>
        <w:top w:val="none" w:sz="0" w:space="0" w:color="auto"/>
        <w:left w:val="none" w:sz="0" w:space="0" w:color="auto"/>
        <w:bottom w:val="none" w:sz="0" w:space="0" w:color="auto"/>
        <w:right w:val="none" w:sz="0" w:space="0" w:color="auto"/>
      </w:divBdr>
    </w:div>
    <w:div w:id="1588228560">
      <w:bodyDiv w:val="1"/>
      <w:marLeft w:val="0"/>
      <w:marRight w:val="0"/>
      <w:marTop w:val="0"/>
      <w:marBottom w:val="0"/>
      <w:divBdr>
        <w:top w:val="none" w:sz="0" w:space="0" w:color="auto"/>
        <w:left w:val="none" w:sz="0" w:space="0" w:color="auto"/>
        <w:bottom w:val="none" w:sz="0" w:space="0" w:color="auto"/>
        <w:right w:val="none" w:sz="0" w:space="0" w:color="auto"/>
      </w:divBdr>
    </w:div>
    <w:div w:id="1644771000">
      <w:bodyDiv w:val="1"/>
      <w:marLeft w:val="0"/>
      <w:marRight w:val="0"/>
      <w:marTop w:val="0"/>
      <w:marBottom w:val="0"/>
      <w:divBdr>
        <w:top w:val="none" w:sz="0" w:space="0" w:color="auto"/>
        <w:left w:val="none" w:sz="0" w:space="0" w:color="auto"/>
        <w:bottom w:val="none" w:sz="0" w:space="0" w:color="auto"/>
        <w:right w:val="none" w:sz="0" w:space="0" w:color="auto"/>
      </w:divBdr>
    </w:div>
    <w:div w:id="1746369229">
      <w:bodyDiv w:val="1"/>
      <w:marLeft w:val="0"/>
      <w:marRight w:val="0"/>
      <w:marTop w:val="0"/>
      <w:marBottom w:val="0"/>
      <w:divBdr>
        <w:top w:val="none" w:sz="0" w:space="0" w:color="auto"/>
        <w:left w:val="none" w:sz="0" w:space="0" w:color="auto"/>
        <w:bottom w:val="none" w:sz="0" w:space="0" w:color="auto"/>
        <w:right w:val="none" w:sz="0" w:space="0" w:color="auto"/>
      </w:divBdr>
    </w:div>
    <w:div w:id="1768765757">
      <w:bodyDiv w:val="1"/>
      <w:marLeft w:val="0"/>
      <w:marRight w:val="0"/>
      <w:marTop w:val="0"/>
      <w:marBottom w:val="0"/>
      <w:divBdr>
        <w:top w:val="none" w:sz="0" w:space="0" w:color="auto"/>
        <w:left w:val="none" w:sz="0" w:space="0" w:color="auto"/>
        <w:bottom w:val="none" w:sz="0" w:space="0" w:color="auto"/>
        <w:right w:val="none" w:sz="0" w:space="0" w:color="auto"/>
      </w:divBdr>
    </w:div>
    <w:div w:id="1801145800">
      <w:bodyDiv w:val="1"/>
      <w:marLeft w:val="0"/>
      <w:marRight w:val="0"/>
      <w:marTop w:val="0"/>
      <w:marBottom w:val="0"/>
      <w:divBdr>
        <w:top w:val="none" w:sz="0" w:space="0" w:color="auto"/>
        <w:left w:val="none" w:sz="0" w:space="0" w:color="auto"/>
        <w:bottom w:val="none" w:sz="0" w:space="0" w:color="auto"/>
        <w:right w:val="none" w:sz="0" w:space="0" w:color="auto"/>
      </w:divBdr>
    </w:div>
    <w:div w:id="1875339546">
      <w:bodyDiv w:val="1"/>
      <w:marLeft w:val="0"/>
      <w:marRight w:val="0"/>
      <w:marTop w:val="0"/>
      <w:marBottom w:val="0"/>
      <w:divBdr>
        <w:top w:val="none" w:sz="0" w:space="0" w:color="auto"/>
        <w:left w:val="none" w:sz="0" w:space="0" w:color="auto"/>
        <w:bottom w:val="none" w:sz="0" w:space="0" w:color="auto"/>
        <w:right w:val="none" w:sz="0" w:space="0" w:color="auto"/>
      </w:divBdr>
    </w:div>
    <w:div w:id="196032982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https://osf.io/pt89y" TargetMode="External"/><Relationship Id="rId42" Type="http://schemas.openxmlformats.org/officeDocument/2006/relationships/image" Target="media/image14.png"/><Relationship Id="rId47" Type="http://schemas.openxmlformats.org/officeDocument/2006/relationships/hyperlink" Target="http://www.pmc.gov.au/beta"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ocialscienceregistry.org/trials/3396" TargetMode="External"/><Relationship Id="rId25" Type="http://schemas.openxmlformats.org/officeDocument/2006/relationships/hyperlink" Target="http://wenmentoringact.org.au/" TargetMode="External"/><Relationship Id="rId33" Type="http://schemas.openxmlformats.org/officeDocument/2006/relationships/hyperlink" Target="https://www.socialscienceregistry.org/trials/3396" TargetMode="External"/><Relationship Id="rId38" Type="http://schemas.openxmlformats.org/officeDocument/2006/relationships/image" Target="media/image11.emf"/><Relationship Id="rId46" Type="http://schemas.openxmlformats.org/officeDocument/2006/relationships/hyperlink" Target="mailto:media@pmc.gov.au" TargetMode="External"/><Relationship Id="rId2" Type="http://schemas.openxmlformats.org/officeDocument/2006/relationships/customXml" Target="../customXml/item2.xml"/><Relationship Id="rId16" Type="http://schemas.openxmlformats.org/officeDocument/2006/relationships/hyperlink" Target="https://osf.io/a57vh/" TargetMode="External"/><Relationship Id="rId20" Type="http://schemas.openxmlformats.org/officeDocument/2006/relationships/header" Target="header3.xml"/><Relationship Id="rId29" Type="http://schemas.openxmlformats.org/officeDocument/2006/relationships/hyperlink" Target="https://osf.io/a57vh/" TargetMode="External"/><Relationship Id="rId41" Type="http://schemas.openxmlformats.org/officeDocument/2006/relationships/hyperlink" Target="http://creativecommons.org/licensesby/4.0/deed.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emf"/><Relationship Id="rId32" Type="http://schemas.openxmlformats.org/officeDocument/2006/relationships/image" Target="media/image9.emf"/><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hyperlink" Target="mailto:beta@pmc.gov.au" TargetMode="External"/><Relationship Id="rId5" Type="http://schemas.openxmlformats.org/officeDocument/2006/relationships/numbering" Target="numbering.xml"/><Relationship Id="rId15" Type="http://schemas.openxmlformats.org/officeDocument/2006/relationships/hyperlink" Target="https://osf.io/a57vh/" TargetMode="External"/><Relationship Id="rId23" Type="http://schemas.openxmlformats.org/officeDocument/2006/relationships/footer" Target="footer3.xml"/><Relationship Id="rId28" Type="http://schemas.openxmlformats.org/officeDocument/2006/relationships/image" Target="media/image6.emf"/><Relationship Id="rId36" Type="http://schemas.openxmlformats.org/officeDocument/2006/relationships/hyperlink" Target="https://osf.io/pt89y" TargetMode="External"/><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8.emf"/><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ehaviouraleconomics.pmc.gov.au/projects/women-economics-student-mentoring-program" TargetMode="External"/><Relationship Id="rId22" Type="http://schemas.openxmlformats.org/officeDocument/2006/relationships/header" Target="header4.xml"/><Relationship Id="rId27" Type="http://schemas.openxmlformats.org/officeDocument/2006/relationships/hyperlink" Target="https://osf.io/a57vh/" TargetMode="External"/><Relationship Id="rId30" Type="http://schemas.openxmlformats.org/officeDocument/2006/relationships/image" Target="media/image7.emf"/><Relationship Id="rId35" Type="http://schemas.openxmlformats.org/officeDocument/2006/relationships/hyperlink" Target="https://osf.io/a57vh/" TargetMode="External"/><Relationship Id="rId43" Type="http://schemas.openxmlformats.org/officeDocument/2006/relationships/hyperlink" Target="http://www.itsanhonour.gov.au/coat-arms" TargetMode="Externa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share.internal.pmc.gov.au/teams/ed_beta/Communications/Templates/2018_BETA_Templates/BETA_Report_TEMPLATE_Blue.dotx" TargetMode="External"/></Relationship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166541c0-0594-4e6a-9105-c24d4b6de6f7">DOC21-28238</ShareHubID>
    <TaxCatchAll xmlns="166541c0-0594-4e6a-9105-c24d4b6de6f7">
      <Value>62</Value>
      <Value>18</Value>
      <Value>1</Value>
    </TaxCatchAll>
    <PMCNotes xmlns="166541c0-0594-4e6a-9105-c24d4b6de6f7" xsi:nil="true"/>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2.xml><?xml version="1.0" encoding="utf-8"?>
<ds:datastoreItem xmlns:ds="http://schemas.openxmlformats.org/officeDocument/2006/customXml" ds:itemID="{F6D4CC1A-1FCC-46CA-B7B5-EAF3FB16A9C2}">
  <ds:schemaRefs>
    <ds:schemaRef ds:uri="http://schemas.microsoft.com/office/infopath/2007/PartnerControls"/>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685f9fda-bd71-4433-b331-92feb9553089"/>
    <ds:schemaRef ds:uri="166541c0-0594-4e6a-9105-c24d4b6de6f7"/>
    <ds:schemaRef ds:uri="http://www.w3.org/XML/1998/namespace"/>
    <ds:schemaRef ds:uri="http://purl.org/dc/dcmitype/"/>
  </ds:schemaRefs>
</ds:datastoreItem>
</file>

<file path=customXml/itemProps3.xml><?xml version="1.0" encoding="utf-8"?>
<ds:datastoreItem xmlns:ds="http://schemas.openxmlformats.org/officeDocument/2006/customXml" ds:itemID="{61D5A093-EACE-45C1-B0AB-2660984AD6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4D41A8-27C9-42D6-B811-1F37CFD4C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BETA_Report_TEMPLATE_Blue.dotx</Template>
  <TotalTime>1</TotalTime>
  <Pages>57</Pages>
  <Words>13263</Words>
  <Characters>74227</Characters>
  <Application>Microsoft Office Word</Application>
  <DocSecurity>4</DocSecurity>
  <Lines>618</Lines>
  <Paragraphs>174</Paragraphs>
  <ScaleCrop>false</ScaleCrop>
  <HeadingPairs>
    <vt:vector size="2" baseType="variant">
      <vt:variant>
        <vt:lpstr>Title</vt:lpstr>
      </vt:variant>
      <vt:variant>
        <vt:i4>1</vt:i4>
      </vt:variant>
    </vt:vector>
  </HeadingPairs>
  <TitlesOfParts>
    <vt:vector size="1" baseType="lpstr">
      <vt:lpstr>Mentoring for women economics students</vt:lpstr>
    </vt:vector>
  </TitlesOfParts>
  <Company/>
  <LinksUpToDate>false</LinksUpToDate>
  <CharactersWithSpaces>87316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Mentoring for women economics students</dc:title>
  <dc:creator>Department of the Prime Minister and Cabinet</dc:creator>
  <cp:lastModifiedBy>Lipapis, Anastasia</cp:lastModifiedBy>
  <cp:revision>2</cp:revision>
  <dcterms:created xsi:type="dcterms:W3CDTF">2021-02-07T23:10:00Z</dcterms:created>
  <dcterms:modified xsi:type="dcterms:W3CDTF">2021-02-07T23:10:00Z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62;#COVID-19|c1da604a-829f-435b-844b-fd97e09d1455;#18;#Cabinet|84cba657-17c1-4642-9e59-a0df180c2be5</vt:lpwstr>
  </property>
  <property fmtid="{D5CDD505-2E9C-101B-9397-08002B2CF9AE}" pid="6" name="PMC.ESearch.TagGeneratedTime">
    <vt:lpwstr>2021-02-08T10:53:34</vt:lpwstr>
  </property>
</Properties>
</file>