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56639" w14:textId="4CD0D7D0" w:rsidR="00E77B59" w:rsidRDefault="00E77B59" w:rsidP="00087D4E">
      <w:bookmarkStart w:id="0" w:name="_Toc432437392"/>
    </w:p>
    <w:p w14:paraId="4F2F5F70" w14:textId="049E0FA3" w:rsidR="00E77B59" w:rsidRDefault="00E72E9E" w:rsidP="00087D4E">
      <w:bookmarkStart w:id="1" w:name="_GoBack"/>
      <w:r>
        <w:rPr>
          <w:noProof/>
        </w:rPr>
        <w:drawing>
          <wp:anchor distT="0" distB="0" distL="114300" distR="114300" simplePos="0" relativeHeight="251658246" behindDoc="0" locked="0" layoutInCell="1" allowOverlap="1" wp14:anchorId="0A0FC49C" wp14:editId="00788D28">
            <wp:simplePos x="0" y="0"/>
            <wp:positionH relativeFrom="margin">
              <wp:posOffset>3810</wp:posOffset>
            </wp:positionH>
            <wp:positionV relativeFrom="paragraph">
              <wp:posOffset>542290</wp:posOffset>
            </wp:positionV>
            <wp:extent cx="6630035" cy="4425950"/>
            <wp:effectExtent l="0" t="0" r="0" b="0"/>
            <wp:wrapTopAndBottom/>
            <wp:docPr id="16" name="Picture 16" descr="Two hands changing USD for AUD"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 sorting Australian Dollar and Singapore Dollar with computer backgroun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0035" cy="44259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p w14:paraId="676D3782" w14:textId="31B8D6C1" w:rsidR="00E77B59" w:rsidRPr="00E00A77" w:rsidRDefault="00E00A77" w:rsidP="008C5EFF">
      <w:pPr>
        <w:pStyle w:val="Heading1"/>
        <w:ind w:left="4395"/>
        <w:rPr>
          <w:sz w:val="60"/>
          <w:szCs w:val="60"/>
        </w:rPr>
      </w:pPr>
      <w:r w:rsidRPr="00E00A77">
        <w:rPr>
          <w:sz w:val="60"/>
          <w:szCs w:val="60"/>
        </w:rPr>
        <w:t>Subtracting fees to subtract confusion</w:t>
      </w:r>
    </w:p>
    <w:p w14:paraId="63F75EAD" w14:textId="106E8D82" w:rsidR="00E77B59" w:rsidRPr="008C5EFF" w:rsidRDefault="00E00A77" w:rsidP="008C5EFF">
      <w:pPr>
        <w:spacing w:after="40"/>
        <w:ind w:left="4395"/>
        <w:rPr>
          <w:rFonts w:asciiTheme="majorHAnsi" w:hAnsiTheme="majorHAnsi" w:cstheme="majorHAnsi"/>
          <w:b/>
          <w:sz w:val="32"/>
          <w:szCs w:val="32"/>
        </w:rPr>
      </w:pPr>
      <w:r>
        <w:rPr>
          <w:rFonts w:asciiTheme="majorHAnsi" w:hAnsiTheme="majorHAnsi" w:cstheme="majorHAnsi"/>
          <w:b/>
          <w:sz w:val="32"/>
          <w:szCs w:val="32"/>
        </w:rPr>
        <w:t>Using behavioural insights to improve International Money Transfer calculators</w:t>
      </w:r>
    </w:p>
    <w:p w14:paraId="23F7F4A2" w14:textId="63BBEFED" w:rsidR="00E77B59" w:rsidRPr="008C5EFF" w:rsidRDefault="00750D53" w:rsidP="008C5EFF">
      <w:pPr>
        <w:spacing w:before="240" w:after="40"/>
        <w:ind w:left="4395"/>
        <w:rPr>
          <w:rFonts w:asciiTheme="majorHAnsi" w:hAnsiTheme="majorHAnsi" w:cstheme="majorHAnsi"/>
          <w:b/>
          <w:color w:val="2158A9" w:themeColor="accent2"/>
          <w:sz w:val="24"/>
        </w:rPr>
        <w:sectPr w:rsidR="00E77B59" w:rsidRPr="008C5EFF" w:rsidSect="008D551E">
          <w:headerReference w:type="even" r:id="rId12"/>
          <w:headerReference w:type="default" r:id="rId13"/>
          <w:footerReference w:type="even" r:id="rId14"/>
          <w:footerReference w:type="default" r:id="rId15"/>
          <w:headerReference w:type="first" r:id="rId16"/>
          <w:footerReference w:type="first" r:id="rId17"/>
          <w:pgSz w:w="11906" w:h="16838" w:code="9"/>
          <w:pgMar w:top="2126" w:right="720" w:bottom="567" w:left="720" w:header="567" w:footer="567" w:gutter="0"/>
          <w:pgNumType w:start="0"/>
          <w:cols w:space="708"/>
          <w:docGrid w:linePitch="360"/>
        </w:sectPr>
      </w:pPr>
      <w:r>
        <w:rPr>
          <w:rFonts w:asciiTheme="majorHAnsi" w:hAnsiTheme="majorHAnsi" w:cstheme="majorHAnsi"/>
          <w:b/>
          <w:color w:val="2158A9" w:themeColor="accent2"/>
          <w:sz w:val="24"/>
        </w:rPr>
        <w:t>June</w:t>
      </w:r>
      <w:r w:rsidR="00E00A77">
        <w:rPr>
          <w:rFonts w:asciiTheme="majorHAnsi" w:hAnsiTheme="majorHAnsi" w:cstheme="majorHAnsi"/>
          <w:b/>
          <w:color w:val="2158A9" w:themeColor="accent2"/>
          <w:sz w:val="24"/>
        </w:rPr>
        <w:t xml:space="preserve"> 2024</w:t>
      </w:r>
    </w:p>
    <w:p w14:paraId="7A709FE6" w14:textId="77777777" w:rsidR="00EB0609" w:rsidRPr="00E72621" w:rsidRDefault="00EB0609" w:rsidP="001C38BA">
      <w:pPr>
        <w:spacing w:before="5000" w:after="120"/>
        <w:outlineLvl w:val="1"/>
        <w:rPr>
          <w:b/>
          <w:color w:val="2158A9" w:themeColor="accent2"/>
          <w:sz w:val="22"/>
        </w:rPr>
      </w:pPr>
      <w:r w:rsidRPr="00E72621">
        <w:rPr>
          <w:b/>
          <w:color w:val="2158A9" w:themeColor="accent2"/>
          <w:sz w:val="22"/>
        </w:rPr>
        <w:lastRenderedPageBreak/>
        <w:t>Other uses</w:t>
      </w:r>
    </w:p>
    <w:p w14:paraId="4DB32B79" w14:textId="77777777" w:rsidR="00EB0609" w:rsidRDefault="00EB0609" w:rsidP="00E72621">
      <w:pPr>
        <w:spacing w:before="120" w:after="120"/>
      </w:pPr>
      <w:r>
        <w:t>Enquiries regarding this license and any other use of this document are welcome at: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77777777" w:rsidR="00853F8F" w:rsidRDefault="00853F8F" w:rsidP="00E72621">
      <w:pPr>
        <w:spacing w:after="0"/>
      </w:pPr>
      <w:r>
        <w:t>1 National Circuit</w:t>
      </w:r>
    </w:p>
    <w:p w14:paraId="4EFC2CD8" w14:textId="77777777" w:rsidR="00EB0609" w:rsidRDefault="00EB0609" w:rsidP="00E72621">
      <w:pPr>
        <w:spacing w:after="0"/>
      </w:pPr>
      <w:r>
        <w:t>Barton ACT 2600</w:t>
      </w:r>
    </w:p>
    <w:p w14:paraId="3B5128FF" w14:textId="77777777" w:rsidR="00EB0609" w:rsidRDefault="00EB0609" w:rsidP="00E72621">
      <w:pPr>
        <w:spacing w:after="0"/>
      </w:pPr>
      <w:r>
        <w:t xml:space="preserve">Email: </w:t>
      </w:r>
      <w:hyperlink r:id="rId18" w:history="1">
        <w:r w:rsidR="000A1B0D" w:rsidRPr="00CE0DEC">
          <w:rPr>
            <w:rStyle w:val="Hyperlink"/>
            <w:color w:val="2158A9" w:themeColor="accent2"/>
          </w:rPr>
          <w:t>beta@pmc.gov.au</w:t>
        </w:r>
      </w:hyperlink>
      <w:r w:rsidR="000A1B0D">
        <w:t xml:space="preserve"> </w:t>
      </w:r>
    </w:p>
    <w:p w14:paraId="339E7FE6"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629D7C6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Research team</w:t>
      </w:r>
    </w:p>
    <w:p w14:paraId="7799729C" w14:textId="77777777" w:rsidR="00E9465A" w:rsidRDefault="00E9465A" w:rsidP="007270E3">
      <w:r w:rsidRPr="00E9465A">
        <w:t>Bethany Jones was the principal investigator for this project. Other (current and former) staff who contributed to the report were: Scott Copley and Hanne M Watkins.</w:t>
      </w:r>
    </w:p>
    <w:p w14:paraId="6A2CC379" w14:textId="50F8E5EC" w:rsidR="00EB0609" w:rsidRPr="00E72621" w:rsidRDefault="00EB0609" w:rsidP="00E72621">
      <w:pPr>
        <w:spacing w:before="240" w:after="120"/>
        <w:outlineLvl w:val="1"/>
        <w:rPr>
          <w:b/>
          <w:color w:val="2158A9" w:themeColor="accent2"/>
          <w:sz w:val="22"/>
        </w:rPr>
      </w:pPr>
      <w:r w:rsidRPr="00E72621">
        <w:rPr>
          <w:b/>
          <w:color w:val="2158A9" w:themeColor="accent2"/>
          <w:sz w:val="22"/>
        </w:rPr>
        <w:t>Acknowledgments</w:t>
      </w:r>
    </w:p>
    <w:p w14:paraId="1B3F2E06" w14:textId="721E8D67" w:rsidR="00E9465A" w:rsidRDefault="00E9465A" w:rsidP="00E9465A">
      <w:pPr>
        <w:spacing w:before="120" w:after="120"/>
      </w:pPr>
      <w:r>
        <w:t xml:space="preserve">Thank you to the Australian Competition and Consumer Commission and </w:t>
      </w:r>
      <w:r w:rsidR="00D3191D">
        <w:t xml:space="preserve">the </w:t>
      </w:r>
      <w:r>
        <w:t xml:space="preserve">Competition Enforcement &amp; Financial Services Team for their support and valuable contribution in making this project happen. </w:t>
      </w:r>
    </w:p>
    <w:p w14:paraId="790EFCA2" w14:textId="61D55FE0" w:rsidR="00EB0609" w:rsidRDefault="00E9465A" w:rsidP="00E9465A">
      <w:pPr>
        <w:spacing w:before="120" w:after="120"/>
      </w:pPr>
      <w:r>
        <w:t>The trial was pre-registered on the BETA website and the American Economic Association registry</w:t>
      </w:r>
      <w:r w:rsidR="00EB0609">
        <w:t>:</w:t>
      </w:r>
    </w:p>
    <w:p w14:paraId="5083C0F0" w14:textId="77777777" w:rsidR="00E9465A" w:rsidRPr="00CE0DEC" w:rsidRDefault="00D87DB4" w:rsidP="00E72621">
      <w:pPr>
        <w:spacing w:before="120" w:after="120"/>
        <w:rPr>
          <w:color w:val="2158A9" w:themeColor="accent2"/>
        </w:rPr>
      </w:pPr>
      <w:hyperlink r:id="rId19" w:history="1">
        <w:r w:rsidR="00E9465A" w:rsidRPr="00CE0DEC">
          <w:rPr>
            <w:rStyle w:val="Hyperlink"/>
            <w:color w:val="2158A9" w:themeColor="accent2"/>
          </w:rPr>
          <w:t>https://behaviouraleconomics.pmc.gov.au/projects/increasing-transparency-online-foreign-exchange-calculators</w:t>
        </w:r>
      </w:hyperlink>
    </w:p>
    <w:p w14:paraId="21EAC6B6" w14:textId="52D436BD" w:rsidR="00B14898" w:rsidRPr="00CE0DEC" w:rsidRDefault="00D87DB4" w:rsidP="00E72621">
      <w:pPr>
        <w:spacing w:before="120" w:after="120"/>
        <w:rPr>
          <w:color w:val="2158A9" w:themeColor="accent2"/>
        </w:rPr>
        <w:sectPr w:rsidR="00B14898" w:rsidRPr="00CE0DEC" w:rsidSect="008253C4">
          <w:headerReference w:type="default" r:id="rId20"/>
          <w:footerReference w:type="default" r:id="rId21"/>
          <w:pgSz w:w="11906" w:h="16838" w:code="9"/>
          <w:pgMar w:top="2041" w:right="2381" w:bottom="1247" w:left="1247" w:header="720" w:footer="851" w:gutter="0"/>
          <w:cols w:space="708"/>
          <w:docGrid w:linePitch="360"/>
        </w:sectPr>
      </w:pPr>
      <w:hyperlink r:id="rId22" w:history="1">
        <w:r w:rsidR="00E9465A" w:rsidRPr="00CE0DEC">
          <w:rPr>
            <w:rStyle w:val="Hyperlink"/>
            <w:color w:val="2158A9" w:themeColor="accent2"/>
          </w:rPr>
          <w:t>https://www.socialscienceregistry.org/trials/11462</w:t>
        </w:r>
      </w:hyperlink>
      <w:r w:rsidR="00E9465A" w:rsidRPr="00CE0DEC">
        <w:rPr>
          <w:color w:val="2158A9" w:themeColor="accent2"/>
        </w:rPr>
        <w:t xml:space="preserve"> </w:t>
      </w:r>
    </w:p>
    <w:p w14:paraId="46D60B55" w14:textId="30F9E1EE" w:rsidR="004909C3" w:rsidRPr="003E6102" w:rsidRDefault="00E00CDF" w:rsidP="003E6102">
      <w:pPr>
        <w:pStyle w:val="TOCHeading"/>
        <w:pBdr>
          <w:bottom w:val="single" w:sz="24" w:space="21" w:color="ABDBF6" w:themeColor="accent1"/>
        </w:pBdr>
      </w:pPr>
      <w:r w:rsidRPr="003F31E6">
        <w:rPr>
          <w:noProof/>
        </w:rPr>
        <w:lastRenderedPageBreak/>
        <mc:AlternateContent>
          <mc:Choice Requires="wps">
            <w:drawing>
              <wp:anchor distT="0" distB="0" distL="114300" distR="114300" simplePos="0" relativeHeight="251658247" behindDoc="1" locked="0" layoutInCell="1" allowOverlap="1" wp14:anchorId="5D58EF10" wp14:editId="74B63A96">
                <wp:simplePos x="0" y="0"/>
                <wp:positionH relativeFrom="page">
                  <wp:align>left</wp:align>
                </wp:positionH>
                <wp:positionV relativeFrom="page">
                  <wp:align>top</wp:align>
                </wp:positionV>
                <wp:extent cx="7560000" cy="10692000"/>
                <wp:effectExtent l="0" t="0" r="3175" b="0"/>
                <wp:wrapNone/>
                <wp:docPr id="3" name="Rectangle 3" title="Decorative Image (Background Shad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5E77D" id="Rectangle 3" o:spid="_x0000_s1026" alt="Title: Decorative Image (Background Shade)" style="position:absolute;margin-left:0;margin-top:0;width:595.3pt;height:841.9pt;z-index:-25165823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" fillcolor="#2d276c [3209]" stroked="f" strokeweight="2pt">
                <w10:wrap anchorx="page" anchory="page"/>
              </v:rect>
            </w:pict>
          </mc:Fallback>
        </mc:AlternateContent>
      </w:r>
      <w:r w:rsidR="00CD16C8">
        <w:t>About BETA</w:t>
      </w:r>
    </w:p>
    <w:p w14:paraId="1C7DA634" w14:textId="6E85B312" w:rsidR="004909C3" w:rsidRPr="00A417B9" w:rsidRDefault="004909C3" w:rsidP="00A417B9">
      <w:pPr>
        <w:pStyle w:val="LargeBlue"/>
        <w:rPr>
          <w:color w:val="FFFFFF" w:themeColor="background1"/>
        </w:rPr>
      </w:pPr>
      <w:r w:rsidRPr="00A417B9">
        <w:rPr>
          <w:color w:val="FFFFFF" w:themeColor="background1"/>
        </w:rPr>
        <w:t>Who are we?</w:t>
      </w:r>
    </w:p>
    <w:p w14:paraId="1B5DE911" w14:textId="77777777" w:rsidR="004909C3" w:rsidRPr="001540CB" w:rsidRDefault="004909C3" w:rsidP="00BD0246">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7CC2F249" w14:textId="405834A5" w:rsidR="004909C3" w:rsidRPr="001540CB" w:rsidRDefault="004909C3" w:rsidP="00BD0246">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r w:rsidR="00E00CDF" w:rsidRPr="00E00CDF">
        <w:rPr>
          <w:noProof/>
        </w:rPr>
        <w:t xml:space="preserve"> </w:t>
      </w:r>
    </w:p>
    <w:p w14:paraId="5DD5D4CD" w14:textId="77777777" w:rsidR="004909C3" w:rsidRPr="00A417B9" w:rsidRDefault="004909C3" w:rsidP="00A417B9">
      <w:pPr>
        <w:pStyle w:val="LargeBlue"/>
        <w:rPr>
          <w:color w:val="FFFFFF" w:themeColor="background1"/>
        </w:rPr>
      </w:pPr>
      <w:r w:rsidRPr="00A417B9">
        <w:rPr>
          <w:color w:val="FFFFFF" w:themeColor="background1"/>
        </w:rPr>
        <w:t>What is behavioural economics?</w:t>
      </w:r>
    </w:p>
    <w:p w14:paraId="6F51A718"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A842FC4" w14:textId="77777777" w:rsidR="004909C3" w:rsidRPr="00A417B9" w:rsidRDefault="004909C3" w:rsidP="00A417B9">
      <w:pPr>
        <w:pStyle w:val="LargeBlue"/>
        <w:rPr>
          <w:color w:val="FFFFFF" w:themeColor="background1"/>
        </w:rPr>
      </w:pPr>
      <w:r w:rsidRPr="00A417B9">
        <w:rPr>
          <w:color w:val="FFFFFF" w:themeColor="background1"/>
        </w:rPr>
        <w:t xml:space="preserve">What are behavioural insights and how are they useful for policy design?  </w:t>
      </w:r>
    </w:p>
    <w:p w14:paraId="2C294959" w14:textId="77777777" w:rsidR="004909C3" w:rsidRPr="004909C3" w:rsidRDefault="004909C3" w:rsidP="00BD0246">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46EF9853" w14:textId="77777777" w:rsidR="004909C3" w:rsidRDefault="004909C3" w:rsidP="00BD0246">
      <w:pPr>
        <w:pStyle w:val="NormalWhite"/>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70B37C72" w14:textId="35BA31EA"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000000" w:themeColor="text1"/>
          <w:sz w:val="22"/>
          <w:szCs w:val="24"/>
        </w:rPr>
        <w:id w:val="667208857"/>
        <w:docPartObj>
          <w:docPartGallery w:val="Table of Contents"/>
          <w:docPartUnique/>
        </w:docPartObj>
      </w:sdtPr>
      <w:sdtEndPr>
        <w:rPr>
          <w:noProof/>
          <w:color w:val="auto"/>
          <w:sz w:val="20"/>
        </w:rPr>
      </w:sdtEndPr>
      <w:sdtContent>
        <w:p w14:paraId="30BA0884" w14:textId="6466287F" w:rsidR="004909C3" w:rsidRPr="0097749C" w:rsidRDefault="00E00CDF" w:rsidP="003E6102">
          <w:pPr>
            <w:pStyle w:val="TOCHeading"/>
          </w:pPr>
          <w:r w:rsidRPr="003F31E6">
            <w:rPr>
              <w:noProof/>
            </w:rPr>
            <mc:AlternateContent>
              <mc:Choice Requires="wps">
                <w:drawing>
                  <wp:anchor distT="0" distB="0" distL="114300" distR="114300" simplePos="0" relativeHeight="251658248" behindDoc="1" locked="0" layoutInCell="1" allowOverlap="1" wp14:anchorId="7D4512E1" wp14:editId="468BFB28">
                    <wp:simplePos x="0" y="0"/>
                    <wp:positionH relativeFrom="page">
                      <wp:posOffset>-635</wp:posOffset>
                    </wp:positionH>
                    <wp:positionV relativeFrom="page">
                      <wp:align>bottom</wp:align>
                    </wp:positionV>
                    <wp:extent cx="7560000" cy="10692000"/>
                    <wp:effectExtent l="0" t="0" r="3175" b="0"/>
                    <wp:wrapNone/>
                    <wp:docPr id="20" name="Rectangle 20" title="Decorative Image (Background Shad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2B174" id="Rectangle 20" o:spid="_x0000_s1026" alt="Title: Decorative Image (Background Shade)" style="position:absolute;margin-left:-.05pt;margin-top:0;width:595.3pt;height:841.9pt;z-index:-2516582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" fillcolor="#2d276c [3209]" stroked="f" strokeweight="2pt">
                    <w10:wrap anchorx="page" anchory="page"/>
                  </v:rect>
                </w:pict>
              </mc:Fallback>
            </mc:AlternateContent>
          </w:r>
          <w:r w:rsidR="004909C3" w:rsidRPr="0097749C">
            <w:t>Contents</w:t>
          </w:r>
        </w:p>
        <w:p w14:paraId="1E9F2A97" w14:textId="3BA26AE5" w:rsidR="00DC56BC" w:rsidRDefault="003B499C">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169766620" w:history="1">
            <w:r w:rsidR="00DC56BC" w:rsidRPr="00D91D64">
              <w:rPr>
                <w:rStyle w:val="Hyperlink"/>
              </w:rPr>
              <w:t>Executive summary</w:t>
            </w:r>
            <w:r w:rsidR="00DC56BC">
              <w:rPr>
                <w:webHidden/>
              </w:rPr>
              <w:tab/>
            </w:r>
            <w:r w:rsidR="00DC56BC">
              <w:rPr>
                <w:webHidden/>
              </w:rPr>
              <w:fldChar w:fldCharType="begin"/>
            </w:r>
            <w:r w:rsidR="00DC56BC">
              <w:rPr>
                <w:webHidden/>
              </w:rPr>
              <w:instrText xml:space="preserve"> PAGEREF _Toc169766620 \h </w:instrText>
            </w:r>
            <w:r w:rsidR="00DC56BC">
              <w:rPr>
                <w:webHidden/>
              </w:rPr>
            </w:r>
            <w:r w:rsidR="00DC56BC">
              <w:rPr>
                <w:webHidden/>
              </w:rPr>
              <w:fldChar w:fldCharType="separate"/>
            </w:r>
            <w:r w:rsidR="00DC56BC">
              <w:rPr>
                <w:webHidden/>
              </w:rPr>
              <w:t>4</w:t>
            </w:r>
            <w:r w:rsidR="00DC56BC">
              <w:rPr>
                <w:webHidden/>
              </w:rPr>
              <w:fldChar w:fldCharType="end"/>
            </w:r>
          </w:hyperlink>
        </w:p>
        <w:p w14:paraId="5B31A338" w14:textId="6115DDED" w:rsidR="00DC56BC" w:rsidRDefault="00D87DB4">
          <w:pPr>
            <w:pStyle w:val="TOC1"/>
            <w:rPr>
              <w:rFonts w:eastAsiaTheme="minorEastAsia" w:cstheme="minorBidi"/>
              <w:b w:val="0"/>
              <w:color w:val="auto"/>
              <w:sz w:val="22"/>
              <w:szCs w:val="22"/>
            </w:rPr>
          </w:pPr>
          <w:hyperlink w:anchor="_Toc169766621" w:history="1">
            <w:r w:rsidR="00DC56BC" w:rsidRPr="00D91D64">
              <w:rPr>
                <w:rStyle w:val="Hyperlink"/>
              </w:rPr>
              <w:t>Introduction</w:t>
            </w:r>
            <w:r w:rsidR="00DC56BC">
              <w:rPr>
                <w:webHidden/>
              </w:rPr>
              <w:tab/>
            </w:r>
            <w:r w:rsidR="00DC56BC">
              <w:rPr>
                <w:webHidden/>
              </w:rPr>
              <w:fldChar w:fldCharType="begin"/>
            </w:r>
            <w:r w:rsidR="00DC56BC">
              <w:rPr>
                <w:webHidden/>
              </w:rPr>
              <w:instrText xml:space="preserve"> PAGEREF _Toc169766621 \h </w:instrText>
            </w:r>
            <w:r w:rsidR="00DC56BC">
              <w:rPr>
                <w:webHidden/>
              </w:rPr>
            </w:r>
            <w:r w:rsidR="00DC56BC">
              <w:rPr>
                <w:webHidden/>
              </w:rPr>
              <w:fldChar w:fldCharType="separate"/>
            </w:r>
            <w:r w:rsidR="00DC56BC">
              <w:rPr>
                <w:webHidden/>
              </w:rPr>
              <w:t>5</w:t>
            </w:r>
            <w:r w:rsidR="00DC56BC">
              <w:rPr>
                <w:webHidden/>
              </w:rPr>
              <w:fldChar w:fldCharType="end"/>
            </w:r>
          </w:hyperlink>
        </w:p>
        <w:p w14:paraId="1A4F764F" w14:textId="4BA41E48" w:rsidR="00DC56BC" w:rsidRDefault="00D87DB4">
          <w:pPr>
            <w:pStyle w:val="TOC1"/>
            <w:rPr>
              <w:rFonts w:eastAsiaTheme="minorEastAsia" w:cstheme="minorBidi"/>
              <w:b w:val="0"/>
              <w:color w:val="auto"/>
              <w:sz w:val="22"/>
              <w:szCs w:val="22"/>
            </w:rPr>
          </w:pPr>
          <w:hyperlink w:anchor="_Toc169766622" w:history="1">
            <w:r w:rsidR="00DC56BC" w:rsidRPr="00D91D64">
              <w:rPr>
                <w:rStyle w:val="Hyperlink"/>
              </w:rPr>
              <w:t>What we did</w:t>
            </w:r>
            <w:r w:rsidR="00DC56BC">
              <w:rPr>
                <w:webHidden/>
              </w:rPr>
              <w:tab/>
            </w:r>
            <w:r w:rsidR="00DC56BC">
              <w:rPr>
                <w:webHidden/>
              </w:rPr>
              <w:fldChar w:fldCharType="begin"/>
            </w:r>
            <w:r w:rsidR="00DC56BC">
              <w:rPr>
                <w:webHidden/>
              </w:rPr>
              <w:instrText xml:space="preserve"> PAGEREF _Toc169766622 \h </w:instrText>
            </w:r>
            <w:r w:rsidR="00DC56BC">
              <w:rPr>
                <w:webHidden/>
              </w:rPr>
            </w:r>
            <w:r w:rsidR="00DC56BC">
              <w:rPr>
                <w:webHidden/>
              </w:rPr>
              <w:fldChar w:fldCharType="separate"/>
            </w:r>
            <w:r w:rsidR="00DC56BC">
              <w:rPr>
                <w:webHidden/>
              </w:rPr>
              <w:t>8</w:t>
            </w:r>
            <w:r w:rsidR="00DC56BC">
              <w:rPr>
                <w:webHidden/>
              </w:rPr>
              <w:fldChar w:fldCharType="end"/>
            </w:r>
          </w:hyperlink>
        </w:p>
        <w:p w14:paraId="757A7BCE" w14:textId="110FCB27" w:rsidR="00DC56BC" w:rsidRDefault="00D87DB4">
          <w:pPr>
            <w:pStyle w:val="TOC1"/>
            <w:rPr>
              <w:rFonts w:eastAsiaTheme="minorEastAsia" w:cstheme="minorBidi"/>
              <w:b w:val="0"/>
              <w:color w:val="auto"/>
              <w:sz w:val="22"/>
              <w:szCs w:val="22"/>
            </w:rPr>
          </w:pPr>
          <w:hyperlink w:anchor="_Toc169766623" w:history="1">
            <w:r w:rsidR="00DC56BC" w:rsidRPr="00D91D64">
              <w:rPr>
                <w:rStyle w:val="Hyperlink"/>
              </w:rPr>
              <w:t>What we found</w:t>
            </w:r>
            <w:r w:rsidR="00DC56BC">
              <w:rPr>
                <w:webHidden/>
              </w:rPr>
              <w:tab/>
            </w:r>
            <w:r w:rsidR="00DC56BC">
              <w:rPr>
                <w:webHidden/>
              </w:rPr>
              <w:fldChar w:fldCharType="begin"/>
            </w:r>
            <w:r w:rsidR="00DC56BC">
              <w:rPr>
                <w:webHidden/>
              </w:rPr>
              <w:instrText xml:space="preserve"> PAGEREF _Toc169766623 \h </w:instrText>
            </w:r>
            <w:r w:rsidR="00DC56BC">
              <w:rPr>
                <w:webHidden/>
              </w:rPr>
            </w:r>
            <w:r w:rsidR="00DC56BC">
              <w:rPr>
                <w:webHidden/>
              </w:rPr>
              <w:fldChar w:fldCharType="separate"/>
            </w:r>
            <w:r w:rsidR="00DC56BC">
              <w:rPr>
                <w:webHidden/>
              </w:rPr>
              <w:t>14</w:t>
            </w:r>
            <w:r w:rsidR="00DC56BC">
              <w:rPr>
                <w:webHidden/>
              </w:rPr>
              <w:fldChar w:fldCharType="end"/>
            </w:r>
          </w:hyperlink>
        </w:p>
        <w:p w14:paraId="76EC7622" w14:textId="70F13974" w:rsidR="00DC56BC" w:rsidRDefault="00D87DB4">
          <w:pPr>
            <w:pStyle w:val="TOC1"/>
            <w:rPr>
              <w:rFonts w:eastAsiaTheme="minorEastAsia" w:cstheme="minorBidi"/>
              <w:b w:val="0"/>
              <w:color w:val="auto"/>
              <w:sz w:val="22"/>
              <w:szCs w:val="22"/>
            </w:rPr>
          </w:pPr>
          <w:hyperlink w:anchor="_Toc169766624" w:history="1">
            <w:r w:rsidR="00DC56BC" w:rsidRPr="00D91D64">
              <w:rPr>
                <w:rStyle w:val="Hyperlink"/>
              </w:rPr>
              <w:t>Discussion and conclusion</w:t>
            </w:r>
            <w:r w:rsidR="00DC56BC">
              <w:rPr>
                <w:webHidden/>
              </w:rPr>
              <w:tab/>
            </w:r>
            <w:r w:rsidR="00DC56BC">
              <w:rPr>
                <w:webHidden/>
              </w:rPr>
              <w:fldChar w:fldCharType="begin"/>
            </w:r>
            <w:r w:rsidR="00DC56BC">
              <w:rPr>
                <w:webHidden/>
              </w:rPr>
              <w:instrText xml:space="preserve"> PAGEREF _Toc169766624 \h </w:instrText>
            </w:r>
            <w:r w:rsidR="00DC56BC">
              <w:rPr>
                <w:webHidden/>
              </w:rPr>
            </w:r>
            <w:r w:rsidR="00DC56BC">
              <w:rPr>
                <w:webHidden/>
              </w:rPr>
              <w:fldChar w:fldCharType="separate"/>
            </w:r>
            <w:r w:rsidR="00DC56BC">
              <w:rPr>
                <w:webHidden/>
              </w:rPr>
              <w:t>20</w:t>
            </w:r>
            <w:r w:rsidR="00DC56BC">
              <w:rPr>
                <w:webHidden/>
              </w:rPr>
              <w:fldChar w:fldCharType="end"/>
            </w:r>
          </w:hyperlink>
        </w:p>
        <w:p w14:paraId="687CF08F" w14:textId="6B5B726F" w:rsidR="00DC56BC" w:rsidRDefault="00D87DB4">
          <w:pPr>
            <w:pStyle w:val="TOC1"/>
            <w:rPr>
              <w:rFonts w:eastAsiaTheme="minorEastAsia" w:cstheme="minorBidi"/>
              <w:b w:val="0"/>
              <w:color w:val="auto"/>
              <w:sz w:val="22"/>
              <w:szCs w:val="22"/>
            </w:rPr>
          </w:pPr>
          <w:hyperlink w:anchor="_Toc169766625" w:history="1">
            <w:r w:rsidR="00DC56BC" w:rsidRPr="00D91D64">
              <w:rPr>
                <w:rStyle w:val="Hyperlink"/>
              </w:rPr>
              <w:t>References</w:t>
            </w:r>
            <w:r w:rsidR="00DC56BC">
              <w:rPr>
                <w:webHidden/>
              </w:rPr>
              <w:tab/>
            </w:r>
            <w:r w:rsidR="00DC56BC">
              <w:rPr>
                <w:webHidden/>
              </w:rPr>
              <w:fldChar w:fldCharType="begin"/>
            </w:r>
            <w:r w:rsidR="00DC56BC">
              <w:rPr>
                <w:webHidden/>
              </w:rPr>
              <w:instrText xml:space="preserve"> PAGEREF _Toc169766625 \h </w:instrText>
            </w:r>
            <w:r w:rsidR="00DC56BC">
              <w:rPr>
                <w:webHidden/>
              </w:rPr>
            </w:r>
            <w:r w:rsidR="00DC56BC">
              <w:rPr>
                <w:webHidden/>
              </w:rPr>
              <w:fldChar w:fldCharType="separate"/>
            </w:r>
            <w:r w:rsidR="00DC56BC">
              <w:rPr>
                <w:webHidden/>
              </w:rPr>
              <w:t>22</w:t>
            </w:r>
            <w:r w:rsidR="00DC56BC">
              <w:rPr>
                <w:webHidden/>
              </w:rPr>
              <w:fldChar w:fldCharType="end"/>
            </w:r>
          </w:hyperlink>
        </w:p>
        <w:p w14:paraId="5C03CB0A" w14:textId="7250BE3D" w:rsidR="004909C3" w:rsidRDefault="003B499C" w:rsidP="00E327E3">
          <w:pPr>
            <w:spacing w:after="0" w:line="240" w:lineRule="auto"/>
            <w:jc w:val="right"/>
          </w:pPr>
          <w:r>
            <w:rPr>
              <w:b/>
              <w:noProof/>
              <w:color w:val="FFFFFF" w:themeColor="background1"/>
              <w:sz w:val="28"/>
            </w:rPr>
            <w:fldChar w:fldCharType="end"/>
          </w:r>
        </w:p>
      </w:sdtContent>
    </w:sdt>
    <w:p w14:paraId="18912969" w14:textId="77777777" w:rsidR="008253C4" w:rsidRDefault="008253C4" w:rsidP="004909C3">
      <w:pPr>
        <w:rPr>
          <w:noProof/>
        </w:rPr>
      </w:pPr>
    </w:p>
    <w:p w14:paraId="13EE4E67" w14:textId="77777777" w:rsidR="004909C3" w:rsidRDefault="004909C3" w:rsidP="004909C3">
      <w:pPr>
        <w:rPr>
          <w:noProof/>
        </w:rPr>
      </w:pPr>
    </w:p>
    <w:p w14:paraId="3842942B" w14:textId="77777777" w:rsidR="008253C4" w:rsidRDefault="008253C4" w:rsidP="00087D4E">
      <w:pPr>
        <w:rPr>
          <w:b/>
          <w:noProof/>
          <w:color w:val="FFFFFF" w:themeColor="background1"/>
          <w:sz w:val="28"/>
        </w:rPr>
        <w:sectPr w:rsidR="008253C4" w:rsidSect="008253C4">
          <w:headerReference w:type="default" r:id="rId23"/>
          <w:footerReference w:type="default" r:id="rId24"/>
          <w:pgSz w:w="11906" w:h="16838" w:code="9"/>
          <w:pgMar w:top="2041" w:right="2381" w:bottom="1247" w:left="1247" w:header="720" w:footer="851" w:gutter="0"/>
          <w:cols w:space="708"/>
          <w:docGrid w:linePitch="360"/>
        </w:sectPr>
      </w:pPr>
    </w:p>
    <w:p w14:paraId="6D3B0BC9" w14:textId="77777777" w:rsidR="0004635E" w:rsidRDefault="0004635E">
      <w:pPr>
        <w:spacing w:after="0" w:line="240" w:lineRule="auto"/>
        <w:rPr>
          <w:rFonts w:asciiTheme="majorHAnsi" w:hAnsiTheme="majorHAnsi"/>
          <w:b/>
          <w:sz w:val="96"/>
          <w:szCs w:val="44"/>
        </w:rPr>
      </w:pPr>
      <w:r>
        <w:br w:type="page"/>
      </w:r>
    </w:p>
    <w:p w14:paraId="0D4019E1" w14:textId="77777777" w:rsidR="004B4BC0" w:rsidRPr="00F546B9" w:rsidRDefault="00CA787C" w:rsidP="00191A5D">
      <w:pPr>
        <w:pStyle w:val="Heading2"/>
      </w:pPr>
      <w:bookmarkStart w:id="2" w:name="_Toc169766620"/>
      <w:r w:rsidRPr="00F546B9">
        <w:lastRenderedPageBreak/>
        <w:t>Executive</w:t>
      </w:r>
      <w:r w:rsidR="007C6C73">
        <w:t xml:space="preserve"> </w:t>
      </w:r>
      <w:r w:rsidRPr="00F546B9">
        <w:t>summary</w:t>
      </w:r>
      <w:bookmarkEnd w:id="2"/>
    </w:p>
    <w:p w14:paraId="324E18EA" w14:textId="674B26DB" w:rsidR="0016398B" w:rsidRPr="00A64DF0" w:rsidRDefault="00701FD5" w:rsidP="00632099">
      <w:pPr>
        <w:rPr>
          <w:b/>
        </w:rPr>
      </w:pPr>
      <w:r w:rsidRPr="00701FD5">
        <w:t xml:space="preserve">Every year, Australians transfer an estimated $21 billion to family and friends overseas, making use of international money transfer (IMT) </w:t>
      </w:r>
      <w:r w:rsidRPr="0085533A">
        <w:t>services (</w:t>
      </w:r>
      <w:r w:rsidR="00750D53" w:rsidRPr="0085533A">
        <w:t>ACCC 2019</w:t>
      </w:r>
      <w:r w:rsidRPr="0085533A">
        <w:t>). However</w:t>
      </w:r>
      <w:r>
        <w:t>, IMT pricing is complex and often not transparent for consumers</w:t>
      </w:r>
      <w:r w:rsidR="0016398B">
        <w:t xml:space="preserve">. To assist businesses supplying IMT services, the Australian Competition and Consumer Commission issued best practice guidance, aimed at improving how IMT offers are presented to consumers. As a result, </w:t>
      </w:r>
      <w:r w:rsidR="0016398B" w:rsidRPr="00A64DF0">
        <w:rPr>
          <w:b/>
        </w:rPr>
        <w:t>businesses now provide IMT calculators to allow consumers to better understand the costs associated with the transaction</w:t>
      </w:r>
      <w:r w:rsidR="0016398B" w:rsidRPr="0019230E">
        <w:t>, and ultimately get better value for their transfer.</w:t>
      </w:r>
    </w:p>
    <w:p w14:paraId="3D57DFEC" w14:textId="757FD07A" w:rsidR="00632099" w:rsidRDefault="0016398B" w:rsidP="00632099">
      <w:r>
        <w:t xml:space="preserve">However, while </w:t>
      </w:r>
      <w:r w:rsidR="00632099" w:rsidRPr="00632099">
        <w:t>IMT calculators can help, there is still room for improvement</w:t>
      </w:r>
      <w:r>
        <w:t>. Calculators differ from provider to provider, which means that comparing offers across different calculators is challenging. In particular, when a calculator adds fees (rather than subtracting them) i</w:t>
      </w:r>
      <w:r w:rsidR="00632099" w:rsidRPr="00632099">
        <w:t xml:space="preserve">t </w:t>
      </w:r>
      <w:r w:rsidR="007F215D">
        <w:t xml:space="preserve">is </w:t>
      </w:r>
      <w:r w:rsidR="00632099" w:rsidRPr="00632099">
        <w:t>harder to compare offers</w:t>
      </w:r>
      <w:r>
        <w:t xml:space="preserve">; no-fee transfers can ‘hide’ the cost of the transaction in a high foreign exchange rate (FX) margin; and the total cost of the transaction to the customer is often hard to determine directly. </w:t>
      </w:r>
    </w:p>
    <w:p w14:paraId="7F0055F4" w14:textId="7D872734" w:rsidR="00632099" w:rsidRDefault="00632099" w:rsidP="00632099">
      <w:r w:rsidRPr="00A64DF0">
        <w:rPr>
          <w:b/>
        </w:rPr>
        <w:t>BETA worked with the ACCC to design and test changes to online IMT calculators that could help consumers choose better value offers</w:t>
      </w:r>
      <w:r w:rsidR="0016398B" w:rsidRPr="00A64DF0">
        <w:rPr>
          <w:b/>
        </w:rPr>
        <w:t>.</w:t>
      </w:r>
      <w:r w:rsidR="0016398B">
        <w:t xml:space="preserve"> </w:t>
      </w:r>
      <w:r w:rsidRPr="00632099">
        <w:t xml:space="preserve">We </w:t>
      </w:r>
      <w:r w:rsidR="0016398B">
        <w:t xml:space="preserve">first </w:t>
      </w:r>
      <w:r w:rsidRPr="00632099">
        <w:t xml:space="preserve">designed </w:t>
      </w:r>
      <w:r w:rsidR="0016398B">
        <w:t xml:space="preserve">seven </w:t>
      </w:r>
      <w:r w:rsidRPr="00632099">
        <w:t>new calculators to address the three key problems</w:t>
      </w:r>
      <w:r w:rsidR="007F215D">
        <w:t xml:space="preserve"> outlined above</w:t>
      </w:r>
      <w:r w:rsidR="0016398B">
        <w:t xml:space="preserve">. </w:t>
      </w:r>
      <w:r w:rsidRPr="00632099">
        <w:t xml:space="preserve">We </w:t>
      </w:r>
      <w:r w:rsidR="00A64DF0">
        <w:t xml:space="preserve">then </w:t>
      </w:r>
      <w:r w:rsidRPr="00632099">
        <w:t xml:space="preserve">ran </w:t>
      </w:r>
      <w:r w:rsidR="0016398B">
        <w:t xml:space="preserve">online </w:t>
      </w:r>
      <w:r w:rsidRPr="00632099">
        <w:t xml:space="preserve">survey experiments </w:t>
      </w:r>
      <w:r w:rsidR="0016398B">
        <w:t xml:space="preserve">with </w:t>
      </w:r>
      <w:r w:rsidR="007F215D">
        <w:t>5,673</w:t>
      </w:r>
      <w:r w:rsidR="0016398B">
        <w:t xml:space="preserve"> Australians </w:t>
      </w:r>
      <w:r w:rsidRPr="00632099">
        <w:t xml:space="preserve">to test </w:t>
      </w:r>
      <w:r w:rsidR="0016398B">
        <w:t xml:space="preserve">which type of calculator best helped consumers choose the best value offer. We found:  </w:t>
      </w:r>
    </w:p>
    <w:p w14:paraId="7E6A9C7D" w14:textId="73E0B176" w:rsidR="008B4FDF" w:rsidRDefault="00701FD5" w:rsidP="00A64DF0">
      <w:r w:rsidRPr="00A64DF0">
        <w:rPr>
          <w:b/>
        </w:rPr>
        <w:t xml:space="preserve">Consistently subtracting fees made </w:t>
      </w:r>
      <w:r w:rsidR="00062E1D" w:rsidRPr="00A64DF0">
        <w:rPr>
          <w:b/>
        </w:rPr>
        <w:t>it easy to compare offers and choose the best deal.</w:t>
      </w:r>
      <w:r w:rsidR="00062E1D">
        <w:t xml:space="preserve"> </w:t>
      </w:r>
      <w:r w:rsidRPr="00701FD5">
        <w:t xml:space="preserve">When fees are consistently subtracted, </w:t>
      </w:r>
      <w:r w:rsidR="008B4FDF">
        <w:t xml:space="preserve">the cost to the customer remains the same across providers and people can therefore rely on the amount received by the recipient – a common </w:t>
      </w:r>
      <w:r w:rsidRPr="00701FD5">
        <w:t xml:space="preserve">heuristic </w:t>
      </w:r>
      <w:r w:rsidR="008B4FDF">
        <w:t>– to accurately guide them to the highest value offer. Consistently subtracting fees also made people more confident in their choices.</w:t>
      </w:r>
    </w:p>
    <w:p w14:paraId="3A2D2DAF" w14:textId="489D1125" w:rsidR="00701FD5" w:rsidRDefault="00701FD5" w:rsidP="00A64DF0">
      <w:r w:rsidRPr="00A64DF0">
        <w:rPr>
          <w:b/>
        </w:rPr>
        <w:t xml:space="preserve">Providing </w:t>
      </w:r>
      <w:r w:rsidR="00A64DF0" w:rsidRPr="00A64DF0">
        <w:rPr>
          <w:b/>
        </w:rPr>
        <w:t xml:space="preserve">‘comparison rate </w:t>
      </w:r>
      <w:r w:rsidRPr="00A64DF0">
        <w:rPr>
          <w:b/>
        </w:rPr>
        <w:t>prompts</w:t>
      </w:r>
      <w:r w:rsidR="00A64DF0" w:rsidRPr="00A64DF0">
        <w:rPr>
          <w:b/>
        </w:rPr>
        <w:t>’</w:t>
      </w:r>
      <w:r w:rsidRPr="00A64DF0">
        <w:rPr>
          <w:b/>
        </w:rPr>
        <w:t xml:space="preserve"> </w:t>
      </w:r>
      <w:r w:rsidR="00A64DF0" w:rsidRPr="00A64DF0">
        <w:rPr>
          <w:b/>
        </w:rPr>
        <w:t>also improved people’s ability to choose the best deal</w:t>
      </w:r>
      <w:r w:rsidR="008B4FDF" w:rsidRPr="00A64DF0">
        <w:rPr>
          <w:b/>
        </w:rPr>
        <w:t>.</w:t>
      </w:r>
      <w:r w:rsidR="008B4FDF">
        <w:t xml:space="preserve"> </w:t>
      </w:r>
      <w:r w:rsidR="00A64DF0">
        <w:t xml:space="preserve">These prompts summarised the total cost of the transaction as a dollar value or per cent. Further, the prompts were also the most impactful when people were asked to judge the value from a single calculator (without a comparison). </w:t>
      </w:r>
      <w:r w:rsidR="0019230E">
        <w:t xml:space="preserve">We found no evidence of ‘cognitive overload’ or other downsides when combining elements in a single calculator; e.g. adding prompts, FX margins, </w:t>
      </w:r>
      <w:r w:rsidR="0019230E">
        <w:rPr>
          <w:i/>
        </w:rPr>
        <w:t xml:space="preserve">and </w:t>
      </w:r>
      <w:r w:rsidR="0019230E">
        <w:t>consistently subtracting fees.</w:t>
      </w:r>
    </w:p>
    <w:p w14:paraId="33D9E184" w14:textId="78CD3807" w:rsidR="00701FD5" w:rsidRDefault="00701FD5" w:rsidP="00701FD5">
      <w:r>
        <w:t xml:space="preserve">Based on these findings, subtracting fees and adding a comparison prompt would result in the highest performance </w:t>
      </w:r>
      <w:r w:rsidR="00345CED" w:rsidRPr="00345CED">
        <w:t>both when consumers are considering a single offer, and when they are comparing offers.</w:t>
      </w:r>
      <w:r w:rsidR="00345CED">
        <w:t xml:space="preserve"> </w:t>
      </w:r>
      <w:r w:rsidR="00524A71" w:rsidRPr="0019230E">
        <w:rPr>
          <w:b/>
        </w:rPr>
        <w:t xml:space="preserve">These results </w:t>
      </w:r>
      <w:r w:rsidR="00345CED" w:rsidRPr="0019230E">
        <w:rPr>
          <w:b/>
        </w:rPr>
        <w:t xml:space="preserve">demonstrate the potential for improvements to IMT calculators </w:t>
      </w:r>
      <w:r w:rsidR="0019230E" w:rsidRPr="0019230E">
        <w:rPr>
          <w:b/>
        </w:rPr>
        <w:t xml:space="preserve">further </w:t>
      </w:r>
      <w:r w:rsidR="00345CED" w:rsidRPr="0019230E">
        <w:rPr>
          <w:b/>
        </w:rPr>
        <w:t>helping</w:t>
      </w:r>
      <w:r w:rsidR="00524A71" w:rsidRPr="0019230E">
        <w:rPr>
          <w:b/>
        </w:rPr>
        <w:t xml:space="preserve"> consumer</w:t>
      </w:r>
      <w:r w:rsidR="007C699D">
        <w:rPr>
          <w:b/>
        </w:rPr>
        <w:t>s</w:t>
      </w:r>
      <w:r w:rsidR="00524A71" w:rsidRPr="0019230E">
        <w:rPr>
          <w:b/>
        </w:rPr>
        <w:t xml:space="preserve"> </w:t>
      </w:r>
      <w:r w:rsidR="0019230E" w:rsidRPr="0019230E">
        <w:rPr>
          <w:b/>
        </w:rPr>
        <w:t>choos</w:t>
      </w:r>
      <w:r w:rsidR="007C699D">
        <w:rPr>
          <w:b/>
        </w:rPr>
        <w:t>e</w:t>
      </w:r>
      <w:r w:rsidR="0019230E" w:rsidRPr="0019230E">
        <w:rPr>
          <w:b/>
        </w:rPr>
        <w:t xml:space="preserve"> the best deal</w:t>
      </w:r>
      <w:r w:rsidR="00524A71" w:rsidRPr="0019230E">
        <w:rPr>
          <w:b/>
        </w:rPr>
        <w:t xml:space="preserve"> </w:t>
      </w:r>
      <w:r w:rsidR="00345CED" w:rsidRPr="0019230E">
        <w:rPr>
          <w:b/>
        </w:rPr>
        <w:t>when making international money transfers</w:t>
      </w:r>
      <w:r w:rsidR="00524A71" w:rsidRPr="00524A71">
        <w:t>. Further research in the field – such as partnering with a</w:t>
      </w:r>
      <w:r w:rsidR="007F215D">
        <w:t>n IMT provider</w:t>
      </w:r>
      <w:r w:rsidR="00524A71" w:rsidRPr="00524A71">
        <w:t xml:space="preserve"> and evaluating the impact of </w:t>
      </w:r>
      <w:r w:rsidR="00345CED">
        <w:t>calculators</w:t>
      </w:r>
      <w:r w:rsidR="00524A71" w:rsidRPr="00524A71">
        <w:t xml:space="preserve"> on real choices made by actual consumers – could be considered to test how the current findings translate to a real-world context.</w:t>
      </w:r>
    </w:p>
    <w:p w14:paraId="256E3DE2" w14:textId="77777777" w:rsidR="000A7676" w:rsidRDefault="000A7676">
      <w:pPr>
        <w:spacing w:after="0" w:line="240" w:lineRule="auto"/>
      </w:pPr>
      <w:r>
        <w:br w:type="page"/>
      </w:r>
    </w:p>
    <w:p w14:paraId="2421AACD" w14:textId="233DCFD1" w:rsidR="00973B23" w:rsidRDefault="00CD16C8" w:rsidP="00DE793D">
      <w:pPr>
        <w:pStyle w:val="Heading2"/>
      </w:pPr>
      <w:bookmarkStart w:id="3" w:name="_Toc169766621"/>
      <w:r>
        <w:lastRenderedPageBreak/>
        <w:t>Introduction</w:t>
      </w:r>
      <w:bookmarkEnd w:id="3"/>
    </w:p>
    <w:p w14:paraId="5F73299B" w14:textId="72A08AFA" w:rsidR="00FF306A" w:rsidRPr="00FF306A" w:rsidRDefault="00F13408" w:rsidP="000A7676">
      <w:pPr>
        <w:rPr>
          <w:b/>
          <w:color w:val="2158A9" w:themeColor="accent2"/>
          <w:sz w:val="24"/>
        </w:rPr>
      </w:pPr>
      <w:r w:rsidRPr="00FF306A">
        <w:rPr>
          <w:b/>
          <w:color w:val="2158A9" w:themeColor="accent2"/>
          <w:sz w:val="24"/>
        </w:rPr>
        <w:t xml:space="preserve">Getting a ‘good </w:t>
      </w:r>
      <w:r w:rsidR="00794A5F" w:rsidRPr="00FF306A">
        <w:rPr>
          <w:b/>
          <w:color w:val="2158A9" w:themeColor="accent2"/>
          <w:sz w:val="24"/>
        </w:rPr>
        <w:t xml:space="preserve">value </w:t>
      </w:r>
      <w:r w:rsidRPr="00FF306A">
        <w:rPr>
          <w:b/>
          <w:color w:val="2158A9" w:themeColor="accent2"/>
          <w:sz w:val="24"/>
        </w:rPr>
        <w:t>deal’ when sending money overseas is complex</w:t>
      </w:r>
      <w:r w:rsidR="00FF306A" w:rsidRPr="00FF306A">
        <w:rPr>
          <w:b/>
          <w:color w:val="2158A9" w:themeColor="accent2"/>
          <w:sz w:val="24"/>
        </w:rPr>
        <w:t>.</w:t>
      </w:r>
    </w:p>
    <w:p w14:paraId="574EB0EC" w14:textId="4124B672" w:rsidR="000A7676" w:rsidRDefault="000A7676" w:rsidP="000A7676">
      <w:pPr>
        <w:rPr>
          <w:b/>
        </w:rPr>
      </w:pPr>
      <w:r w:rsidRPr="000A7676">
        <w:t>Every year, Australians transfer</w:t>
      </w:r>
      <w:r w:rsidR="00A1163B">
        <w:t xml:space="preserve"> an </w:t>
      </w:r>
      <w:r w:rsidR="00A1163B" w:rsidRPr="00A1163B">
        <w:t>estimated</w:t>
      </w:r>
      <w:r w:rsidRPr="00A1163B">
        <w:t xml:space="preserve"> $</w:t>
      </w:r>
      <w:r w:rsidR="00A1163B" w:rsidRPr="00A1163B">
        <w:t>21</w:t>
      </w:r>
      <w:r w:rsidR="00A1163B">
        <w:t xml:space="preserve"> billion</w:t>
      </w:r>
      <w:r w:rsidRPr="000A7676">
        <w:t xml:space="preserve"> to family and friends overseas, making use of international money transfer (IMT) services (</w:t>
      </w:r>
      <w:r w:rsidR="00750D53">
        <w:t>Worl</w:t>
      </w:r>
      <w:r w:rsidR="00C526C1">
        <w:t>d Bank 2017, cited in ACCC 2019</w:t>
      </w:r>
      <w:r w:rsidRPr="000A7676">
        <w:t>). However, when the Australian Competition and Consumer Commission (ACCC) conducted an inquiry into foreign currency conversion – including IMT services – they found that IMT pricing was complex and often not transp</w:t>
      </w:r>
      <w:r w:rsidR="00750D53">
        <w:t>arent for consumers (ACCC 2019</w:t>
      </w:r>
      <w:r w:rsidRPr="000A7676">
        <w:t xml:space="preserve">). For example, fees are often charged by the provider of the IMT service, </w:t>
      </w:r>
      <w:r w:rsidR="0029217E">
        <w:t>as well as</w:t>
      </w:r>
      <w:r w:rsidRPr="000A7676">
        <w:t xml:space="preserve"> by the correspondent bank (the bank receiving the funds). Some providers have ‘fee-free’ services which have no transfer fee, but include a high retail margin on the exchange rate. In combination, these complex fee structures can be confusing for consumers and make it hard to compare one offering to another.</w:t>
      </w:r>
    </w:p>
    <w:p w14:paraId="374FD45F" w14:textId="278BD7CB" w:rsidR="00973B23" w:rsidRPr="00FF306A" w:rsidRDefault="00F13408" w:rsidP="00A1105D">
      <w:pPr>
        <w:pStyle w:val="LargeBlue"/>
      </w:pPr>
      <w:r w:rsidRPr="00FF306A">
        <w:t>IMT calculators can help, but there is still room for improvement</w:t>
      </w:r>
      <w:r w:rsidR="00FF306A" w:rsidRPr="00FF306A">
        <w:t>.</w:t>
      </w:r>
    </w:p>
    <w:p w14:paraId="733E6E4B" w14:textId="49D57913" w:rsidR="00EF658B" w:rsidRDefault="00EF658B" w:rsidP="00EF658B">
      <w:pPr>
        <w:rPr>
          <w:b/>
        </w:rPr>
      </w:pPr>
      <w:r w:rsidRPr="000A7676">
        <w:t>In response</w:t>
      </w:r>
      <w:r w:rsidR="00794A5F">
        <w:t xml:space="preserve"> to these complexities</w:t>
      </w:r>
      <w:r w:rsidRPr="000A7676">
        <w:t>, the ACCC issued best p</w:t>
      </w:r>
      <w:r w:rsidR="00750D53">
        <w:t>ractice guidance (ACCC, 2019</w:t>
      </w:r>
      <w:r w:rsidRPr="000A7676">
        <w:t xml:space="preserve">) to assist businesses supplying </w:t>
      </w:r>
      <w:r w:rsidRPr="0029217E">
        <w:t>IMT services</w:t>
      </w:r>
      <w:r w:rsidR="0029217E" w:rsidRPr="0029217E">
        <w:t xml:space="preserve">. The guidance aimed to </w:t>
      </w:r>
      <w:r w:rsidRPr="0029217E">
        <w:t xml:space="preserve">improve how </w:t>
      </w:r>
      <w:r w:rsidR="00794A5F">
        <w:t>IMT offers</w:t>
      </w:r>
      <w:r w:rsidR="0029217E" w:rsidRPr="0029217E">
        <w:t xml:space="preserve"> are presented to consumers, and </w:t>
      </w:r>
      <w:r w:rsidRPr="0029217E">
        <w:t xml:space="preserve">triggered the </w:t>
      </w:r>
      <w:r w:rsidR="0029217E" w:rsidRPr="0029217E">
        <w:t>development of</w:t>
      </w:r>
      <w:r w:rsidRPr="0029217E">
        <w:t xml:space="preserve"> online IMT calculators</w:t>
      </w:r>
      <w:r w:rsidR="0029217E" w:rsidRPr="0029217E">
        <w:t>. IMT calculators are provided by the businesses providing IMT services. When well designed, they should</w:t>
      </w:r>
      <w:r w:rsidRPr="0029217E">
        <w:t xml:space="preserve"> allow consumers to </w:t>
      </w:r>
      <w:r w:rsidR="0029217E" w:rsidRPr="0029217E">
        <w:t xml:space="preserve">better </w:t>
      </w:r>
      <w:r w:rsidRPr="0029217E">
        <w:t>understand the fees and charges associated with a transaction</w:t>
      </w:r>
      <w:r w:rsidR="0029217E" w:rsidRPr="0029217E">
        <w:t xml:space="preserve">, and ultimately get better </w:t>
      </w:r>
      <w:r w:rsidR="00794A5F">
        <w:t>value for</w:t>
      </w:r>
      <w:r w:rsidR="0029217E" w:rsidRPr="0029217E">
        <w:t xml:space="preserve"> their transfer. </w:t>
      </w:r>
    </w:p>
    <w:p w14:paraId="51DF9338" w14:textId="749B9803" w:rsidR="000A7676" w:rsidRPr="000A7676" w:rsidRDefault="000A7676" w:rsidP="000A7676">
      <w:r w:rsidRPr="000A7676">
        <w:t xml:space="preserve">While calculators can improve the user experience of online IMT services, research conducted by the ACCC indicated that there </w:t>
      </w:r>
      <w:r w:rsidR="008E184B">
        <w:t>could be further improvements. In particular, m</w:t>
      </w:r>
      <w:r w:rsidRPr="000A7676">
        <w:t xml:space="preserve">any participants in their research </w:t>
      </w:r>
      <w:r w:rsidR="00EA2C8B">
        <w:t>still found it difficult to choose the cheapest supplier when comparing suppliers.</w:t>
      </w:r>
    </w:p>
    <w:p w14:paraId="7FE89D13" w14:textId="2CCF0B4D" w:rsidR="003E24F1" w:rsidRPr="001540CB" w:rsidRDefault="00F13408" w:rsidP="00A1105D">
      <w:pPr>
        <w:pStyle w:val="LargeBlue"/>
      </w:pPr>
      <w:r>
        <w:t>A typical calculator currently available online has three key problems</w:t>
      </w:r>
      <w:r w:rsidR="00DE793D">
        <w:t>.</w:t>
      </w:r>
    </w:p>
    <w:p w14:paraId="0E035DB3" w14:textId="71B8C70F" w:rsidR="002F3E9C" w:rsidRDefault="008E184B" w:rsidP="00D17088">
      <w:r>
        <w:t xml:space="preserve">Because the online IMT calculators are provided by the different IMT service providers, the way they present information varies from calculator to calculator. This means some calculators could be better than others at helping consumers find a good </w:t>
      </w:r>
      <w:r w:rsidR="00794A5F">
        <w:t>value offer</w:t>
      </w:r>
      <w:r>
        <w:t xml:space="preserve"> </w:t>
      </w:r>
      <w:r w:rsidR="00A1163B" w:rsidRPr="000A7676">
        <w:t>–</w:t>
      </w:r>
      <w:r w:rsidR="00A1163B">
        <w:t xml:space="preserve"> </w:t>
      </w:r>
      <w:r>
        <w:t xml:space="preserve">but it also means that </w:t>
      </w:r>
      <w:r>
        <w:rPr>
          <w:i/>
        </w:rPr>
        <w:t xml:space="preserve">comparing </w:t>
      </w:r>
      <w:r>
        <w:t>offers across different calculators is challenging. The question a consumer should be asking is “</w:t>
      </w:r>
      <w:r w:rsidR="002F3E9C">
        <w:t xml:space="preserve">For every Australian dollar I spend, what is the amount of </w:t>
      </w:r>
      <w:r>
        <w:t xml:space="preserve">foreign currency </w:t>
      </w:r>
      <w:r w:rsidR="002F3E9C">
        <w:t xml:space="preserve">the recipient actually </w:t>
      </w:r>
      <w:r w:rsidR="00A1163B">
        <w:t>gets</w:t>
      </w:r>
      <w:r w:rsidR="002F3E9C">
        <w:t>?”</w:t>
      </w:r>
      <w:r w:rsidR="005D0D8B">
        <w:t xml:space="preserve"> </w:t>
      </w:r>
      <w:r w:rsidR="00EA2C8B">
        <w:t>Or conversely, “For a given amount of foreign currency the recipient actually receives, how many Australia dollars am I spending?”</w:t>
      </w:r>
    </w:p>
    <w:p w14:paraId="469D887A" w14:textId="4C31C00C" w:rsidR="005D2BA2" w:rsidRPr="00A1105D" w:rsidRDefault="005D2BA2" w:rsidP="00A1105D">
      <w:pPr>
        <w:pStyle w:val="SmallBlue"/>
      </w:pPr>
      <w:r w:rsidRPr="00A1105D">
        <w:t>Adding versus subtracting fees makes it harder to compare offers</w:t>
      </w:r>
      <w:r w:rsidR="00DE793D">
        <w:t>.</w:t>
      </w:r>
    </w:p>
    <w:p w14:paraId="663181B8" w14:textId="22058A45" w:rsidR="000C2E1C" w:rsidRDefault="005D2BA2" w:rsidP="005D2BA2">
      <w:r>
        <w:t xml:space="preserve">Currently, IMT calculators </w:t>
      </w:r>
      <w:r w:rsidR="00EA2C8B">
        <w:t>for some suppliers</w:t>
      </w:r>
      <w:r>
        <w:t xml:space="preserve"> </w:t>
      </w:r>
      <w:r>
        <w:rPr>
          <w:i/>
        </w:rPr>
        <w:t xml:space="preserve">add </w:t>
      </w:r>
      <w:r>
        <w:t xml:space="preserve">a fee to the amount a consumer wishes to transfer, whereas other </w:t>
      </w:r>
      <w:r w:rsidR="00EA2C8B">
        <w:t>suppliers may</w:t>
      </w:r>
      <w:r>
        <w:t xml:space="preserve"> </w:t>
      </w:r>
      <w:r>
        <w:rPr>
          <w:i/>
        </w:rPr>
        <w:t xml:space="preserve">subtract </w:t>
      </w:r>
      <w:r>
        <w:t>it, before applying the exchange rate</w:t>
      </w:r>
      <w:r w:rsidR="005C170D">
        <w:t xml:space="preserve">. </w:t>
      </w:r>
      <w:r>
        <w:t xml:space="preserve">When the fees are subtracted, the amount received by the recipient is always indicative of the value of the offer. However, when the fees are added, the cost of the transaction changes, and it </w:t>
      </w:r>
      <w:r>
        <w:lastRenderedPageBreak/>
        <w:t>therefore becomes harder to select the best value offer. A worked example i</w:t>
      </w:r>
      <w:r w:rsidR="00075EC4">
        <w:t>s provided in Box 1 (</w:t>
      </w:r>
      <w:r w:rsidR="00750D53">
        <w:t>below</w:t>
      </w:r>
      <w:r w:rsidR="00075EC4">
        <w:t>).</w:t>
      </w:r>
      <w:r>
        <w:t xml:space="preserve"> </w:t>
      </w:r>
    </w:p>
    <w:p w14:paraId="56E554BA" w14:textId="35877D18" w:rsidR="005D2BA2" w:rsidRDefault="005D2BA2" w:rsidP="00B62893">
      <w:pPr>
        <w:spacing w:after="360"/>
      </w:pPr>
      <w:r>
        <w:t xml:space="preserve">While it is </w:t>
      </w:r>
      <w:r w:rsidR="00071230">
        <w:t xml:space="preserve">generally </w:t>
      </w:r>
      <w:r>
        <w:t xml:space="preserve">easier to </w:t>
      </w:r>
      <w:r w:rsidR="00EA2C8B">
        <w:t xml:space="preserve">compare offers </w:t>
      </w:r>
      <w:r>
        <w:t xml:space="preserve">when fees are subtracted (than when they are added), it remains </w:t>
      </w:r>
      <w:r w:rsidR="000C2E1C">
        <w:t xml:space="preserve">especially </w:t>
      </w:r>
      <w:r>
        <w:t xml:space="preserve">challenging to compare offers across different calculators if </w:t>
      </w:r>
      <w:r w:rsidR="000C2E1C">
        <w:t xml:space="preserve">they use a mix of methodologies – i.e. </w:t>
      </w:r>
      <w:r>
        <w:t xml:space="preserve">some </w:t>
      </w:r>
      <w:r w:rsidR="00EA2C8B">
        <w:t xml:space="preserve">suppliers’ </w:t>
      </w:r>
      <w:r>
        <w:t xml:space="preserve">calculators subtract and some add the fees. </w:t>
      </w:r>
      <w:r w:rsidR="005C170D">
        <w:t>For example, as at 24 April this year, 6 major suppliers added fees, whereas 4 suppliers subtracted them.</w:t>
      </w:r>
      <w:r w:rsidR="00BE54B2">
        <w:rPr>
          <w:rStyle w:val="FootnoteReference"/>
        </w:rPr>
        <w:footnoteReference w:id="2"/>
      </w:r>
      <w:r w:rsidR="005C170D">
        <w:t xml:space="preserve"> </w:t>
      </w:r>
      <w:r>
        <w:t xml:space="preserve">Furthermore, research by </w:t>
      </w:r>
      <w:r w:rsidR="00EA2C8B">
        <w:t xml:space="preserve">the </w:t>
      </w:r>
      <w:r>
        <w:t>ACCC found that approximately one third of people who regularly use IMT providers preferred fees added, and one third preferred fees subtracted. For this reason, in the present project we aimed to assess empirically which fee methodology would be most useful in helping participants choose the best value offer.</w:t>
      </w:r>
    </w:p>
    <w:p w14:paraId="7FC49D53" w14:textId="77777777" w:rsidR="00B62893" w:rsidRDefault="00B62893" w:rsidP="00DE793D">
      <w:pPr>
        <w:pStyle w:val="EmphasisPanelHeading"/>
      </w:pPr>
      <w:r>
        <w:t>Box 1: Worked example of the impact of fee methodologies</w:t>
      </w:r>
    </w:p>
    <w:p w14:paraId="34D471B7" w14:textId="77777777" w:rsidR="00B62893" w:rsidRDefault="00B62893" w:rsidP="00B62893">
      <w:pPr>
        <w:pStyle w:val="EmphasisPanelBody"/>
      </w:pPr>
      <w:r>
        <w:rPr>
          <w:b/>
        </w:rPr>
        <w:t>When fees are subtracted, the cost to the sender remains the same across providers</w:t>
      </w:r>
    </w:p>
    <w:p w14:paraId="551B36FF" w14:textId="77777777" w:rsidR="00B62893" w:rsidRDefault="00B62893" w:rsidP="00B62893">
      <w:pPr>
        <w:pStyle w:val="EmphasisPanelBody"/>
      </w:pPr>
      <w:r>
        <w:t>When the fees are consistently subtracted, the amount received by the recipient is always indicative of value. This is because the cost of the transaction to the sender remains the same across providers. For example, if someone wished to send $250 to the USA they might compare two providers with different fees and different exchange rates. One might have a fee of $2 and deliver 163USD, while another might have a fee of $6 and deliver 173USD. When fees are always subtracted, the cost of the transaction to the sender is always $250. This means that regardless of fees or exchange rate, the highest amount received by the recipient is always the best value. Thus, the second provider is offering the better deal, despite having higher fees.</w:t>
      </w:r>
    </w:p>
    <w:p w14:paraId="1019B359" w14:textId="77777777" w:rsidR="00B62893" w:rsidRPr="00B80934" w:rsidRDefault="00B62893" w:rsidP="00B62893">
      <w:pPr>
        <w:pStyle w:val="EmphasisPanelBody"/>
        <w:rPr>
          <w:b/>
        </w:rPr>
      </w:pPr>
      <w:r w:rsidRPr="00B80934">
        <w:rPr>
          <w:b/>
        </w:rPr>
        <w:t xml:space="preserve">When fees are added, the cost </w:t>
      </w:r>
      <w:r w:rsidRPr="00B80934">
        <w:rPr>
          <w:b/>
          <w:i/>
        </w:rPr>
        <w:t xml:space="preserve">and </w:t>
      </w:r>
      <w:r w:rsidRPr="00B80934">
        <w:rPr>
          <w:b/>
        </w:rPr>
        <w:t>the amount received vary across providers</w:t>
      </w:r>
    </w:p>
    <w:p w14:paraId="45022796" w14:textId="77777777" w:rsidR="00B62893" w:rsidRDefault="00B62893" w:rsidP="00B62893">
      <w:pPr>
        <w:pStyle w:val="EmphasisPanelBody"/>
      </w:pPr>
      <w:r>
        <w:t xml:space="preserve">When the fees are added it becomes harder to pick the best value offer, as the amount sent is not comparable across providers because the cost of the transaction changes. For example, if someone again wished to send $250 to the USA, one provider might charge $6 and deliver $173USD, and another might charge $20 and deliver $184USD. While the second option delivers more money to the recipient, it does so at higher cost to the sender. </w:t>
      </w:r>
    </w:p>
    <w:p w14:paraId="7EB57F8D" w14:textId="77777777" w:rsidR="00B62893" w:rsidRDefault="00B62893" w:rsidP="00B62893">
      <w:pPr>
        <w:pStyle w:val="EmphasisPanelBody"/>
      </w:pPr>
      <w:r>
        <w:t>In order to determine which of these offerings presents better value, the sender would need to compare the total cost ($256 and $270 in these examples) and the total amount received. Because both numbers vary it is necessary to convert these numbers to a ratio to make them directly comparable. In this example, for every Australian dollar spent, the first provider provides 0.676USD, and the second 0.681USD, making the second option better value overall. However, a sender who just wanted to avoid the big fee might end up choosing the lower value provider.</w:t>
      </w:r>
    </w:p>
    <w:p w14:paraId="018FEEB0" w14:textId="77777777" w:rsidR="009E0785" w:rsidRDefault="009E0785">
      <w:pPr>
        <w:spacing w:after="0" w:line="240" w:lineRule="auto"/>
        <w:rPr>
          <w:b/>
          <w:color w:val="2158A9" w:themeColor="accent2"/>
          <w:szCs w:val="20"/>
        </w:rPr>
      </w:pPr>
      <w:r>
        <w:br w:type="page"/>
      </w:r>
    </w:p>
    <w:p w14:paraId="2B88D66B" w14:textId="76F71FE8" w:rsidR="00D17088" w:rsidRDefault="00D24480" w:rsidP="00A1105D">
      <w:pPr>
        <w:pStyle w:val="SmallBlue"/>
      </w:pPr>
      <w:r>
        <w:t xml:space="preserve">Some </w:t>
      </w:r>
      <w:r w:rsidR="00D73A43">
        <w:t>are less transparent about their pricing, relying on higher exchange rate margins to charge more</w:t>
      </w:r>
      <w:r w:rsidR="009824F5">
        <w:t>.</w:t>
      </w:r>
    </w:p>
    <w:p w14:paraId="3B969F10" w14:textId="1CB00FEF" w:rsidR="00D17088" w:rsidRDefault="00D17088" w:rsidP="00D17088">
      <w:r>
        <w:t xml:space="preserve">Some </w:t>
      </w:r>
      <w:r w:rsidR="002045D0">
        <w:t xml:space="preserve">IMT </w:t>
      </w:r>
      <w:r>
        <w:t>providers</w:t>
      </w:r>
      <w:r w:rsidR="000C2E1C">
        <w:t xml:space="preserve"> offer </w:t>
      </w:r>
      <w:r w:rsidR="002045D0">
        <w:t>low-fee</w:t>
      </w:r>
      <w:r w:rsidR="00A80679">
        <w:t xml:space="preserve"> or no-fee</w:t>
      </w:r>
      <w:r w:rsidR="002045D0">
        <w:t xml:space="preserve"> transfers, while still </w:t>
      </w:r>
      <w:r w:rsidR="00A80679">
        <w:t>representing poor value for consumers.</w:t>
      </w:r>
      <w:r w:rsidR="002045D0">
        <w:t xml:space="preserve"> How? By ‘hiding’ the cost in the </w:t>
      </w:r>
      <w:r w:rsidR="00F172C9">
        <w:t xml:space="preserve">foreign </w:t>
      </w:r>
      <w:r w:rsidR="002045D0">
        <w:t xml:space="preserve">exchange </w:t>
      </w:r>
      <w:r w:rsidR="00A80679">
        <w:t xml:space="preserve">rate </w:t>
      </w:r>
      <w:r w:rsidR="00A1163B">
        <w:t xml:space="preserve">(FX) </w:t>
      </w:r>
      <w:r w:rsidR="00A80679">
        <w:t>margin</w:t>
      </w:r>
      <w:r w:rsidR="00D73A43">
        <w:t xml:space="preserve">. </w:t>
      </w:r>
      <w:r w:rsidR="00A80679">
        <w:t>The FX margin is the difference between the applied exchange rate and the mid-market rate</w:t>
      </w:r>
      <w:r w:rsidR="00D3191D">
        <w:rPr>
          <w:rStyle w:val="FootnoteReference"/>
        </w:rPr>
        <w:footnoteReference w:id="3"/>
      </w:r>
      <w:r w:rsidR="00A80679">
        <w:t xml:space="preserve">. The FX margin is an influential part of the pricing mechanism for IMTs. Some consumers are very familiar with the market rates, and the FX margin enables them to compare value, particularly where a provider might have a large retail FX margin and a small or possibly zero-fee service </w:t>
      </w:r>
      <w:r w:rsidR="00A80679" w:rsidRPr="004A7A80">
        <w:t>(</w:t>
      </w:r>
      <w:r w:rsidR="00750D53" w:rsidRPr="004A7A80">
        <w:t>ACCC</w:t>
      </w:r>
      <w:r w:rsidR="004A7A80" w:rsidRPr="004A7A80">
        <w:t xml:space="preserve"> 2024</w:t>
      </w:r>
      <w:r w:rsidR="00A80679" w:rsidRPr="004A7A80">
        <w:t>). However</w:t>
      </w:r>
      <w:r w:rsidR="00A80679">
        <w:t>, for less experienced consumers it may be confusing or unhelpful. We therefore aimed to test the impact this would have on participants’ ability to choose the best value offer.</w:t>
      </w:r>
      <w:r>
        <w:t xml:space="preserve"> </w:t>
      </w:r>
    </w:p>
    <w:p w14:paraId="1C60FAA3" w14:textId="4EF41AD6" w:rsidR="00D17088" w:rsidRDefault="00A83CD4" w:rsidP="00A1105D">
      <w:pPr>
        <w:pStyle w:val="SmallBlue"/>
      </w:pPr>
      <w:r>
        <w:t>The total cost of the transaction – including the fee and the exchange rate margin – is often hard to determine directly</w:t>
      </w:r>
      <w:r w:rsidR="009824F5">
        <w:t>.</w:t>
      </w:r>
    </w:p>
    <w:p w14:paraId="4F7C002D" w14:textId="1F996C6D" w:rsidR="00D17088" w:rsidRDefault="00D17088" w:rsidP="00D17088">
      <w:r>
        <w:t>Both the above</w:t>
      </w:r>
      <w:r w:rsidR="00A80679">
        <w:t xml:space="preserve"> – varied fee methodology and FX margins – are aspects of IMT calculators that make it harder for consumers to determine the total cost of the transaction to them, and therefore </w:t>
      </w:r>
      <w:r w:rsidR="00A1163B">
        <w:t xml:space="preserve">to </w:t>
      </w:r>
      <w:r w:rsidR="00A80679">
        <w:t xml:space="preserve">choose the best value transfer. The total cost of a transaction can be calculated as the difference between a theoretical no-fee transfer at the mid-market exchange rate, compared to the proposed transfer (with fees and a retail margin on the exchange rate). Including this information on IMT calculators would allow consumers to compare different providers even when the fee methodology and FX margin differs, by explicitly listing the total cost of the transaction. In the present project, we also aim to test the impact </w:t>
      </w:r>
      <w:r w:rsidR="00603712">
        <w:t>such a</w:t>
      </w:r>
      <w:r w:rsidR="00A80679">
        <w:t xml:space="preserve"> ‘comparison rate’ would have on participants’ ability to choose the best value offer. </w:t>
      </w:r>
    </w:p>
    <w:p w14:paraId="0FEEE70D" w14:textId="085EBBDE" w:rsidR="00075EC4" w:rsidRDefault="00794A5F" w:rsidP="00A1105D">
      <w:pPr>
        <w:pStyle w:val="LargeBlue"/>
      </w:pPr>
      <w:r>
        <w:t xml:space="preserve">BETA worked with the ACCC </w:t>
      </w:r>
      <w:r w:rsidR="00075EC4">
        <w:t>to</w:t>
      </w:r>
      <w:r>
        <w:t xml:space="preserve"> design and test changes to online IMT calculators that could help consumers choose better value offers</w:t>
      </w:r>
      <w:r w:rsidR="009824F5">
        <w:t>.</w:t>
      </w:r>
    </w:p>
    <w:p w14:paraId="62971DAC" w14:textId="014147AF" w:rsidR="00D73A43" w:rsidRDefault="00075EC4" w:rsidP="00B62893">
      <w:r w:rsidRPr="000A7676">
        <w:t xml:space="preserve">Based on </w:t>
      </w:r>
      <w:r w:rsidR="0031444D">
        <w:t>previous</w:t>
      </w:r>
      <w:r w:rsidRPr="000A7676">
        <w:t xml:space="preserve"> research, the ACCC identified a number of potential changes to their best practice guidance </w:t>
      </w:r>
      <w:r w:rsidR="0031444D">
        <w:t xml:space="preserve">for online calculators </w:t>
      </w:r>
      <w:r w:rsidRPr="000A7676">
        <w:t>that could be tested empirically. These involved changes such as introducing consiste</w:t>
      </w:r>
      <w:r w:rsidR="00603712">
        <w:t>nt methodologies for adding or subtractin</w:t>
      </w:r>
      <w:r w:rsidRPr="000A7676">
        <w:t>g fees from the amount to transfer, and providing extra information about total costs. The ACCC commissioned BETA to test these potential changes in a survey experiment.</w:t>
      </w:r>
      <w:r w:rsidR="0031444D">
        <w:t xml:space="preserve"> The aim of the research was to determine which elements of online IMT calculator</w:t>
      </w:r>
      <w:r w:rsidR="00B62893">
        <w:t xml:space="preserve">s – including fee methodologies, FX margins, and a comparison rate – </w:t>
      </w:r>
      <w:r w:rsidR="0031444D">
        <w:t xml:space="preserve">help consumers choose the </w:t>
      </w:r>
      <w:r w:rsidR="00B62893">
        <w:t xml:space="preserve">best </w:t>
      </w:r>
      <w:r w:rsidR="0031444D">
        <w:t>value offer.</w:t>
      </w:r>
      <w:r w:rsidR="00B62893">
        <w:t xml:space="preserve"> Further, since some of these changes involve </w:t>
      </w:r>
      <w:r w:rsidR="00B62893" w:rsidRPr="00B62893">
        <w:t>adding information to the calculators</w:t>
      </w:r>
      <w:r w:rsidR="00B62893">
        <w:t xml:space="preserve"> (and potentially making them more overwhelming), we tested whether combining multiple (</w:t>
      </w:r>
      <w:r w:rsidR="00D73A43">
        <w:t xml:space="preserve">individually </w:t>
      </w:r>
      <w:r w:rsidR="00B62893">
        <w:t xml:space="preserve">helpful) </w:t>
      </w:r>
      <w:r w:rsidR="00B62893" w:rsidRPr="00D73A43">
        <w:t>elements could nonetheless present a barrier for consumers in choosing the best value offer.</w:t>
      </w:r>
    </w:p>
    <w:p w14:paraId="51ADB2C7" w14:textId="77777777" w:rsidR="00D73A43" w:rsidRDefault="00D73A43">
      <w:pPr>
        <w:spacing w:after="0" w:line="240" w:lineRule="auto"/>
      </w:pPr>
      <w:r>
        <w:br w:type="page"/>
      </w:r>
    </w:p>
    <w:p w14:paraId="2BEB42D1" w14:textId="77777777" w:rsidR="00191A5D" w:rsidRDefault="008A5FEA" w:rsidP="00191A5D">
      <w:pPr>
        <w:pStyle w:val="Heading2"/>
      </w:pPr>
      <w:bookmarkStart w:id="4" w:name="_Toc169766622"/>
      <w:r>
        <w:t>What we did</w:t>
      </w:r>
      <w:bookmarkEnd w:id="4"/>
    </w:p>
    <w:p w14:paraId="6B2EAA6F" w14:textId="7BE1E0D7" w:rsidR="001E747F" w:rsidRDefault="001E747F" w:rsidP="001E747F">
      <w:pPr>
        <w:pStyle w:val="Heading3"/>
      </w:pPr>
      <w:r>
        <w:t>New calculator designs</w:t>
      </w:r>
    </w:p>
    <w:p w14:paraId="5957E6B9" w14:textId="0A615296" w:rsidR="00603712" w:rsidRPr="001E747F" w:rsidRDefault="00794A5F" w:rsidP="001E747F">
      <w:pPr>
        <w:pStyle w:val="SmallBlue"/>
        <w:rPr>
          <w:b w:val="0"/>
          <w:color w:val="000000" w:themeColor="text1"/>
        </w:rPr>
      </w:pPr>
      <w:r>
        <w:t xml:space="preserve">We designed </w:t>
      </w:r>
      <w:r w:rsidR="00F172C9">
        <w:t>new calculators to address the three key problems</w:t>
      </w:r>
      <w:r w:rsidR="001E747F">
        <w:t>.</w:t>
      </w:r>
      <w:r w:rsidR="00F172C9">
        <w:t xml:space="preserve"> </w:t>
      </w:r>
      <w:r w:rsidR="00715697" w:rsidRPr="001E747F">
        <w:rPr>
          <w:b w:val="0"/>
          <w:color w:val="000000" w:themeColor="text1"/>
        </w:rPr>
        <w:t xml:space="preserve">Based on earlier qualitative research, the ACCC identified three key aspects of IMT calculators that may reduce their usefulness for consumers: mixed fee methodology, </w:t>
      </w:r>
      <w:r w:rsidR="00D73A43" w:rsidRPr="001E747F">
        <w:rPr>
          <w:b w:val="0"/>
          <w:color w:val="000000" w:themeColor="text1"/>
        </w:rPr>
        <w:t>undisclosed</w:t>
      </w:r>
      <w:r w:rsidR="00715697" w:rsidRPr="001E747F">
        <w:rPr>
          <w:b w:val="0"/>
          <w:color w:val="000000" w:themeColor="text1"/>
        </w:rPr>
        <w:t xml:space="preserve"> FX margins, and (as a result) the total cost to consumers being hidden or hard to calculate</w:t>
      </w:r>
      <w:r w:rsidR="00603712" w:rsidRPr="001E747F">
        <w:rPr>
          <w:b w:val="0"/>
          <w:color w:val="000000" w:themeColor="text1"/>
        </w:rPr>
        <w:t xml:space="preserve"> (see above).</w:t>
      </w:r>
    </w:p>
    <w:p w14:paraId="221DA5F8" w14:textId="2FE17157" w:rsidR="00C515C7" w:rsidRDefault="00D73A43" w:rsidP="00D73A43">
      <w:pPr>
        <w:spacing w:after="0"/>
      </w:pPr>
      <w:r w:rsidRPr="00192ACB">
        <w:rPr>
          <w:noProof/>
        </w:rPr>
        <w:drawing>
          <wp:anchor distT="0" distB="107950" distL="114300" distR="114300" simplePos="0" relativeHeight="251658243" behindDoc="0" locked="0" layoutInCell="1" allowOverlap="1" wp14:anchorId="170CDA80" wp14:editId="76C5DACA">
            <wp:simplePos x="0" y="0"/>
            <wp:positionH relativeFrom="margin">
              <wp:align>left</wp:align>
            </wp:positionH>
            <wp:positionV relativeFrom="paragraph">
              <wp:posOffset>1243395</wp:posOffset>
            </wp:positionV>
            <wp:extent cx="5439600" cy="3780000"/>
            <wp:effectExtent l="0" t="0" r="8890" b="0"/>
            <wp:wrapTopAndBottom/>
            <wp:docPr id="7" name="Picture 7" descr="Figure 1. Example BAU calculators, illustrating the varied fee methodology and exchange rate, and lack of information about the total cost of the transaction to the customer. &#10;Image shows two calculators stacked on top of each other. Text reads:&#10;For the BAU calculators, fees were sometimes added and sometimes subtracted. No information about the exchange rate margin was provided. This represents the way current IMT calculators vary across providers, and makes it hard for consumers to determine the true cost of the transaction and compare different providers to find the best value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39600" cy="3780000"/>
                    </a:xfrm>
                    <a:prstGeom prst="rect">
                      <a:avLst/>
                    </a:prstGeom>
                  </pic:spPr>
                </pic:pic>
              </a:graphicData>
            </a:graphic>
            <wp14:sizeRelH relativeFrom="margin">
              <wp14:pctWidth>0</wp14:pctWidth>
            </wp14:sizeRelH>
            <wp14:sizeRelV relativeFrom="margin">
              <wp14:pctHeight>0</wp14:pctHeight>
            </wp14:sizeRelV>
          </wp:anchor>
        </w:drawing>
      </w:r>
      <w:r w:rsidR="004E4353" w:rsidRPr="001D2002">
        <w:t xml:space="preserve">In collaboration with ACCC, BETA therefore designed seven new calculators, </w:t>
      </w:r>
      <w:r w:rsidR="0007431C">
        <w:t xml:space="preserve">which were </w:t>
      </w:r>
      <w:r w:rsidR="00DE549A">
        <w:t>compare</w:t>
      </w:r>
      <w:r w:rsidR="004E4353">
        <w:t>d</w:t>
      </w:r>
      <w:r w:rsidR="00DE549A">
        <w:t xml:space="preserve"> to a ‘business-as-usual’ calculator</w:t>
      </w:r>
      <w:r w:rsidR="001F2CCE">
        <w:t xml:space="preserve"> (BAU)</w:t>
      </w:r>
      <w:r w:rsidR="00DE549A">
        <w:t>.</w:t>
      </w:r>
      <w:r w:rsidR="001F2CCE">
        <w:t xml:space="preserve"> The BAU calculator was based on the way IMT calculators currently vary across providers</w:t>
      </w:r>
      <w:r w:rsidR="00603712">
        <w:t>.</w:t>
      </w:r>
      <w:r w:rsidR="001F2CCE">
        <w:t xml:space="preserve"> For this calculator, fees were sometimes added and sometimes subtracted, and it provided </w:t>
      </w:r>
      <w:r w:rsidR="001F2CCE" w:rsidRPr="001F2CCE">
        <w:t>no comparison rate prompt and no information about the FX margin</w:t>
      </w:r>
      <w:r w:rsidR="00F030E6">
        <w:t xml:space="preserve"> (see Figure 1)</w:t>
      </w:r>
      <w:r w:rsidR="001F2CCE" w:rsidRPr="001F2CCE">
        <w:t>.</w:t>
      </w:r>
      <w:r w:rsidR="001F2CCE">
        <w:t xml:space="preserve"> The new c</w:t>
      </w:r>
      <w:r w:rsidR="00C515C7" w:rsidRPr="00C515C7">
        <w:t>alculator design changes fell into three overall categories</w:t>
      </w:r>
      <w:r w:rsidR="00794A5F">
        <w:t xml:space="preserve">, </w:t>
      </w:r>
      <w:r w:rsidR="001F2CCE">
        <w:t xml:space="preserve">each addressing one of these three issues. </w:t>
      </w:r>
    </w:p>
    <w:p w14:paraId="60A40716" w14:textId="766FF5C1" w:rsidR="006D6B60" w:rsidRPr="006D6B60" w:rsidRDefault="00A1105D" w:rsidP="00A1105D">
      <w:pPr>
        <w:rPr>
          <w:b/>
        </w:rPr>
      </w:pPr>
      <w:r w:rsidRPr="00A1105D">
        <w:rPr>
          <w:b/>
        </w:rPr>
        <w:t>Figure 1.</w:t>
      </w:r>
      <w:r>
        <w:t xml:space="preserve"> </w:t>
      </w:r>
      <w:r w:rsidR="006D6B60" w:rsidRPr="006D6B60">
        <w:t xml:space="preserve">Example BAU calculators, illustrating the varied fee methodology and exchange rate, and lack of information about the total cost of the transaction to the customer. </w:t>
      </w:r>
    </w:p>
    <w:p w14:paraId="7F11F050" w14:textId="77777777" w:rsidR="00AE0867" w:rsidRDefault="00AE0867">
      <w:pPr>
        <w:spacing w:after="0" w:line="240" w:lineRule="auto"/>
      </w:pPr>
      <w:r>
        <w:br w:type="page"/>
      </w:r>
    </w:p>
    <w:p w14:paraId="7F9A7657" w14:textId="68E169FC" w:rsidR="003D1F73" w:rsidRDefault="00D73A43" w:rsidP="00D73A43">
      <w:pPr>
        <w:spacing w:after="0"/>
      </w:pPr>
      <w:r w:rsidRPr="00C00861">
        <w:rPr>
          <w:noProof/>
        </w:rPr>
        <w:drawing>
          <wp:anchor distT="0" distB="36195" distL="114300" distR="114300" simplePos="0" relativeHeight="251658244" behindDoc="0" locked="0" layoutInCell="1" allowOverlap="1" wp14:anchorId="15BD54EB" wp14:editId="0AAF85B0">
            <wp:simplePos x="0" y="0"/>
            <wp:positionH relativeFrom="margin">
              <wp:align>left</wp:align>
            </wp:positionH>
            <wp:positionV relativeFrom="paragraph">
              <wp:posOffset>1163232</wp:posOffset>
            </wp:positionV>
            <wp:extent cx="5421600" cy="3038400"/>
            <wp:effectExtent l="0" t="0" r="8255" b="0"/>
            <wp:wrapTopAndBottom/>
            <wp:docPr id="10" name="Picture 10" descr="Figure 2. Example ‘fee subtracted’ and ‘fee added’ calculators. Further details are provided in Box 1.&#10;Image shows two examples of the calculator side by side. One has the transfer fee subtracted from the amount to transfer, and one has the fee added. Text reads:&#10;When fees are consistently subtracted, the cost to the customer always remains the same, which in turn means the amount received by the recipient is indicative of the value of the offer.&#10;When fees are added, both the total cost to the customer and the amount received by the recipient varies, making it harder to compare the value of different off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21600" cy="3038400"/>
                    </a:xfrm>
                    <a:prstGeom prst="rect">
                      <a:avLst/>
                    </a:prstGeom>
                  </pic:spPr>
                </pic:pic>
              </a:graphicData>
            </a:graphic>
            <wp14:sizeRelH relativeFrom="page">
              <wp14:pctWidth>0</wp14:pctWidth>
            </wp14:sizeRelH>
            <wp14:sizeRelV relativeFrom="page">
              <wp14:pctHeight>0</wp14:pctHeight>
            </wp14:sizeRelV>
          </wp:anchor>
        </w:drawing>
      </w:r>
      <w:r w:rsidR="003D1F73">
        <w:t>For two of our seven</w:t>
      </w:r>
      <w:r w:rsidR="00DE549A">
        <w:t xml:space="preserve"> new</w:t>
      </w:r>
      <w:r w:rsidR="003D1F73">
        <w:t xml:space="preserve"> calculators, we varied whether the transfer fees were either consistently subtracted from or added to the amount sent (Fig</w:t>
      </w:r>
      <w:r w:rsidR="00F030E6">
        <w:t>ure 2</w:t>
      </w:r>
      <w:r w:rsidR="003D1F73">
        <w:t>).</w:t>
      </w:r>
      <w:r w:rsidR="00C515C7" w:rsidRPr="00C515C7">
        <w:t xml:space="preserve"> </w:t>
      </w:r>
      <w:r w:rsidR="003D1F73">
        <w:t>For another of our calculators, we added a line indicating th</w:t>
      </w:r>
      <w:r w:rsidR="00F030E6">
        <w:t>e exchange rate margin (Figure 3</w:t>
      </w:r>
      <w:r w:rsidR="003D1F73">
        <w:t>). As mentioned, this margin indicates the difference between the exchange rate applied by the IMT provider, and the mid-market rate. It allows users to more easily compare value across different calculators and providers.</w:t>
      </w:r>
    </w:p>
    <w:p w14:paraId="33B3D778" w14:textId="45C942E2" w:rsidR="00C00861" w:rsidRDefault="00E8022C" w:rsidP="00A1105D">
      <w:pPr>
        <w:rPr>
          <w:b/>
        </w:rPr>
      </w:pPr>
      <w:r w:rsidRPr="00A1105D">
        <w:rPr>
          <w:b/>
          <w:noProof/>
        </w:rPr>
        <w:drawing>
          <wp:anchor distT="0" distB="36195" distL="114300" distR="114300" simplePos="0" relativeHeight="251658242" behindDoc="0" locked="0" layoutInCell="1" allowOverlap="1" wp14:anchorId="319E2FE1" wp14:editId="20281D05">
            <wp:simplePos x="0" y="0"/>
            <wp:positionH relativeFrom="margin">
              <wp:align>left</wp:align>
            </wp:positionH>
            <wp:positionV relativeFrom="paragraph">
              <wp:posOffset>3647440</wp:posOffset>
            </wp:positionV>
            <wp:extent cx="3533775" cy="3176270"/>
            <wp:effectExtent l="0" t="0" r="9525" b="5080"/>
            <wp:wrapTopAndBottom/>
            <wp:docPr id="6" name="Picture 6" descr="Figure 3. Example FX margin calculator. &#10;Image shows the exchange rate margin difference between the mid-market range and the rate applied by the provider. Text reads:&#10;The exchange rate margin is the difference betweent he mid-market rate and the rate applied by the provider. Including the margin may help consumers compare offers, particularly where a provider might have a large FX margin but a small (or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3775" cy="3176270"/>
                    </a:xfrm>
                    <a:prstGeom prst="rect">
                      <a:avLst/>
                    </a:prstGeom>
                  </pic:spPr>
                </pic:pic>
              </a:graphicData>
            </a:graphic>
            <wp14:sizeRelH relativeFrom="margin">
              <wp14:pctWidth>0</wp14:pctWidth>
            </wp14:sizeRelH>
            <wp14:sizeRelV relativeFrom="margin">
              <wp14:pctHeight>0</wp14:pctHeight>
            </wp14:sizeRelV>
          </wp:anchor>
        </w:drawing>
      </w:r>
      <w:r w:rsidR="00A1105D" w:rsidRPr="00A1105D">
        <w:rPr>
          <w:b/>
        </w:rPr>
        <w:t>Figure 2.</w:t>
      </w:r>
      <w:r w:rsidR="00A1105D">
        <w:t xml:space="preserve"> </w:t>
      </w:r>
      <w:r w:rsidR="00C00861" w:rsidRPr="00C00861">
        <w:t xml:space="preserve">Example ‘fee subtracted’ and ‘fee added’ calculators. Further details are provided in Box 1. </w:t>
      </w:r>
    </w:p>
    <w:p w14:paraId="4195F9D5" w14:textId="5FD09E24" w:rsidR="00D73A43" w:rsidRPr="00E8022C" w:rsidRDefault="00A1105D" w:rsidP="00A1105D">
      <w:pPr>
        <w:rPr>
          <w:b/>
        </w:rPr>
      </w:pPr>
      <w:r w:rsidRPr="00A1105D">
        <w:rPr>
          <w:b/>
        </w:rPr>
        <w:t>Figure 3.</w:t>
      </w:r>
      <w:r>
        <w:t xml:space="preserve"> </w:t>
      </w:r>
      <w:r w:rsidR="00D73A43" w:rsidRPr="00E8022C">
        <w:t>Example FX margin calculator.</w:t>
      </w:r>
    </w:p>
    <w:p w14:paraId="4F70E831" w14:textId="77777777" w:rsidR="00D73A43" w:rsidRDefault="00D73A43">
      <w:pPr>
        <w:spacing w:after="0" w:line="240" w:lineRule="auto"/>
      </w:pPr>
      <w:r>
        <w:br w:type="page"/>
      </w:r>
    </w:p>
    <w:p w14:paraId="1F107CBC" w14:textId="4F10B808" w:rsidR="003D1F73" w:rsidRDefault="003D1F73" w:rsidP="009A706D">
      <w:pPr>
        <w:rPr>
          <w:highlight w:val="yellow"/>
        </w:rPr>
      </w:pPr>
      <w:r>
        <w:t>For another two calculators, we added a comparison rate prompt at the bottom of the calculator. As mentioned, the comparison rate for the new calculators was the difference between a theoretical no-fee transfer at the mid-market rate, and the proposed transfer with fees and a retail margin on the exchange rate.</w:t>
      </w:r>
      <w:r w:rsidRPr="003D1F73">
        <w:t xml:space="preserve"> </w:t>
      </w:r>
      <w:r w:rsidR="00D73A43">
        <w:t xml:space="preserve">In these conditions, the fee methodology varied – the fee was sometimes subtracted, and sometimes added. </w:t>
      </w:r>
      <w:r>
        <w:t>The comparison rate prompt was included at the bottom of the calculator, either as a dollar amount or as a percentage of the en</w:t>
      </w:r>
      <w:r w:rsidR="00F030E6">
        <w:t>tire transaction (Figure 4</w:t>
      </w:r>
      <w:r>
        <w:t>).</w:t>
      </w:r>
      <w:r w:rsidR="009662E0">
        <w:t xml:space="preserve"> As the comparison rate summarises the total cost of the transaction to the consumer, it makes it easier to compare calculators and choose the best value offer.</w:t>
      </w:r>
    </w:p>
    <w:p w14:paraId="323E03F3" w14:textId="214B0EB8" w:rsidR="00B94A49" w:rsidRPr="00B94A49" w:rsidRDefault="003D1F73" w:rsidP="00B94A49">
      <w:r>
        <w:t xml:space="preserve">Finally, we designed two calculators which </w:t>
      </w:r>
      <w:r>
        <w:rPr>
          <w:i/>
        </w:rPr>
        <w:t xml:space="preserve">combined </w:t>
      </w:r>
      <w:r>
        <w:t>elements described above</w:t>
      </w:r>
      <w:r w:rsidR="00F030E6">
        <w:t xml:space="preserve"> (Figure 5</w:t>
      </w:r>
      <w:r w:rsidR="00656F83">
        <w:t>)</w:t>
      </w:r>
      <w:r>
        <w:t xml:space="preserve">. </w:t>
      </w:r>
      <w:r w:rsidR="00C515C7">
        <w:t xml:space="preserve">The first included both a comparison rate prompt presented in </w:t>
      </w:r>
      <w:r>
        <w:t>dollar format and the FX margin. W</w:t>
      </w:r>
      <w:r w:rsidR="00C515C7">
        <w:t xml:space="preserve">e have labelled this </w:t>
      </w:r>
      <w:r>
        <w:t>calculator the ‘combination’ calculator</w:t>
      </w:r>
      <w:r w:rsidR="00C515C7">
        <w:t xml:space="preserve">. The second included both the prompt dollar and the FX margin, </w:t>
      </w:r>
      <w:r>
        <w:t xml:space="preserve">and </w:t>
      </w:r>
      <w:r w:rsidR="00C515C7">
        <w:t xml:space="preserve">also consistently subtracted fees. We labelled this </w:t>
      </w:r>
      <w:r>
        <w:t>calculator</w:t>
      </w:r>
      <w:r w:rsidR="00C515C7">
        <w:t xml:space="preserve"> ‘fee subtract</w:t>
      </w:r>
      <w:r>
        <w:t>ed</w:t>
      </w:r>
      <w:r w:rsidR="00C515C7">
        <w:t xml:space="preserve"> combination’. The combinations allow</w:t>
      </w:r>
      <w:r w:rsidR="009662E0">
        <w:t>ed</w:t>
      </w:r>
      <w:r w:rsidR="00C515C7">
        <w:t xml:space="preserve"> us to test whether some interventions work better in combination, or whether more information can overwhelm people and interfere with </w:t>
      </w:r>
      <w:r w:rsidR="00AE0867">
        <w:t>their ability to choose the best value offer</w:t>
      </w:r>
      <w:r w:rsidR="00C515C7">
        <w:t>.</w:t>
      </w:r>
    </w:p>
    <w:p w14:paraId="3E32C440" w14:textId="3AE7B6E9" w:rsidR="00014AB5" w:rsidRDefault="00B94A49" w:rsidP="00014AB5">
      <w:r w:rsidRPr="00B94A49">
        <w:rPr>
          <w:noProof/>
        </w:rPr>
        <w:drawing>
          <wp:inline distT="0" distB="0" distL="0" distR="0" wp14:anchorId="0EDCB9EA" wp14:editId="67F47ADF">
            <wp:extent cx="4743450" cy="3687376"/>
            <wp:effectExtent l="0" t="0" r="0" b="8890"/>
            <wp:docPr id="13" name="Picture 13" descr="Figure 4. Example calculators including the comparison rate prompts (dollar and percent).&#10;Image shows two calculators stacked on on top of the other. The comparison rate included at the bottom of the calculator, as a dollar amount and as a percentage of the entire transaction. Text reads:&#10;The comparison rate prompt summarised the difference between a theoretical no-fee transfer at the mid-market rate, and the proposed transfer. One type of calculator presented this information in dollars, and the other as a percent of the tot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60256" cy="3700440"/>
                    </a:xfrm>
                    <a:prstGeom prst="rect">
                      <a:avLst/>
                    </a:prstGeom>
                  </pic:spPr>
                </pic:pic>
              </a:graphicData>
            </a:graphic>
          </wp:inline>
        </w:drawing>
      </w:r>
    </w:p>
    <w:p w14:paraId="59C627A5" w14:textId="131C11BF" w:rsidR="00014AB5" w:rsidRDefault="00A1105D" w:rsidP="00A1105D">
      <w:pPr>
        <w:rPr>
          <w:b/>
        </w:rPr>
      </w:pPr>
      <w:r w:rsidRPr="00A1105D">
        <w:rPr>
          <w:b/>
        </w:rPr>
        <w:t xml:space="preserve">Figure </w:t>
      </w:r>
      <w:r>
        <w:rPr>
          <w:b/>
        </w:rPr>
        <w:t>4</w:t>
      </w:r>
      <w:r w:rsidRPr="00A1105D">
        <w:rPr>
          <w:b/>
        </w:rPr>
        <w:t>.</w:t>
      </w:r>
      <w:r>
        <w:t xml:space="preserve"> </w:t>
      </w:r>
      <w:r w:rsidR="00014AB5">
        <w:t>Example calculators including the comparison rate prompts (dollar and percent).</w:t>
      </w:r>
    </w:p>
    <w:p w14:paraId="06CBDB00" w14:textId="77777777" w:rsidR="00014AB5" w:rsidRPr="00014AB5" w:rsidRDefault="00014AB5" w:rsidP="00014AB5"/>
    <w:p w14:paraId="4983C97D" w14:textId="7541F5AE" w:rsidR="00B40706" w:rsidRDefault="003504F1" w:rsidP="00B40706">
      <w:pPr>
        <w:rPr>
          <w:b/>
        </w:rPr>
      </w:pPr>
      <w:r w:rsidRPr="003504F1">
        <w:rPr>
          <w:b/>
          <w:noProof/>
        </w:rPr>
        <w:drawing>
          <wp:inline distT="0" distB="0" distL="0" distR="0" wp14:anchorId="62300555" wp14:editId="73191E4D">
            <wp:extent cx="5476875" cy="3111590"/>
            <wp:effectExtent l="0" t="0" r="0" b="0"/>
            <wp:docPr id="14" name="Picture 14" descr="Figure 5. Example ‘combination’ and ‘fee subtracted combination’ calculators.&#10;Image shows two calculators side by side. The combination calculator shows that the FX margin is included, and that the comparison prompt is output. The fee subtracted calculator shows how this calculator includes both these aspects and consistently subtracted fees. Text reads:&#10;The 'combination' calculator included both the FX margin and the comparison prompt (in dollars).&#10;The 'fee subtracted combination' calculator included both these aspects, and consistently subtracted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5724" cy="3116617"/>
                    </a:xfrm>
                    <a:prstGeom prst="rect">
                      <a:avLst/>
                    </a:prstGeom>
                  </pic:spPr>
                </pic:pic>
              </a:graphicData>
            </a:graphic>
          </wp:inline>
        </w:drawing>
      </w:r>
    </w:p>
    <w:p w14:paraId="7E7B00A1" w14:textId="686986B6" w:rsidR="003504F1" w:rsidRPr="003504F1" w:rsidRDefault="00A1105D" w:rsidP="00A1105D">
      <w:r w:rsidRPr="00A1105D">
        <w:rPr>
          <w:b/>
        </w:rPr>
        <w:t>Figure 5.</w:t>
      </w:r>
      <w:r>
        <w:t xml:space="preserve"> </w:t>
      </w:r>
      <w:r w:rsidR="00ED768A">
        <w:t>Example</w:t>
      </w:r>
      <w:r w:rsidR="003504F1">
        <w:t xml:space="preserve"> ‘combination’ and ‘fee subtracted combination’ calculators.</w:t>
      </w:r>
    </w:p>
    <w:p w14:paraId="41FA34E0" w14:textId="4F2D10B1" w:rsidR="001E747F" w:rsidRDefault="001E747F" w:rsidP="001E747F">
      <w:pPr>
        <w:pStyle w:val="Heading3"/>
      </w:pPr>
      <w:r>
        <w:t>Survey experiments</w:t>
      </w:r>
    </w:p>
    <w:p w14:paraId="4D68991E" w14:textId="398B44C5" w:rsidR="00DB203B" w:rsidRDefault="00265E0D" w:rsidP="001E747F">
      <w:pPr>
        <w:pStyle w:val="SmallBlue"/>
      </w:pPr>
      <w:r w:rsidRPr="001E747F">
        <w:t>We ran survey experiments to test changes to online international money transfer (IMT) calculators</w:t>
      </w:r>
      <w:r w:rsidR="001E747F">
        <w:t xml:space="preserve">. </w:t>
      </w:r>
      <w:r w:rsidRPr="001E747F">
        <w:rPr>
          <w:b w:val="0"/>
          <w:color w:val="000000" w:themeColor="text1"/>
        </w:rPr>
        <w:t>A survey experiment is a type of randomised controlled trial (</w:t>
      </w:r>
      <w:r w:rsidR="00631FCA" w:rsidRPr="001E747F">
        <w:rPr>
          <w:b w:val="0"/>
          <w:color w:val="000000" w:themeColor="text1"/>
        </w:rPr>
        <w:t xml:space="preserve">RCT; </w:t>
      </w:r>
      <w:r w:rsidRPr="001E747F">
        <w:rPr>
          <w:b w:val="0"/>
          <w:color w:val="000000" w:themeColor="text1"/>
        </w:rPr>
        <w:t xml:space="preserve">see Box </w:t>
      </w:r>
      <w:r w:rsidR="00DB203B" w:rsidRPr="001E747F">
        <w:rPr>
          <w:b w:val="0"/>
          <w:color w:val="000000" w:themeColor="text1"/>
        </w:rPr>
        <w:t>2</w:t>
      </w:r>
      <w:r w:rsidRPr="001E747F">
        <w:rPr>
          <w:b w:val="0"/>
          <w:color w:val="000000" w:themeColor="text1"/>
        </w:rPr>
        <w:t xml:space="preserve">) which is embedded into an online survey. </w:t>
      </w:r>
      <w:r w:rsidR="00A26571" w:rsidRPr="001E747F">
        <w:rPr>
          <w:b w:val="0"/>
          <w:color w:val="000000" w:themeColor="text1"/>
        </w:rPr>
        <w:t xml:space="preserve">The </w:t>
      </w:r>
      <w:r w:rsidRPr="001E747F">
        <w:rPr>
          <w:b w:val="0"/>
          <w:color w:val="000000" w:themeColor="text1"/>
        </w:rPr>
        <w:t xml:space="preserve">purpose of the main survey experiment was to determine </w:t>
      </w:r>
      <w:r w:rsidR="00B0750D" w:rsidRPr="001E747F">
        <w:rPr>
          <w:b w:val="0"/>
          <w:color w:val="000000" w:themeColor="text1"/>
        </w:rPr>
        <w:t xml:space="preserve">which type of IMT calculator </w:t>
      </w:r>
      <w:r w:rsidRPr="001E747F">
        <w:rPr>
          <w:b w:val="0"/>
          <w:color w:val="000000" w:themeColor="text1"/>
        </w:rPr>
        <w:t xml:space="preserve">allowed consumers to identify the best value offering when comparing calculators. </w:t>
      </w:r>
      <w:r w:rsidR="00631FCA" w:rsidRPr="001E747F">
        <w:rPr>
          <w:b w:val="0"/>
          <w:color w:val="000000" w:themeColor="text1"/>
        </w:rPr>
        <w:t>We asked participants in the experiment to view several sets of calculators, and choose the one that provided the best value offer.</w:t>
      </w:r>
    </w:p>
    <w:p w14:paraId="40C6E3D9" w14:textId="77777777" w:rsidR="00DB203B" w:rsidRDefault="00DB203B" w:rsidP="001E747F">
      <w:pPr>
        <w:pStyle w:val="EmphasisPanelHeading"/>
      </w:pPr>
      <w:r>
        <w:t>Box 2: What is a Randomised Controlled Trial (RCT)?</w:t>
      </w:r>
    </w:p>
    <w:p w14:paraId="291FCE68" w14:textId="77777777" w:rsidR="00DB203B" w:rsidRDefault="00DB203B" w:rsidP="00DB203B">
      <w:pPr>
        <w:pStyle w:val="EmphasisPanelBody"/>
      </w:pPr>
      <w:r>
        <w:t>Well-designed randomised controlled trials are the best available method for determining whether policies, programs or services have a specific intended impact. RCTs work by separating people into two or more groups randomly, in a manner similar to flipping a coin. People in the ‘treatment’ groups are assigned to receive an intervention while people in the ‘control’ group are not. The control group receives either the business as usual experience or nothing. On average, the difference in outcomes between people in the groups reflects the effect caused by the intervention.</w:t>
      </w:r>
    </w:p>
    <w:p w14:paraId="0D092608" w14:textId="734A8342" w:rsidR="00A26571" w:rsidRDefault="00A26571" w:rsidP="00A26571">
      <w:r>
        <w:t xml:space="preserve">A third-party provider recruited </w:t>
      </w:r>
      <w:r w:rsidR="00603712">
        <w:t>5,673</w:t>
      </w:r>
      <w:r>
        <w:t xml:space="preserve"> Australian adults to participate</w:t>
      </w:r>
      <w:r w:rsidR="00B0750D">
        <w:t xml:space="preserve"> in the survey</w:t>
      </w:r>
      <w:r w:rsidR="00631FCA">
        <w:t xml:space="preserve"> experiment. R</w:t>
      </w:r>
      <w:r>
        <w:t>ecruitment was targeted to ensure the sample had an even mix of previous experience using IMTs:</w:t>
      </w:r>
      <w:r w:rsidRPr="00A26571">
        <w:t xml:space="preserve"> </w:t>
      </w:r>
      <w:r>
        <w:t>One third of our participants had not used IMTs in the past 2 years, one third had used IMTs infrequently, an</w:t>
      </w:r>
      <w:r w:rsidR="00B0750D">
        <w:t>d one third used it frequently.</w:t>
      </w:r>
      <w:r>
        <w:rPr>
          <w:rStyle w:val="FootnoteReference"/>
        </w:rPr>
        <w:footnoteReference w:id="4"/>
      </w:r>
      <w:r>
        <w:t xml:space="preserve"> </w:t>
      </w:r>
      <w:r w:rsidR="00B0750D">
        <w:t>After completing initial demographic questions, s</w:t>
      </w:r>
      <w:r>
        <w:t xml:space="preserve">urvey participants were then randomly assigned to separate groups, and each group completed </w:t>
      </w:r>
      <w:r w:rsidR="001B3006">
        <w:t>5</w:t>
      </w:r>
      <w:r>
        <w:t xml:space="preserve"> comparison task</w:t>
      </w:r>
      <w:r w:rsidR="001B3006">
        <w:t>s</w:t>
      </w:r>
      <w:r>
        <w:t xml:space="preserve"> using one of the 8 types of calculators summarised above (one of 7 new calculators, or ‘business-as-usual’).</w:t>
      </w:r>
      <w:r w:rsidRPr="00FB1852">
        <w:t xml:space="preserve">In each task, participants were </w:t>
      </w:r>
      <w:r w:rsidR="006C3449">
        <w:t>shown</w:t>
      </w:r>
      <w:r w:rsidRPr="00FB1852">
        <w:t xml:space="preserve"> four calculators </w:t>
      </w:r>
      <w:r w:rsidR="00DB203B">
        <w:t xml:space="preserve">of the same type, </w:t>
      </w:r>
      <w:r w:rsidRPr="00FB1852">
        <w:t xml:space="preserve">and asked to select the one that represented the best value (see Figure </w:t>
      </w:r>
      <w:r>
        <w:t>6</w:t>
      </w:r>
      <w:r w:rsidRPr="00FB1852">
        <w:t>).</w:t>
      </w:r>
      <w:r w:rsidR="00B375D5">
        <w:rPr>
          <w:rStyle w:val="FootnoteReference"/>
        </w:rPr>
        <w:footnoteReference w:id="5"/>
      </w:r>
      <w:r w:rsidRPr="00FB1852">
        <w:t xml:space="preserve"> As there was a correct answer for each task, every participant was given a score out of 5</w:t>
      </w:r>
      <w:r w:rsidR="00DB203B">
        <w:t>, expressed as a proportion</w:t>
      </w:r>
      <w:r>
        <w:t>.</w:t>
      </w:r>
      <w:r w:rsidR="00B0750D">
        <w:rPr>
          <w:rStyle w:val="FootnoteReference"/>
        </w:rPr>
        <w:footnoteReference w:id="6"/>
      </w:r>
      <w:r w:rsidR="00371B83">
        <w:t xml:space="preserve"> We then compared the average scores in each group, to determine which calculator type resulted in participants </w:t>
      </w:r>
      <w:r w:rsidR="00603712" w:rsidRPr="00A92050">
        <w:rPr>
          <w:noProof/>
        </w:rPr>
        <w:drawing>
          <wp:anchor distT="0" distB="0" distL="114300" distR="114300" simplePos="0" relativeHeight="251658241" behindDoc="0" locked="0" layoutInCell="1" allowOverlap="1" wp14:anchorId="1A2A39D7" wp14:editId="77EBCA55">
            <wp:simplePos x="0" y="0"/>
            <wp:positionH relativeFrom="margin">
              <wp:align>center</wp:align>
            </wp:positionH>
            <wp:positionV relativeFrom="paragraph">
              <wp:posOffset>1160780</wp:posOffset>
            </wp:positionV>
            <wp:extent cx="3276600" cy="4371340"/>
            <wp:effectExtent l="19050" t="19050" r="19050" b="10160"/>
            <wp:wrapTopAndBottom/>
            <wp:docPr id="15" name="Picture 15" descr="Figure 6. Example set of calculators in the comparison task. Participants were asked to select the calculator that provided the best value offer (or respond ‘don’t know’). This example includes the FX margin and mixed fee methodology. The best offer is provided by the bottom right calculator: for every dollar spent by the sender, the recipient gets $0.69.&#10;Image shows four calculators of the same type, with variation in the total paid, exchange rate margin, and amount participant recieves." title="Image of the 4 different calculators shown to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276600" cy="437134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371B83">
        <w:t>choosing the best offer.</w:t>
      </w:r>
    </w:p>
    <w:p w14:paraId="54511914" w14:textId="4CEB4C2B" w:rsidR="00A92050" w:rsidRPr="00A92050" w:rsidRDefault="00A1105D" w:rsidP="00A1105D">
      <w:pPr>
        <w:rPr>
          <w:b/>
        </w:rPr>
      </w:pPr>
      <w:r w:rsidRPr="00A1105D">
        <w:rPr>
          <w:b/>
        </w:rPr>
        <w:t>Figure 6.</w:t>
      </w:r>
      <w:r>
        <w:t xml:space="preserve"> </w:t>
      </w:r>
      <w:r w:rsidR="00A92050" w:rsidRPr="00A92050">
        <w:t>Example set of calculators in the comparison task. Participants were asked to select the calculator that provided the best value offer (or respond ‘don’t know’). This example includes the FX margin and mixed fe</w:t>
      </w:r>
      <w:r w:rsidR="00603712">
        <w:t xml:space="preserve">e methodology. </w:t>
      </w:r>
      <w:r w:rsidR="00A92050" w:rsidRPr="00A92050">
        <w:t xml:space="preserve">The best offer is provided by the </w:t>
      </w:r>
      <w:r w:rsidR="00603712">
        <w:t xml:space="preserve">bottom right </w:t>
      </w:r>
      <w:r w:rsidR="00492372">
        <w:t xml:space="preserve">calculator: for every dollar spent by the sender, the recipient gets </w:t>
      </w:r>
      <w:r w:rsidR="00603712">
        <w:t>$0.69</w:t>
      </w:r>
      <w:r w:rsidR="00492372">
        <w:t>.</w:t>
      </w:r>
    </w:p>
    <w:p w14:paraId="3341A2C2" w14:textId="77777777" w:rsidR="00A92050" w:rsidRPr="00A92050" w:rsidRDefault="00A92050" w:rsidP="00A92050"/>
    <w:p w14:paraId="5CB4F997" w14:textId="43520A74" w:rsidR="002E635D" w:rsidRDefault="002E635D" w:rsidP="00DB203B">
      <w:r>
        <w:rPr>
          <w:noProof/>
        </w:rPr>
        <w:drawing>
          <wp:anchor distT="0" distB="36195" distL="114300" distR="114300" simplePos="0" relativeHeight="251658245" behindDoc="0" locked="0" layoutInCell="1" allowOverlap="1" wp14:anchorId="27AEF7A3" wp14:editId="45026D54">
            <wp:simplePos x="0" y="0"/>
            <wp:positionH relativeFrom="margin">
              <wp:align>center</wp:align>
            </wp:positionH>
            <wp:positionV relativeFrom="paragraph">
              <wp:posOffset>1106061</wp:posOffset>
            </wp:positionV>
            <wp:extent cx="2304000" cy="3456000"/>
            <wp:effectExtent l="0" t="0" r="1270" b="0"/>
            <wp:wrapTopAndBottom/>
            <wp:docPr id="12" name="Picture 12" descr="Figure 7. The very poor value offer used in the secondary survey experiment. The elements of the calculator (e.g., fee methodology, exchange rate margin, comparison prompt) depended on which group the participant was assigned to.&#10;Image shows a single calculator with information including the total paid, exchange rate margin, and amount participant reci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4000" cy="3456000"/>
                    </a:xfrm>
                    <a:prstGeom prst="rect">
                      <a:avLst/>
                    </a:prstGeom>
                    <a:noFill/>
                  </pic:spPr>
                </pic:pic>
              </a:graphicData>
            </a:graphic>
            <wp14:sizeRelH relativeFrom="margin">
              <wp14:pctWidth>0</wp14:pctWidth>
            </wp14:sizeRelH>
            <wp14:sizeRelV relativeFrom="margin">
              <wp14:pctHeight>0</wp14:pctHeight>
            </wp14:sizeRelV>
          </wp:anchor>
        </w:drawing>
      </w:r>
      <w:r w:rsidR="00E50652">
        <w:t xml:space="preserve">We also ran a secondary survey experiment to assess the impact of the different types of calculators on consumers’ perceptions of value, and their intentions to compare offers across multiple providers. In this secondary survey experiment, we </w:t>
      </w:r>
      <w:r w:rsidR="006C3449">
        <w:t>showed</w:t>
      </w:r>
      <w:r w:rsidR="00E50652">
        <w:t xml:space="preserve"> </w:t>
      </w:r>
      <w:r w:rsidR="00DB203B">
        <w:t xml:space="preserve">participants </w:t>
      </w:r>
      <w:r w:rsidR="00E50652">
        <w:t>a single calculator with a hypothetical transfer of $2000 from AUD to USD</w:t>
      </w:r>
      <w:r>
        <w:t xml:space="preserve"> (Figure 7)</w:t>
      </w:r>
      <w:r w:rsidR="00E50652">
        <w:t xml:space="preserve">. The offer that the calculator presented was designed to be </w:t>
      </w:r>
      <w:r w:rsidR="0034064B">
        <w:t xml:space="preserve">very </w:t>
      </w:r>
      <w:r w:rsidR="00E50652">
        <w:t>poor value.</w:t>
      </w:r>
    </w:p>
    <w:p w14:paraId="1C3F3627" w14:textId="5F993D26" w:rsidR="002E635D" w:rsidRDefault="00A1105D" w:rsidP="00A1105D">
      <w:r w:rsidRPr="00A1105D">
        <w:rPr>
          <w:b/>
        </w:rPr>
        <w:t>Figure 7.</w:t>
      </w:r>
      <w:r>
        <w:t xml:space="preserve"> </w:t>
      </w:r>
      <w:r w:rsidR="002E635D">
        <w:t>The very poor value offer used in the secondary survey experiment. The elements of the calculator (e.g., fee methodology, exchange rate margin, comparison prompt) depended on which group the participant was assigned to.</w:t>
      </w:r>
    </w:p>
    <w:p w14:paraId="2DF139E9" w14:textId="045DC445" w:rsidR="002E635D" w:rsidRDefault="00E50652" w:rsidP="00DB203B">
      <w:r>
        <w:t xml:space="preserve">Participants were asked if they thought that the offer represented good or poor value, and whether they would seek another provider with which to compare. </w:t>
      </w:r>
      <w:r w:rsidR="00265E0D">
        <w:t xml:space="preserve">We also </w:t>
      </w:r>
      <w:r w:rsidR="00050DAE">
        <w:t>asked</w:t>
      </w:r>
      <w:r w:rsidR="00265E0D">
        <w:t xml:space="preserve"> </w:t>
      </w:r>
      <w:r w:rsidR="00050DAE">
        <w:t>participants for their</w:t>
      </w:r>
      <w:r w:rsidR="00265E0D">
        <w:t xml:space="preserve"> confidence in their judgement of value</w:t>
      </w:r>
      <w:r w:rsidR="00050DAE">
        <w:t>, and which</w:t>
      </w:r>
      <w:r w:rsidR="00265E0D">
        <w:t xml:space="preserve"> aspects of the calculators participants found useful, and which aspects were confusing.</w:t>
      </w:r>
      <w:r w:rsidR="00DB203B">
        <w:t xml:space="preserve"> For each of the questions, we compared the groups to determine which type of calculator resulted in the most correct answers, the highest likelihood of comparing offers, and the highest confidence. </w:t>
      </w:r>
    </w:p>
    <w:p w14:paraId="5B33035D" w14:textId="77777777" w:rsidR="001B0367" w:rsidRDefault="001B0367">
      <w:pPr>
        <w:spacing w:after="0" w:line="240" w:lineRule="auto"/>
        <w:rPr>
          <w:rFonts w:asciiTheme="majorHAnsi" w:hAnsiTheme="majorHAnsi"/>
          <w:b/>
          <w:sz w:val="72"/>
          <w:szCs w:val="44"/>
        </w:rPr>
      </w:pPr>
      <w:r>
        <w:br w:type="page"/>
      </w:r>
    </w:p>
    <w:p w14:paraId="16CA27E8" w14:textId="00A1D347" w:rsidR="00081366" w:rsidRPr="0073375B" w:rsidRDefault="00870C59" w:rsidP="00191A5D">
      <w:pPr>
        <w:pStyle w:val="Heading2"/>
      </w:pPr>
      <w:bookmarkStart w:id="5" w:name="_Toc169766623"/>
      <w:r>
        <w:t>What we found</w:t>
      </w:r>
      <w:bookmarkEnd w:id="5"/>
    </w:p>
    <w:p w14:paraId="545E1452" w14:textId="635AA0E7" w:rsidR="00115BC6" w:rsidRDefault="00115BC6" w:rsidP="001E747F">
      <w:pPr>
        <w:pStyle w:val="EmphasisPanelHeading"/>
      </w:pPr>
      <w:r>
        <w:t>In short…</w:t>
      </w:r>
    </w:p>
    <w:p w14:paraId="08120499" w14:textId="5494CB05" w:rsidR="00870C59" w:rsidRDefault="00870C59" w:rsidP="00870C59">
      <w:pPr>
        <w:pStyle w:val="EmphasisPanelBody"/>
      </w:pPr>
      <w:r w:rsidRPr="00870C59">
        <w:t>Consistently subtracting fees increase</w:t>
      </w:r>
      <w:r w:rsidR="00525750">
        <w:t>d</w:t>
      </w:r>
      <w:r w:rsidRPr="00870C59">
        <w:t xml:space="preserve"> participants’ ability to </w:t>
      </w:r>
      <w:r w:rsidR="00525750">
        <w:t>choose the best</w:t>
      </w:r>
      <w:r w:rsidRPr="00870C59">
        <w:t xml:space="preserve"> value when comparing offers. This was not affected by </w:t>
      </w:r>
      <w:r>
        <w:t xml:space="preserve">whether the calculator also included </w:t>
      </w:r>
      <w:r w:rsidRPr="00870C59">
        <w:t xml:space="preserve">the FX margin or a comparison prompt. When only a single offer was presented, </w:t>
      </w:r>
      <w:r>
        <w:t>p</w:t>
      </w:r>
      <w:r w:rsidR="00525750">
        <w:t>articipants</w:t>
      </w:r>
      <w:r>
        <w:t xml:space="preserve"> who saw </w:t>
      </w:r>
      <w:r w:rsidRPr="00870C59">
        <w:t xml:space="preserve">a comparison prompt </w:t>
      </w:r>
      <w:r w:rsidR="00401CBD">
        <w:t>were able to more accurately identify</w:t>
      </w:r>
      <w:r w:rsidRPr="00870C59">
        <w:t xml:space="preserve"> a poor deal. Based on t</w:t>
      </w:r>
      <w:r w:rsidR="00641675">
        <w:t>hese findings, subtracting fees</w:t>
      </w:r>
      <w:r w:rsidRPr="00870C59">
        <w:t xml:space="preserve"> and adding a comparison prompt would result in the highest performance </w:t>
      </w:r>
      <w:r w:rsidR="00641675">
        <w:t>both when consumers are considering a single offer, and when they are comparing offers</w:t>
      </w:r>
      <w:r w:rsidRPr="00870C59">
        <w:t>.</w:t>
      </w:r>
    </w:p>
    <w:p w14:paraId="7B3B4703" w14:textId="188C74D3" w:rsidR="00FF306A" w:rsidRDefault="00FF306A" w:rsidP="00E467C7">
      <w:pPr>
        <w:pStyle w:val="Heading3"/>
      </w:pPr>
      <w:r>
        <w:t xml:space="preserve">Primary </w:t>
      </w:r>
      <w:r w:rsidR="001E747F">
        <w:t>outcome: comparison task</w:t>
      </w:r>
    </w:p>
    <w:p w14:paraId="786CD9D2" w14:textId="4F98A887" w:rsidR="00E467C7" w:rsidRDefault="00E467C7" w:rsidP="00A1105D">
      <w:pPr>
        <w:pStyle w:val="SmallBlue"/>
      </w:pPr>
      <w:r>
        <w:t xml:space="preserve">Consistently subtracting fees made </w:t>
      </w:r>
      <w:r w:rsidR="003E4CD0">
        <w:t>the comparison task</w:t>
      </w:r>
      <w:r w:rsidR="00FB146F">
        <w:t xml:space="preserve"> easy</w:t>
      </w:r>
      <w:r w:rsidR="007339DD">
        <w:t>.</w:t>
      </w:r>
    </w:p>
    <w:p w14:paraId="516D69C2" w14:textId="49AFA91C" w:rsidR="00870C59" w:rsidRDefault="00870C59" w:rsidP="002C4830">
      <w:pPr>
        <w:spacing w:after="240"/>
        <w:rPr>
          <w:noProof/>
        </w:rPr>
      </w:pPr>
      <w:r w:rsidRPr="00870C59">
        <w:t xml:space="preserve">Participants were </w:t>
      </w:r>
      <w:r w:rsidR="00115BC6">
        <w:t xml:space="preserve">asked to complete </w:t>
      </w:r>
      <w:r w:rsidRPr="00870C59">
        <w:t>5 comparison tasks</w:t>
      </w:r>
      <w:r w:rsidR="00AC4FFD">
        <w:t xml:space="preserve">, </w:t>
      </w:r>
      <w:r w:rsidRPr="00870C59">
        <w:t xml:space="preserve">each with </w:t>
      </w:r>
      <w:r w:rsidR="00AC4FFD">
        <w:t>4</w:t>
      </w:r>
      <w:r w:rsidRPr="00870C59">
        <w:t xml:space="preserve"> calculators</w:t>
      </w:r>
      <w:r w:rsidR="00AC4FFD">
        <w:t xml:space="preserve"> (see Figure </w:t>
      </w:r>
      <w:r w:rsidR="00222593">
        <w:t>6</w:t>
      </w:r>
      <w:r w:rsidR="00AC4FFD">
        <w:t>)</w:t>
      </w:r>
      <w:r w:rsidRPr="00870C59">
        <w:t xml:space="preserve">. They were asked to select the calculator that represented the best value in each task, and were given a score out of </w:t>
      </w:r>
      <w:r w:rsidR="00AC4FFD">
        <w:t>5</w:t>
      </w:r>
      <w:r w:rsidRPr="00870C59">
        <w:t>.</w:t>
      </w:r>
      <w:r w:rsidR="00B375D5" w:rsidRPr="00870C59">
        <w:t xml:space="preserve"> </w:t>
      </w:r>
      <w:r w:rsidRPr="00870C59">
        <w:t>In this section, we present ‘accuracy’ as the percentage of correct answers among the group randomised to see a given calculator.</w:t>
      </w:r>
      <w:r w:rsidR="002C4830" w:rsidRPr="002C4830">
        <w:rPr>
          <w:noProof/>
        </w:rPr>
        <w:t xml:space="preserve"> </w:t>
      </w:r>
    </w:p>
    <w:p w14:paraId="7B306190" w14:textId="2C966B1E" w:rsidR="00704D5A" w:rsidRDefault="00704D5A" w:rsidP="002C4830">
      <w:pPr>
        <w:spacing w:after="240"/>
      </w:pPr>
      <w:r>
        <w:rPr>
          <w:noProof/>
        </w:rPr>
        <w:drawing>
          <wp:inline distT="0" distB="0" distL="0" distR="0" wp14:anchorId="3EC5692D" wp14:editId="7C1894D7">
            <wp:extent cx="5601600" cy="3524400"/>
            <wp:effectExtent l="0" t="0" r="0" b="0"/>
            <wp:docPr id="17" name="Picture 17" descr="Figure 8. Participants in the ‘fee subtracted’ and ‘fee subtracted combination’ groups were most easily able to select the best value offer in the comparison task.&#10;The image shows a graph comparing groups on their mean accuracy.&#10;The fee subtracted and fee subtracted combination groups were both highly statistically significantly different from BAU.&#10;The fee subtracted combination group had 86% correct. Fee subtracted group had 84.6% accuracy.&#10;Four other groups were also statistically different from BAU, but with much lower accuracy. The prompt per cent group had 55.7% accuracy. The prompt dollar group had 54.2% accuracy. The combination group had 52.9% accuracy and the fee added group had 49.9% accuracy.&#10;The FX margin group was not statistically different from BAU with 47.6% accuracy. The BAU group had 46.9% accu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1600" cy="3524400"/>
                    </a:xfrm>
                    <a:prstGeom prst="rect">
                      <a:avLst/>
                    </a:prstGeom>
                    <a:noFill/>
                  </pic:spPr>
                </pic:pic>
              </a:graphicData>
            </a:graphic>
          </wp:inline>
        </w:drawing>
      </w:r>
    </w:p>
    <w:p w14:paraId="7C46312F" w14:textId="51A44124" w:rsidR="002C4830" w:rsidRDefault="00A1105D" w:rsidP="00A1105D">
      <w:r>
        <w:rPr>
          <w:b/>
        </w:rPr>
        <w:t>Figure 8</w:t>
      </w:r>
      <w:r w:rsidRPr="00A1105D">
        <w:rPr>
          <w:b/>
        </w:rPr>
        <w:t>.</w:t>
      </w:r>
      <w:r>
        <w:t xml:space="preserve"> </w:t>
      </w:r>
      <w:r w:rsidR="00C70545">
        <w:t>Participants in the ‘fee subtracted’ and ‘fee subtracted combination’ groups were most easily able to select the best value offer in the comparison task.</w:t>
      </w:r>
    </w:p>
    <w:p w14:paraId="00B7B092" w14:textId="028343A4" w:rsidR="00071F4A" w:rsidRDefault="00870C59" w:rsidP="00071F4A">
      <w:r>
        <w:t>When asked to select the best deal, the group that saw the business as usual (BAU) calculator had the lowest</w:t>
      </w:r>
      <w:r w:rsidR="00FE415C">
        <w:t xml:space="preserve"> accuracy of any group (46.9</w:t>
      </w:r>
      <w:r w:rsidR="00FE415C" w:rsidRPr="00AC4FFD">
        <w:t xml:space="preserve">%; </w:t>
      </w:r>
      <w:r w:rsidRPr="00AC4FFD">
        <w:t xml:space="preserve">Figure </w:t>
      </w:r>
      <w:r w:rsidR="00C972ED">
        <w:t>8</w:t>
      </w:r>
      <w:r w:rsidRPr="00AC4FFD">
        <w:t>).</w:t>
      </w:r>
      <w:r w:rsidR="00E040BB" w:rsidRPr="00AC4FFD">
        <w:t xml:space="preserve"> </w:t>
      </w:r>
      <w:r w:rsidRPr="00AC4FFD">
        <w:t>In contrast to the BAU group, accuracy was very high among the group that saw calculators</w:t>
      </w:r>
      <w:r>
        <w:t xml:space="preserve"> with fees consistently subtracted (84.6%). This difference of 37.67 percentage points was statica</w:t>
      </w:r>
      <w:r w:rsidR="00303BE6">
        <w:t>lly significant</w:t>
      </w:r>
      <w:r w:rsidR="00FE415C">
        <w:t>.</w:t>
      </w:r>
      <w:r w:rsidR="008D5113">
        <w:t xml:space="preserve"> </w:t>
      </w:r>
      <w:r>
        <w:t xml:space="preserve">The accuracy among those </w:t>
      </w:r>
      <w:r w:rsidR="00303BE6">
        <w:t>who</w:t>
      </w:r>
      <w:r>
        <w:t xml:space="preserve"> saw calculators with fees consistently added was also hi</w:t>
      </w:r>
      <w:r w:rsidR="00303BE6">
        <w:t>gher th</w:t>
      </w:r>
      <w:r w:rsidR="00FE415C">
        <w:t>an the BAU group,</w:t>
      </w:r>
      <w:r>
        <w:t xml:space="preserve"> however, adding fees did not improve accur</w:t>
      </w:r>
      <w:r w:rsidR="00303BE6">
        <w:t>acy as much as subtracting fees</w:t>
      </w:r>
      <w:r>
        <w:t>.</w:t>
      </w:r>
      <w:r w:rsidR="00911A60">
        <w:t xml:space="preserve"> Accuracy</w:t>
      </w:r>
      <w:r>
        <w:t xml:space="preserve"> was </w:t>
      </w:r>
      <w:r w:rsidR="00911A60">
        <w:t xml:space="preserve">also </w:t>
      </w:r>
      <w:r>
        <w:t xml:space="preserve">higher in the fee subtracted group when </w:t>
      </w:r>
      <w:r w:rsidR="00FE415C">
        <w:t xml:space="preserve">compared to the prompt per cent, prompt dollar, </w:t>
      </w:r>
      <w:r w:rsidR="00303BE6">
        <w:t>and FX margin</w:t>
      </w:r>
      <w:r w:rsidR="00FE415C">
        <w:t xml:space="preserve"> </w:t>
      </w:r>
      <w:r w:rsidR="00303BE6">
        <w:t>groups. A</w:t>
      </w:r>
      <w:r>
        <w:t>ll of these comparis</w:t>
      </w:r>
      <w:r w:rsidR="00303BE6">
        <w:t>ons were stati</w:t>
      </w:r>
      <w:r w:rsidR="00BD49F2">
        <w:t>sti</w:t>
      </w:r>
      <w:r w:rsidR="00303BE6">
        <w:t>cally significant</w:t>
      </w:r>
      <w:r>
        <w:t>.</w:t>
      </w:r>
      <w:r w:rsidR="00145444">
        <w:rPr>
          <w:rStyle w:val="FootnoteReference"/>
        </w:rPr>
        <w:footnoteReference w:id="7"/>
      </w:r>
      <w:r w:rsidR="00071F4A">
        <w:t xml:space="preserve"> The only calculator that did not improve accuracy compared to the BAU calculator was the calculator with the FX margin added (47.6% vs 46.9%, which was not statistically significant).</w:t>
      </w:r>
    </w:p>
    <w:p w14:paraId="6C513DB5" w14:textId="7E127A99" w:rsidR="00FB146F" w:rsidRDefault="00FB146F" w:rsidP="00A1105D">
      <w:pPr>
        <w:pStyle w:val="SmallBlue"/>
      </w:pPr>
      <w:r>
        <w:t>When fees are consistently subtracted, a common heuristic accurately guides people to the best value offer</w:t>
      </w:r>
      <w:r w:rsidR="007339DD">
        <w:t>.</w:t>
      </w:r>
    </w:p>
    <w:p w14:paraId="3A57F308" w14:textId="3A416E72" w:rsidR="00FB146F" w:rsidRDefault="00FB146F" w:rsidP="00FB146F">
      <w:r>
        <w:t>To understand how people were interpreting the calculators and making judgments about the offers, we looked more broadly at the pattern of participants’ responses to the comparison task. In all groups, the most frequently selected calculators were those that had the highest amount in the ‘recipient gets’ box. They were likely using the heuristic that ‘the best value offer is the one where the recipient gets the most money</w:t>
      </w:r>
      <w:r w:rsidR="009F1051">
        <w:t>.</w:t>
      </w:r>
      <w:r>
        <w:t>’ Because this heuristic fails to consider the cost of the transaction to the sender, it can lead to incorrect judgments of value</w:t>
      </w:r>
      <w:r w:rsidR="009F1051">
        <w:t xml:space="preserve"> (see Box 1 for an example)</w:t>
      </w:r>
      <w:r>
        <w:t>. However, in this study</w:t>
      </w:r>
      <w:r w:rsidR="009F1051">
        <w:t>,</w:t>
      </w:r>
      <w:r>
        <w:t xml:space="preserve"> when fees were consistently subtracted, the best offer calculator (i.e., the correct answer) was the one where the recipient got the highest amount. This helps explain why the fee subtracted groups performed so well: The common</w:t>
      </w:r>
      <w:r w:rsidR="00C972ED">
        <w:t xml:space="preserve"> heuristic for good value aligned</w:t>
      </w:r>
      <w:r>
        <w:t xml:space="preserve"> with what is actually good value under those conditions.</w:t>
      </w:r>
    </w:p>
    <w:p w14:paraId="2D89306B" w14:textId="7F4EDC54" w:rsidR="00303BE6" w:rsidRDefault="00303BE6" w:rsidP="001E747F">
      <w:pPr>
        <w:pStyle w:val="SmallBlue"/>
      </w:pPr>
      <w:r>
        <w:t>Providing prompts also improved accuracy</w:t>
      </w:r>
      <w:r w:rsidR="00071F4A">
        <w:t>, but combining interventions had no additional impact</w:t>
      </w:r>
      <w:r w:rsidR="007339DD">
        <w:t>.</w:t>
      </w:r>
    </w:p>
    <w:p w14:paraId="7D2877D7" w14:textId="087B83BE" w:rsidR="00303BE6" w:rsidRDefault="00303BE6" w:rsidP="00303BE6">
      <w:r>
        <w:t xml:space="preserve">The groups that saw a comparison rate prompt presented as a percentage </w:t>
      </w:r>
      <w:r w:rsidR="00071F4A">
        <w:t>or</w:t>
      </w:r>
      <w:r>
        <w:t xml:space="preserve"> as a dollar value were </w:t>
      </w:r>
      <w:r w:rsidR="00C972ED">
        <w:t xml:space="preserve">also </w:t>
      </w:r>
      <w:r>
        <w:t xml:space="preserve">more accurate than the BAU group. However, there was no difference between presenting the prompt as a percentage </w:t>
      </w:r>
      <w:r w:rsidR="00071F4A">
        <w:t>or</w:t>
      </w:r>
      <w:r>
        <w:t xml:space="preserve"> presenting it as a dollar value</w:t>
      </w:r>
      <w:r w:rsidR="00B96978">
        <w:t xml:space="preserve"> (54.2% vs 55.7%, not statistically significant)</w:t>
      </w:r>
      <w:r>
        <w:t>.</w:t>
      </w:r>
      <w:r w:rsidR="004C608C">
        <w:t xml:space="preserve"> </w:t>
      </w:r>
      <w:r w:rsidR="00071F4A">
        <w:t xml:space="preserve">Nor did the combined approaches </w:t>
      </w:r>
      <w:r w:rsidR="00B96978">
        <w:t>cause gains in accuracy over-and-above the best performing constituent group</w:t>
      </w:r>
      <w:r w:rsidR="00071F4A">
        <w:t>: The fee subtracted combination group performed substantially better than</w:t>
      </w:r>
      <w:r w:rsidR="0061599A">
        <w:t xml:space="preserve"> the FX margin and the prompt dollar conditions</w:t>
      </w:r>
      <w:r w:rsidR="00071F4A">
        <w:t xml:space="preserve">, but only one percentage point better than the group </w:t>
      </w:r>
      <w:r w:rsidR="00B96978">
        <w:t xml:space="preserve">that </w:t>
      </w:r>
      <w:r w:rsidR="00071F4A">
        <w:t xml:space="preserve">saw the calculators with </w:t>
      </w:r>
      <w:r w:rsidR="00071F4A" w:rsidRPr="00B96978">
        <w:rPr>
          <w:i/>
        </w:rPr>
        <w:t>only</w:t>
      </w:r>
      <w:r w:rsidR="00071F4A">
        <w:t xml:space="preserve"> the fee subtracted (no additional prompt or FX margin), and this difference was not statistically significant.</w:t>
      </w:r>
      <w:r w:rsidR="00B96978">
        <w:t xml:space="preserve"> Similarly, the group that combined the FX margin and prompt dollar did not outperform the prompt dollar alone (52.9% vs 54.2%, not statistically significant). While the combinations did not increase accuracy, nor did we observe any </w:t>
      </w:r>
      <w:r w:rsidR="00B96978">
        <w:rPr>
          <w:i/>
        </w:rPr>
        <w:t xml:space="preserve">decreases </w:t>
      </w:r>
      <w:r w:rsidR="00B96978">
        <w:t xml:space="preserve">in accuracy in these groups. </w:t>
      </w:r>
      <w:r>
        <w:t xml:space="preserve">This means that while extra information did not improve accuracy, neither did </w:t>
      </w:r>
      <w:r w:rsidR="00C972ED">
        <w:t>adding</w:t>
      </w:r>
      <w:r>
        <w:t xml:space="preserve"> this information cause overload.</w:t>
      </w:r>
    </w:p>
    <w:p w14:paraId="0579CEF8" w14:textId="00DB1ED4" w:rsidR="00FF306A" w:rsidRDefault="00FF306A" w:rsidP="00FF306A">
      <w:pPr>
        <w:pStyle w:val="Heading3"/>
      </w:pPr>
      <w:r>
        <w:t>Secondary outcome</w:t>
      </w:r>
      <w:r w:rsidR="001E747F">
        <w:t>s: comparison task</w:t>
      </w:r>
    </w:p>
    <w:p w14:paraId="304452EE" w14:textId="45ACCA3C" w:rsidR="00303BE6" w:rsidRDefault="00303BE6" w:rsidP="001E747F">
      <w:pPr>
        <w:pStyle w:val="SmallBlue"/>
      </w:pPr>
      <w:r>
        <w:t>Consistently subtracting fees also made people more confident</w:t>
      </w:r>
      <w:r w:rsidR="007339DD">
        <w:t>.</w:t>
      </w:r>
    </w:p>
    <w:p w14:paraId="406DE666" w14:textId="028F3422" w:rsidR="00303BE6" w:rsidRDefault="004C608C" w:rsidP="00303BE6">
      <w:r>
        <w:t>T</w:t>
      </w:r>
      <w:r w:rsidR="00303BE6">
        <w:t xml:space="preserve">he two groups with fees subtracted both had higher ratings </w:t>
      </w:r>
      <w:r w:rsidR="002C4830">
        <w:t>of</w:t>
      </w:r>
      <w:r w:rsidR="00303BE6">
        <w:t xml:space="preserve"> confidence than other </w:t>
      </w:r>
      <w:r w:rsidR="002C4830">
        <w:t>groups.</w:t>
      </w:r>
      <w:r w:rsidR="00303BE6">
        <w:t xml:space="preserve"> By consistently subtracting fees we increased the proportion of people who rated themselves as ‘very confident’ in their judgements by about 10 percentage points compared to BAU (Figure </w:t>
      </w:r>
      <w:r w:rsidR="00C972ED">
        <w:t>9</w:t>
      </w:r>
      <w:r w:rsidR="00303BE6">
        <w:t>).</w:t>
      </w:r>
      <w:r>
        <w:t xml:space="preserve"> This confidence appears well calibrated, as these two groups were also the most accurate at selecting the best value offer (see Figure </w:t>
      </w:r>
      <w:r w:rsidR="00C972ED">
        <w:t>8</w:t>
      </w:r>
      <w:r>
        <w:t>).</w:t>
      </w:r>
    </w:p>
    <w:p w14:paraId="444D2A13" w14:textId="54B9FC94" w:rsidR="00303BE6" w:rsidRDefault="00704D5A" w:rsidP="00303BE6">
      <w:r>
        <w:rPr>
          <w:noProof/>
        </w:rPr>
        <w:drawing>
          <wp:inline distT="0" distB="0" distL="0" distR="0" wp14:anchorId="62028D59" wp14:editId="632E85FA">
            <wp:extent cx="5601600" cy="3524400"/>
            <wp:effectExtent l="0" t="0" r="0" b="0"/>
            <wp:docPr id="18" name="Picture 18" descr="Figure 9. Participants in the ‘fee subtracted’ and ‘fee subtracted combination’ groups were more likely to rate themselves as ‘very confident’ in choosing the best value offer.&#10;The image shows a graph comparing confidence levels in each group.&#10;The fee subtracted combination and fee subtracted groups were both statistically different from BAU. The fee subtracted combination group had 36.6% of respondents rate themselves as 'very confident'. The fee subtracted group had 34.9% of respondents rate themselves as very confident. &#10;No other groups were statistically different from BAU, which had 25.6% of respondents who were 'very confident'.&#10;The prompt dollar group had 24.9%. The FX margin group had 24.6%. The combination group had 24.3%. The fee added group had 23.1% and the prompt per cent group had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1600" cy="3524400"/>
                    </a:xfrm>
                    <a:prstGeom prst="rect">
                      <a:avLst/>
                    </a:prstGeom>
                    <a:noFill/>
                  </pic:spPr>
                </pic:pic>
              </a:graphicData>
            </a:graphic>
          </wp:inline>
        </w:drawing>
      </w:r>
    </w:p>
    <w:p w14:paraId="23F47E2B" w14:textId="39AB68D6" w:rsidR="00494004" w:rsidRDefault="00A1105D" w:rsidP="00A1105D">
      <w:r w:rsidRPr="00A1105D">
        <w:rPr>
          <w:b/>
        </w:rPr>
        <w:t>Figure 9.</w:t>
      </w:r>
      <w:r>
        <w:t xml:space="preserve"> </w:t>
      </w:r>
      <w:r w:rsidR="00494004">
        <w:t>Participants in the ‘fee subtracted’ and ‘fee subtracted combination’ groups were more likely to rate themselves as ‘very confident’ in choosing the best value offer</w:t>
      </w:r>
      <w:r w:rsidR="00C972ED">
        <w:t>.</w:t>
      </w:r>
    </w:p>
    <w:p w14:paraId="034D0D98" w14:textId="02A2FCE6" w:rsidR="00FF306A" w:rsidRDefault="001E747F" w:rsidP="00C972ED">
      <w:pPr>
        <w:pStyle w:val="Heading3"/>
        <w:spacing w:before="360"/>
      </w:pPr>
      <w:r>
        <w:t>Single-judgment task</w:t>
      </w:r>
    </w:p>
    <w:p w14:paraId="7C3AB099" w14:textId="6F08A8FF" w:rsidR="00FE4F21" w:rsidRDefault="003E4CD0" w:rsidP="001E747F">
      <w:pPr>
        <w:pStyle w:val="SmallBlue"/>
      </w:pPr>
      <w:r>
        <w:t>Results were different in the single-judgment task</w:t>
      </w:r>
      <w:r w:rsidR="007339DD">
        <w:t>.</w:t>
      </w:r>
    </w:p>
    <w:p w14:paraId="3684DC97" w14:textId="3E62CFF4" w:rsidR="00FE4F21" w:rsidRDefault="00FE4F21" w:rsidP="00FE4F21">
      <w:r>
        <w:t xml:space="preserve">In </w:t>
      </w:r>
      <w:r w:rsidR="00B5707A">
        <w:t>a secondary survey experiment, we showed participants a single calculator</w:t>
      </w:r>
      <w:r w:rsidR="00FE1159">
        <w:t xml:space="preserve">, then </w:t>
      </w:r>
      <w:r>
        <w:t xml:space="preserve">asked </w:t>
      </w:r>
      <w:r w:rsidR="00820342">
        <w:t xml:space="preserve">them </w:t>
      </w:r>
      <w:r>
        <w:t>whether it represented good value</w:t>
      </w:r>
      <w:r w:rsidR="00820342">
        <w:t xml:space="preserve"> and </w:t>
      </w:r>
      <w:r>
        <w:t xml:space="preserve">whether they would search for other providers to compare the offer. </w:t>
      </w:r>
      <w:r w:rsidR="00820342">
        <w:t>The type of calculator they saw (i.e. fee methodology, presence/absence of FX margin) depended on which group they were in, but t</w:t>
      </w:r>
      <w:r>
        <w:t xml:space="preserve">he ‘correct’ responses were </w:t>
      </w:r>
      <w:r w:rsidR="00820342">
        <w:t xml:space="preserve">always </w:t>
      </w:r>
      <w:r>
        <w:t xml:space="preserve">that the calculator was poor value and that they should seek more information. </w:t>
      </w:r>
      <w:r w:rsidR="00820342">
        <w:t xml:space="preserve">For this task, all calculators </w:t>
      </w:r>
      <w:r w:rsidR="00820342">
        <w:rPr>
          <w:i/>
        </w:rPr>
        <w:t xml:space="preserve">except </w:t>
      </w:r>
      <w:r w:rsidR="00820342">
        <w:t xml:space="preserve">the fee added and fee subtracted calculators </w:t>
      </w:r>
      <w:r w:rsidRPr="00FE4F21">
        <w:t>enabled participants to bett</w:t>
      </w:r>
      <w:r w:rsidR="00820342">
        <w:t xml:space="preserve">er identify the poor value deal, </w:t>
      </w:r>
      <w:r w:rsidRPr="00FE4F21">
        <w:t>as compared wit</w:t>
      </w:r>
      <w:r>
        <w:t xml:space="preserve">h </w:t>
      </w:r>
      <w:r w:rsidR="00820342">
        <w:t>BAU</w:t>
      </w:r>
      <w:r>
        <w:t xml:space="preserve"> (Figure </w:t>
      </w:r>
      <w:r w:rsidR="00C972ED">
        <w:t>10</w:t>
      </w:r>
      <w:r>
        <w:t>)</w:t>
      </w:r>
      <w:r w:rsidRPr="00FE4F21">
        <w:t>.</w:t>
      </w:r>
      <w:r w:rsidR="00024275">
        <w:t xml:space="preserve"> Instead, when judging value from a single calculator, including a prompt caused the biggest improvement in accuracy. All four groups with prompts were the best performing on this measure, including in particular </w:t>
      </w:r>
      <w:r w:rsidR="00C972ED">
        <w:t>the combination groups (Figure 10</w:t>
      </w:r>
      <w:r w:rsidR="00024275">
        <w:t>).</w:t>
      </w:r>
    </w:p>
    <w:p w14:paraId="6C890A2F" w14:textId="75ADA705" w:rsidR="00FE4F21" w:rsidRDefault="00704D5A" w:rsidP="00FE4F21">
      <w:r>
        <w:rPr>
          <w:noProof/>
        </w:rPr>
        <w:drawing>
          <wp:inline distT="0" distB="0" distL="0" distR="0" wp14:anchorId="26A0775C" wp14:editId="1F630307">
            <wp:extent cx="5601600" cy="3524400"/>
            <wp:effectExtent l="0" t="0" r="0" b="0"/>
            <wp:docPr id="21" name="Picture 21" descr="Figure 10. Participants in the combination groups were best able to identify a poor value offer, presented in a single calculator (rather than a comparison task).&#10;The image shows a graph comparing groups on their ability to identify a poor value deal.&#10;The four groups with the comparison prompts were the highest performing at this task and were statistically significantly better than BAU.&#10;The combination group had 38.4% of respodents who identified the poor deal. The fee subtracted combination group had 36.8% of respondent who were correct. The prompt per cent group had 35.2% of respondents correct and the prompt dollar group had 35.1% of respondent who were correct.&#10;The FX margin group was marginally statistically significant, with 27.8% of respondents correctly identifying the poor deal.&#10;The other groups were not significantly different from BAU.&#10;The fee subtracted group had 25.3% correct. BAU had 23.6% correct and the fee added group had 21.1%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1600" cy="3524400"/>
                    </a:xfrm>
                    <a:prstGeom prst="rect">
                      <a:avLst/>
                    </a:prstGeom>
                    <a:noFill/>
                  </pic:spPr>
                </pic:pic>
              </a:graphicData>
            </a:graphic>
          </wp:inline>
        </w:drawing>
      </w:r>
    </w:p>
    <w:p w14:paraId="30FB0DBC" w14:textId="63FDF246" w:rsidR="00FE1159" w:rsidRDefault="00A1105D" w:rsidP="00A1105D">
      <w:r w:rsidRPr="00A1105D">
        <w:rPr>
          <w:b/>
        </w:rPr>
        <w:t xml:space="preserve">Figure 10. </w:t>
      </w:r>
      <w:r w:rsidR="00FE1159" w:rsidRPr="00A1105D">
        <w:t>Participants in the combination groups were best able to identify a poor value offer</w:t>
      </w:r>
      <w:r w:rsidR="000E3403" w:rsidRPr="00A1105D">
        <w:t>, presented in a single calculator (rather than a comparison task).</w:t>
      </w:r>
    </w:p>
    <w:p w14:paraId="4134EE76" w14:textId="6999F79B" w:rsidR="00FE4F21" w:rsidRDefault="00FE4F21" w:rsidP="00FE4F21">
      <w:r>
        <w:t>However, while these calculators provided more information to participants and increased their accuracy</w:t>
      </w:r>
      <w:r w:rsidR="00024275">
        <w:t xml:space="preserve"> in making a single judgment of poor value</w:t>
      </w:r>
      <w:r>
        <w:t xml:space="preserve">, it is important to note that accuracy was still </w:t>
      </w:r>
      <w:r w:rsidR="00024275">
        <w:t>low overall</w:t>
      </w:r>
      <w:r>
        <w:t xml:space="preserve">. Judging value in the absence of a comparison was a </w:t>
      </w:r>
      <w:r w:rsidR="00024275">
        <w:t>difficult task for participants, with the highest score being 38.4% overall (i.e.</w:t>
      </w:r>
      <w:r w:rsidR="00086146">
        <w:t>,</w:t>
      </w:r>
      <w:r w:rsidR="00024275">
        <w:t xml:space="preserve"> 61.6% incorrect or don’t know responses).</w:t>
      </w:r>
    </w:p>
    <w:p w14:paraId="17C4962A" w14:textId="48BD2D2F" w:rsidR="00F96429" w:rsidRDefault="00F96429" w:rsidP="001E747F">
      <w:pPr>
        <w:pStyle w:val="SmallBlue"/>
      </w:pPr>
      <w:r>
        <w:t>Adding fees can give an illusion of clarity</w:t>
      </w:r>
      <w:r w:rsidR="007339DD">
        <w:t>.</w:t>
      </w:r>
    </w:p>
    <w:p w14:paraId="1C175FF3" w14:textId="0FAD8D5E" w:rsidR="00F96429" w:rsidRDefault="00F96429" w:rsidP="00F96429">
      <w:r>
        <w:t xml:space="preserve">People in the fee added group were the least likely to say they would compare the offer with another </w:t>
      </w:r>
      <w:r w:rsidR="00C972ED">
        <w:t>(Figure 11</w:t>
      </w:r>
      <w:r w:rsidR="00233BFC">
        <w:t xml:space="preserve">). </w:t>
      </w:r>
      <w:r>
        <w:t xml:space="preserve">While the percentage of respondents in the fee added group who said they would compare the offer is still high (73.3%), it is 6.26 percentage points lower than those in </w:t>
      </w:r>
      <w:r w:rsidR="00802A99">
        <w:t>the BAU group (79.50%).</w:t>
      </w:r>
      <w:r>
        <w:t xml:space="preserve"> In their earlier research, ACCC found that roughly one third of people preferred fees added as they felt it was clearer. However, the performance of this group when comparing calculators indicates that even though some felt it was clearer, adding fees didn’t actually help people choose the best value offer</w:t>
      </w:r>
      <w:r w:rsidR="00233BFC">
        <w:t xml:space="preserve"> in a single judgment task (see Figure </w:t>
      </w:r>
      <w:r w:rsidR="00C972ED">
        <w:t>10</w:t>
      </w:r>
      <w:r w:rsidR="00233BFC">
        <w:t xml:space="preserve">), and only lead to a small improvement </w:t>
      </w:r>
      <w:r w:rsidR="00C972ED">
        <w:t>in the comparison task (Figure 8</w:t>
      </w:r>
      <w:r w:rsidR="00233BFC">
        <w:t>).</w:t>
      </w:r>
    </w:p>
    <w:p w14:paraId="01150553" w14:textId="4FB3A9CF" w:rsidR="005127E0" w:rsidRDefault="00704D5A" w:rsidP="00F96429">
      <w:r>
        <w:rPr>
          <w:noProof/>
        </w:rPr>
        <w:drawing>
          <wp:inline distT="0" distB="0" distL="0" distR="0" wp14:anchorId="09857F4D" wp14:editId="23308AFC">
            <wp:extent cx="5601600" cy="3524400"/>
            <wp:effectExtent l="0" t="0" r="0" b="0"/>
            <wp:docPr id="22" name="Picture 22" descr="Figure 11. People in the fee added group were least likely to say they would compare offers.&#10;The image shows a graph comparing groups on the percentage of respondents who said they would compare offers. None of these groups was significantly different from BAU.&#10;The FX margin group had 82.6% who would compare. The fee subtracted combination group had 81.8% who would compare. The combination group had 81.0% who would compare. The prompt per cent group had 81.0% who would compare. The prompt dollar group had 80.9% who would compare. The BAU group had 79.5% who would compare. The fee subtracted group had 77.6% who would compare and the fee added group had 73.3% who would com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1600" cy="3524400"/>
                    </a:xfrm>
                    <a:prstGeom prst="rect">
                      <a:avLst/>
                    </a:prstGeom>
                    <a:noFill/>
                  </pic:spPr>
                </pic:pic>
              </a:graphicData>
            </a:graphic>
          </wp:inline>
        </w:drawing>
      </w:r>
    </w:p>
    <w:p w14:paraId="400325CA" w14:textId="17B3D0F5" w:rsidR="000E3403" w:rsidRDefault="00A1105D" w:rsidP="00A1105D">
      <w:r w:rsidRPr="00A1105D">
        <w:rPr>
          <w:b/>
        </w:rPr>
        <w:t>Figure 11.</w:t>
      </w:r>
      <w:r>
        <w:rPr>
          <w:b/>
        </w:rPr>
        <w:t xml:space="preserve"> </w:t>
      </w:r>
      <w:r w:rsidR="000E3403" w:rsidRPr="000E3403">
        <w:t>People in the fee added group were least likely to say they would compare offers</w:t>
      </w:r>
      <w:r w:rsidR="00C972ED">
        <w:t>.</w:t>
      </w:r>
    </w:p>
    <w:p w14:paraId="470D7298" w14:textId="58E94F91" w:rsidR="00FF306A" w:rsidRDefault="00FF306A" w:rsidP="000E3403">
      <w:pPr>
        <w:pStyle w:val="Heading3"/>
      </w:pPr>
      <w:r>
        <w:t>U</w:t>
      </w:r>
      <w:r w:rsidR="001E747F">
        <w:t>ser e</w:t>
      </w:r>
      <w:r w:rsidR="00A1105D">
        <w:t>xperience</w:t>
      </w:r>
      <w:r w:rsidR="001E747F">
        <w:t xml:space="preserve"> findings</w:t>
      </w:r>
    </w:p>
    <w:p w14:paraId="44B16459" w14:textId="4A42FEF8" w:rsidR="00046DE3" w:rsidRDefault="000E3403" w:rsidP="00213691">
      <w:pPr>
        <w:pStyle w:val="SmallBlue"/>
      </w:pPr>
      <w:r>
        <w:t>Participants</w:t>
      </w:r>
      <w:r w:rsidR="00046DE3">
        <w:t xml:space="preserve"> generally found key information helpful</w:t>
      </w:r>
      <w:r>
        <w:t>, and technical information confusing</w:t>
      </w:r>
      <w:r w:rsidR="007339DD">
        <w:t>.</w:t>
      </w:r>
    </w:p>
    <w:p w14:paraId="4391164B" w14:textId="77777777" w:rsidR="00C972ED" w:rsidRDefault="00F96429" w:rsidP="00C972ED">
      <w:r>
        <w:t>After the experiment</w:t>
      </w:r>
      <w:r w:rsidR="00046DE3">
        <w:t>,</w:t>
      </w:r>
      <w:r>
        <w:t xml:space="preserve"> we</w:t>
      </w:r>
      <w:r w:rsidR="00C972ED">
        <w:t xml:space="preserve"> showed participants</w:t>
      </w:r>
      <w:r>
        <w:t xml:space="preserve"> a single calculator from the previous comparison task and asked </w:t>
      </w:r>
      <w:r w:rsidR="00C972ED">
        <w:t>them</w:t>
      </w:r>
      <w:r>
        <w:t xml:space="preserve"> to click </w:t>
      </w:r>
      <w:r w:rsidR="00046DE3">
        <w:t>on</w:t>
      </w:r>
      <w:r>
        <w:t xml:space="preserve"> areas that were helpful and areas that were confusing when making comparisons</w:t>
      </w:r>
      <w:r w:rsidR="000E3403">
        <w:t>.</w:t>
      </w:r>
      <w:r w:rsidR="000E3403">
        <w:rPr>
          <w:rStyle w:val="FootnoteReference"/>
        </w:rPr>
        <w:footnoteReference w:id="8"/>
      </w:r>
      <w:r>
        <w:t xml:space="preserve"> Overall, people tended to indicate that they found key information helpful. For example, in the fee added</w:t>
      </w:r>
      <w:r w:rsidR="00C972ED">
        <w:t>, BAU,</w:t>
      </w:r>
      <w:r>
        <w:t xml:space="preserve"> and FX margin groups participants needed to use the ‘Total you pay’ field and ‘Recipient gets’ box to p</w:t>
      </w:r>
      <w:r w:rsidR="00046DE3">
        <w:t xml:space="preserve">ick the best value calculator. </w:t>
      </w:r>
      <w:r>
        <w:t xml:space="preserve">In all of these groups the two most endorsed fields were ‘Total you pay’ and ‘Recipient gets’. </w:t>
      </w:r>
      <w:r w:rsidR="00C972ED">
        <w:t>Participants who were highly accurate on the comparison task (scoring 4 or 5 out of 5) were particularly likely to select these areas as helpful, indicating that they were paying attention to the regions on the calculator most predictive of value. By contrast, people who scored 3 or fewer correct were more likely to overlook critical information in favour of fields such as fees and exchange rates.</w:t>
      </w:r>
    </w:p>
    <w:p w14:paraId="686BB7D9" w14:textId="53087D6D" w:rsidR="00F96429" w:rsidRDefault="00C972ED" w:rsidP="00C972ED">
      <w:r>
        <w:t>I</w:t>
      </w:r>
      <w:r w:rsidR="00F96429">
        <w:t xml:space="preserve">nformation such as the FX margin </w:t>
      </w:r>
      <w:r w:rsidR="007F79C5">
        <w:t>was</w:t>
      </w:r>
      <w:r w:rsidR="00F96429">
        <w:t xml:space="preserve"> often confusing </w:t>
      </w:r>
      <w:r>
        <w:t xml:space="preserve">overall as well: the FX margin information was most frequently rated as confusing in all three groups in which it appeared, which may explain why the FX margin group did not perform better than BAU on the comparison tasks. Finally, the </w:t>
      </w:r>
      <w:r w:rsidR="00F96429">
        <w:t>comparison prompts were polarising for participants</w:t>
      </w:r>
      <w:r>
        <w:t xml:space="preserve">: In </w:t>
      </w:r>
      <w:r w:rsidR="00F96429">
        <w:t>the prompt per cent and prompt dollar groups</w:t>
      </w:r>
      <w:r w:rsidR="00DC248D">
        <w:t>,</w:t>
      </w:r>
      <w:r w:rsidR="00F96429">
        <w:t xml:space="preserve"> the prompt messages were frequently rated as confusing, whereas in the combination groups they were often rated as helpful. </w:t>
      </w:r>
    </w:p>
    <w:p w14:paraId="328B2670" w14:textId="1E95AE3C" w:rsidR="00F96429" w:rsidRDefault="00003F60" w:rsidP="001E747F">
      <w:pPr>
        <w:pStyle w:val="EmphasisPanelHeading"/>
      </w:pPr>
      <w:r>
        <w:t xml:space="preserve">Box 3: </w:t>
      </w:r>
      <w:r w:rsidR="00C972ED">
        <w:t>Spotlight on f</w:t>
      </w:r>
      <w:r w:rsidR="00F96429">
        <w:t xml:space="preserve">requent users of IMTs </w:t>
      </w:r>
    </w:p>
    <w:p w14:paraId="1F4E5A93" w14:textId="42706692" w:rsidR="00F96429" w:rsidRDefault="00F96429" w:rsidP="00C972ED">
      <w:pPr>
        <w:pStyle w:val="EmphasisPanelBody"/>
      </w:pPr>
      <w:r>
        <w:t>We did not see overall better performance on the comparison</w:t>
      </w:r>
      <w:r w:rsidR="000E3403">
        <w:t xml:space="preserve"> </w:t>
      </w:r>
      <w:r>
        <w:t>task</w:t>
      </w:r>
      <w:r w:rsidR="000E3403">
        <w:t>s</w:t>
      </w:r>
      <w:r>
        <w:t xml:space="preserve"> for frequent users of IMTs. We can use the responses to the user experience item to explore how frequent users of IMTs interacted with the task.</w:t>
      </w:r>
    </w:p>
    <w:p w14:paraId="761BEE3B" w14:textId="77777777" w:rsidR="00C972ED" w:rsidRDefault="00F96429" w:rsidP="00C972ED">
      <w:pPr>
        <w:pStyle w:val="EmphasisPanelBody"/>
      </w:pPr>
      <w:r>
        <w:t>In most groups that had a comparison prompt, people who were frequent users of IMTs were less likely to r</w:t>
      </w:r>
      <w:r w:rsidR="000E3403">
        <w:t>ate that information as useful – but o</w:t>
      </w:r>
      <w:r>
        <w:t xml:space="preserve">verlooking this key information </w:t>
      </w:r>
      <w:r w:rsidR="008B6353">
        <w:t xml:space="preserve">in fact </w:t>
      </w:r>
      <w:r w:rsidR="000E3403">
        <w:t xml:space="preserve">makes </w:t>
      </w:r>
      <w:r>
        <w:t>it harder to accurately compare</w:t>
      </w:r>
      <w:r w:rsidR="000E3403">
        <w:t xml:space="preserve"> offers</w:t>
      </w:r>
      <w:r>
        <w:t xml:space="preserve">. In these </w:t>
      </w:r>
      <w:r w:rsidR="00802A99">
        <w:t>group</w:t>
      </w:r>
      <w:r>
        <w:t>s, frequent users of IMTs were more likely to rate sections such as the exchange rate or transfer fees as useful. These sections do not allow you to directly compare calculators.</w:t>
      </w:r>
      <w:r w:rsidR="008B6353">
        <w:t xml:space="preserve"> </w:t>
      </w:r>
      <w:r>
        <w:t>Compared to infrequent or non-users of IMTs, frequent users were also less likely to endorse the ‘recipient gets’ box as useful in many groups. This is a key field to make direct comparisons between calculators, although it was often insufficient on its own.</w:t>
      </w:r>
    </w:p>
    <w:p w14:paraId="01B08C9A" w14:textId="50A81072" w:rsidR="00F96429" w:rsidRDefault="00F96429" w:rsidP="00C972ED">
      <w:pPr>
        <w:pStyle w:val="EmphasisPanelBody"/>
      </w:pPr>
      <w:r>
        <w:t>Overall, it appears that frequent users of IMTs may have been slower to shift their strategies to incorporate new information such as the comparison prompts and total costs.</w:t>
      </w:r>
    </w:p>
    <w:p w14:paraId="70AE5D68" w14:textId="4F9A47E8" w:rsidR="003122C7" w:rsidRPr="00B00F34" w:rsidRDefault="00E724C5" w:rsidP="00B00F34">
      <w:pPr>
        <w:spacing w:after="0" w:line="240" w:lineRule="auto"/>
        <w:rPr>
          <w:rFonts w:asciiTheme="majorHAnsi" w:hAnsiTheme="majorHAnsi"/>
          <w:b/>
          <w:color w:val="000000"/>
        </w:rPr>
      </w:pPr>
      <w:r>
        <w:br w:type="page"/>
      </w:r>
    </w:p>
    <w:p w14:paraId="0F49FBAC" w14:textId="77777777" w:rsidR="00B85446" w:rsidRPr="0050783B" w:rsidRDefault="00B85446" w:rsidP="00191A5D">
      <w:pPr>
        <w:pStyle w:val="Heading2"/>
      </w:pPr>
      <w:bookmarkStart w:id="6" w:name="_Toc169766624"/>
      <w:r w:rsidRPr="0050783B">
        <w:t>Discussion and conclusion</w:t>
      </w:r>
      <w:bookmarkEnd w:id="6"/>
    </w:p>
    <w:p w14:paraId="2448B6D3" w14:textId="71CC70CA" w:rsidR="009175A6" w:rsidRDefault="00252D72" w:rsidP="00A1105D">
      <w:pPr>
        <w:pStyle w:val="LargeBlue"/>
      </w:pPr>
      <w:r>
        <w:t>Some aspects of IMT calculators are more impactful than others in helping consumers choose the best value offer</w:t>
      </w:r>
      <w:r w:rsidR="007339DD">
        <w:t>.</w:t>
      </w:r>
    </w:p>
    <w:p w14:paraId="01945419" w14:textId="42EA4EB5" w:rsidR="00E62992" w:rsidRDefault="000C350B" w:rsidP="001E747F">
      <w:pPr>
        <w:spacing w:after="240"/>
      </w:pPr>
      <w:r w:rsidRPr="000C350B">
        <w:rPr>
          <w:b/>
        </w:rPr>
        <w:t>Consistently subtracting fees</w:t>
      </w:r>
      <w:r>
        <w:t xml:space="preserve"> made it easy to compare offers and choose the best deal. When fees are consistently subtracted, the cost to the customer remains the same across providers and people can therefore rely on the amount received by the recipient – a common heuristic – to accurately guide them to the highest value offer. Consistently subtracting fees also made people more confident in their choices. </w:t>
      </w:r>
      <w:r w:rsidRPr="000C350B">
        <w:rPr>
          <w:b/>
        </w:rPr>
        <w:t>Providing ‘comparison rate prompts’</w:t>
      </w:r>
      <w:r>
        <w:t xml:space="preserve"> also improved people’s ability to choose the best deal. These prompts summarised the total cost of the transaction as a dollar value or per cent. We found no evidence of ‘cognitive overload’ or other downsides when combining elements in a single calculator; e.g. adding prompts, FX margins, and consistently subtracting fees.</w:t>
      </w:r>
    </w:p>
    <w:p w14:paraId="1E0DE3ED" w14:textId="5D166283" w:rsidR="00793A4B" w:rsidRDefault="00793A4B" w:rsidP="00A1105D">
      <w:pPr>
        <w:pStyle w:val="LargeBlue"/>
      </w:pPr>
      <w:r>
        <w:t>Identifying a poor value offer is hard without making comparisons</w:t>
      </w:r>
      <w:r w:rsidR="007339DD">
        <w:t>.</w:t>
      </w:r>
    </w:p>
    <w:p w14:paraId="16269E74" w14:textId="4842F93A" w:rsidR="000C350B" w:rsidRDefault="000C350B" w:rsidP="001E747F">
      <w:pPr>
        <w:spacing w:after="240"/>
      </w:pPr>
      <w:r>
        <w:t>In the secondary survey experiment, we showed participants a calculator providing a poor value offer, and asked them to judge its value. While t</w:t>
      </w:r>
      <w:r w:rsidRPr="000C350B">
        <w:t xml:space="preserve">he type of calculator they saw (i.e. fee methodology, presence/absence of FX margin) depended on which group they were in, the ‘correct’ responses were always that the calculator was poor value and that they should seek more information. For this task, including </w:t>
      </w:r>
      <w:r w:rsidRPr="00DE793D">
        <w:rPr>
          <w:b/>
        </w:rPr>
        <w:t>a</w:t>
      </w:r>
      <w:r w:rsidR="000F1661" w:rsidRPr="00DE793D">
        <w:rPr>
          <w:b/>
        </w:rPr>
        <w:t xml:space="preserve"> comparison rate</w:t>
      </w:r>
      <w:r w:rsidRPr="00DE793D">
        <w:rPr>
          <w:b/>
        </w:rPr>
        <w:t xml:space="preserve"> prompt caused the biggest improvement in accuracy.</w:t>
      </w:r>
      <w:r w:rsidRPr="000C350B">
        <w:t xml:space="preserve"> </w:t>
      </w:r>
      <w:r>
        <w:t>However, it is important to note that accuracy was still low overall. Judging value in the absence of a comparison was a difficult task for participants, with only 38.4% correctly rejecting the poor value offer.</w:t>
      </w:r>
    </w:p>
    <w:p w14:paraId="01B6E8E4" w14:textId="51DCC74B" w:rsidR="00252D72" w:rsidRDefault="00793A4B" w:rsidP="00A1105D">
      <w:pPr>
        <w:pStyle w:val="LargeBlue"/>
      </w:pPr>
      <w:r>
        <w:t>Our study also provides insight into how people use the information presented in IMT calculators</w:t>
      </w:r>
      <w:r w:rsidR="007339DD">
        <w:t>.</w:t>
      </w:r>
    </w:p>
    <w:p w14:paraId="73A40CDD" w14:textId="79B1C6FC" w:rsidR="000F1661" w:rsidRPr="000F1661" w:rsidRDefault="0096176D" w:rsidP="001E747F">
      <w:pPr>
        <w:spacing w:after="240"/>
      </w:pPr>
      <w:r>
        <w:t xml:space="preserve">In order to judge the best value offer, consumers have to pay attention to, and use, key information presented on the calculators. After the survey experiment tasks, we asked participants to indicate which parts of the calculators they found most helpful and most confusing. Overall, areas people said were helpful matched the areas that in fact contained the key information (e.g. ‘total you pay’, ‘recipient gets’ areas). This was especially true for participants who were highly accurate (i.e. good at selecting the best value offer). These participants, who scored 4 or 5 out of 5, were more likely to identify the key information in each calculator, regardless of which type of calculator they saw. </w:t>
      </w:r>
      <w:r w:rsidRPr="0096176D">
        <w:t>In contrast, people who scored 3 or fewer correct were more likely to overlook critical information in favour of fields such as fees and exchange rates.</w:t>
      </w:r>
      <w:r>
        <w:t xml:space="preserve"> </w:t>
      </w:r>
      <w:r w:rsidR="001E747F">
        <w:br/>
      </w:r>
    </w:p>
    <w:p w14:paraId="5220C610" w14:textId="7425625C" w:rsidR="000F1661" w:rsidRDefault="000F1661" w:rsidP="00A1105D">
      <w:pPr>
        <w:pStyle w:val="LargeBlue"/>
      </w:pPr>
      <w:r>
        <w:t>Ongoing testing will help shed light on how IMT calculators perform in the real world</w:t>
      </w:r>
      <w:r w:rsidR="007339DD">
        <w:t>.</w:t>
      </w:r>
    </w:p>
    <w:p w14:paraId="020044EC" w14:textId="5F477518" w:rsidR="00537CEC" w:rsidRPr="009A02ED" w:rsidRDefault="000F1661" w:rsidP="009A02ED">
      <w:r w:rsidRPr="00793A4B">
        <w:t xml:space="preserve">Our </w:t>
      </w:r>
      <w:r>
        <w:t>approach</w:t>
      </w:r>
      <w:r w:rsidRPr="00793A4B">
        <w:t xml:space="preserve"> allowed us to test</w:t>
      </w:r>
      <w:r>
        <w:t xml:space="preserve"> many</w:t>
      </w:r>
      <w:r w:rsidRPr="00793A4B">
        <w:t xml:space="preserve"> different </w:t>
      </w:r>
      <w:r>
        <w:t>calculators</w:t>
      </w:r>
      <w:r w:rsidRPr="00793A4B">
        <w:t xml:space="preserve"> </w:t>
      </w:r>
      <w:r>
        <w:t>in challenging comparison and judgment tasks</w:t>
      </w:r>
      <w:r w:rsidRPr="00793A4B">
        <w:t xml:space="preserve">, using a randomised controlled trial </w:t>
      </w:r>
      <w:r>
        <w:t>embedded in a survey</w:t>
      </w:r>
      <w:r w:rsidRPr="00793A4B">
        <w:t xml:space="preserve"> with a large </w:t>
      </w:r>
      <w:r>
        <w:t xml:space="preserve">Australian </w:t>
      </w:r>
      <w:r w:rsidRPr="00793A4B">
        <w:t xml:space="preserve">sample. </w:t>
      </w:r>
      <w:r w:rsidR="009A02ED" w:rsidRPr="00F844D0">
        <w:rPr>
          <w:b/>
        </w:rPr>
        <w:t>We are confident t</w:t>
      </w:r>
      <w:r w:rsidRPr="00F844D0">
        <w:rPr>
          <w:b/>
        </w:rPr>
        <w:t xml:space="preserve">he </w:t>
      </w:r>
      <w:r w:rsidR="009A02ED" w:rsidRPr="00F844D0">
        <w:rPr>
          <w:b/>
        </w:rPr>
        <w:t>findings</w:t>
      </w:r>
      <w:r w:rsidRPr="00F844D0">
        <w:rPr>
          <w:b/>
        </w:rPr>
        <w:t xml:space="preserve"> </w:t>
      </w:r>
      <w:r w:rsidR="009A02ED" w:rsidRPr="00F844D0">
        <w:rPr>
          <w:b/>
        </w:rPr>
        <w:t xml:space="preserve">from our studies support </w:t>
      </w:r>
      <w:r w:rsidRPr="00F844D0">
        <w:rPr>
          <w:b/>
        </w:rPr>
        <w:t>updates to online IMT calculators – in particular, subtracting fees and adding a comparison prompt – to improve consumer decision-making when transferring money overseas.</w:t>
      </w:r>
      <w:r>
        <w:t xml:space="preserve"> </w:t>
      </w:r>
      <w:r w:rsidR="009A02ED">
        <w:t>However, while participants in our study were asked to choose the best value offer – similarly to the choice they face when making actual transfers – we didn’t test the calculators with real transfers in the real world.</w:t>
      </w:r>
      <w:r w:rsidR="009A02ED" w:rsidRPr="009A02ED">
        <w:t xml:space="preserve"> As </w:t>
      </w:r>
      <w:r w:rsidR="009A02ED">
        <w:t>ACCC’s Best Practice Guide is updated and rolled out</w:t>
      </w:r>
      <w:r w:rsidR="009A02ED" w:rsidRPr="009A02ED">
        <w:t>,</w:t>
      </w:r>
      <w:r w:rsidR="009A02ED">
        <w:t xml:space="preserve"> IMT providers’ and customers’</w:t>
      </w:r>
      <w:r w:rsidR="009A02ED" w:rsidRPr="009A02ED">
        <w:t xml:space="preserve"> experiences are likely to provide useful lessons which could be drawn on </w:t>
      </w:r>
      <w:r w:rsidR="009A02ED">
        <w:t>in further iterating and improving on the calculator design. Looking further ahead,</w:t>
      </w:r>
      <w:r w:rsidR="009A02ED" w:rsidRPr="00524A71">
        <w:t xml:space="preserve"> research in the field – such as partnering with a</w:t>
      </w:r>
      <w:r w:rsidR="009A02ED">
        <w:t>n IMT provider</w:t>
      </w:r>
      <w:r w:rsidR="009A02ED" w:rsidRPr="00524A71">
        <w:t xml:space="preserve"> and evaluating the impact of </w:t>
      </w:r>
      <w:r w:rsidR="009A02ED">
        <w:t>calculators</w:t>
      </w:r>
      <w:r w:rsidR="009A02ED" w:rsidRPr="00524A71">
        <w:t xml:space="preserve"> on real choices made by actual consumers – could </w:t>
      </w:r>
      <w:r w:rsidR="009A02ED">
        <w:t xml:space="preserve">also </w:t>
      </w:r>
      <w:r w:rsidR="009A02ED" w:rsidRPr="00524A71">
        <w:t>be considered to test how the current findings translate to a real-world context.</w:t>
      </w:r>
      <w:r w:rsidR="00537CEC">
        <w:br w:type="page"/>
      </w:r>
    </w:p>
    <w:p w14:paraId="77188204" w14:textId="138ACBB5" w:rsidR="00C67F21" w:rsidRDefault="00C67F21" w:rsidP="00F04EF6"/>
    <w:p w14:paraId="0240BD7B" w14:textId="77777777" w:rsidR="001E6A27" w:rsidRDefault="00C67F21" w:rsidP="00191A5D">
      <w:pPr>
        <w:pStyle w:val="Heading2"/>
      </w:pPr>
      <w:bookmarkStart w:id="7" w:name="_Toc169766625"/>
      <w:r>
        <w:t>References</w:t>
      </w:r>
      <w:bookmarkEnd w:id="7"/>
    </w:p>
    <w:p w14:paraId="10B52A50" w14:textId="4F4E47C3" w:rsidR="007F24BF" w:rsidRDefault="00750D53" w:rsidP="0077714E">
      <w:pPr>
        <w:pStyle w:val="Bibliography"/>
        <w:rPr>
          <w:noProof/>
        </w:rPr>
      </w:pPr>
      <w:r w:rsidRPr="00C526C1">
        <w:rPr>
          <w:noProof/>
        </w:rPr>
        <w:t>Australian Consumer and Competition Commission</w:t>
      </w:r>
      <w:r w:rsidR="00F503C3" w:rsidRPr="00C526C1">
        <w:rPr>
          <w:noProof/>
        </w:rPr>
        <w:t xml:space="preserve"> (2019) </w:t>
      </w:r>
      <w:r w:rsidR="00F503C3" w:rsidRPr="00C526C1">
        <w:rPr>
          <w:i/>
          <w:noProof/>
        </w:rPr>
        <w:t xml:space="preserve">Foreign currency conversion services inquiry: Final report. </w:t>
      </w:r>
      <w:r w:rsidR="00F503C3" w:rsidRPr="00C526C1">
        <w:rPr>
          <w:noProof/>
        </w:rPr>
        <w:t xml:space="preserve">Published September 2019. Accessed June 2024 from </w:t>
      </w:r>
      <w:hyperlink r:id="rId36" w:history="1">
        <w:r w:rsidR="00F503C3" w:rsidRPr="00C526C1">
          <w:rPr>
            <w:rStyle w:val="Hyperlink"/>
            <w:noProof/>
            <w:color w:val="2158A9" w:themeColor="accent2"/>
          </w:rPr>
          <w:t>https://www.accc.gov.au/inquiries-and-consultations/finalised-inquiries/foreign-currency-conversion-services-inquiry-2018-19</w:t>
        </w:r>
      </w:hyperlink>
      <w:r w:rsidR="00F503C3" w:rsidRPr="00C526C1">
        <w:rPr>
          <w:noProof/>
          <w:color w:val="2158A9" w:themeColor="accent2"/>
        </w:rPr>
        <w:t xml:space="preserve"> </w:t>
      </w:r>
    </w:p>
    <w:p w14:paraId="1124FB4F" w14:textId="1160F0B3" w:rsidR="007F24BF" w:rsidRDefault="007F24BF" w:rsidP="007F24BF">
      <w:r>
        <w:br w:type="page"/>
      </w:r>
    </w:p>
    <w:p w14:paraId="52C9BAAC" w14:textId="77777777" w:rsidR="007F24BF" w:rsidRDefault="007F24BF" w:rsidP="007F24BF"/>
    <w:p w14:paraId="200B426F" w14:textId="4849CA80" w:rsidR="00EB0609" w:rsidRPr="00A96B0F" w:rsidRDefault="00EB0609" w:rsidP="00A1105D">
      <w:pPr>
        <w:pStyle w:val="SmallBlue"/>
      </w:pPr>
      <w:r w:rsidRPr="00A96B0F">
        <w:t xml:space="preserve">© </w:t>
      </w:r>
      <w:r w:rsidR="002B2858" w:rsidRPr="00A96B0F">
        <w:t>Commonwealth of Australia 202</w:t>
      </w:r>
      <w:r w:rsidR="00F84DC6">
        <w:t>4</w:t>
      </w:r>
    </w:p>
    <w:p w14:paraId="0AD6458A" w14:textId="154E70A4" w:rsidR="00EB0609" w:rsidRPr="00F84DC6" w:rsidRDefault="003A6EB9" w:rsidP="001540CB">
      <w:pPr>
        <w:rPr>
          <w:color w:val="000000"/>
        </w:rPr>
      </w:pPr>
      <w:r>
        <w:t xml:space="preserve">ISBN </w:t>
      </w:r>
      <w:r w:rsidR="00F84DC6">
        <w:rPr>
          <w:color w:val="000000"/>
        </w:rPr>
        <w:t>978-1-925365-49-8</w:t>
      </w:r>
      <w:r w:rsidR="00F84DC6">
        <w:rPr>
          <w:color w:val="000000"/>
        </w:rPr>
        <w:br/>
      </w:r>
      <w:r w:rsidR="00F84DC6">
        <w:t>Subtracting fees to subtract confusion: Using behavioural insights to improve International Money Transfer Calculators</w:t>
      </w:r>
    </w:p>
    <w:p w14:paraId="59366AD1" w14:textId="77777777" w:rsidR="00EB0609" w:rsidRPr="00A96B0F" w:rsidRDefault="00EB0609" w:rsidP="00A1105D">
      <w:pPr>
        <w:pStyle w:val="SmallBlue"/>
      </w:pPr>
      <w:r w:rsidRPr="00A96B0F">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37" w:history="1">
        <w:r w:rsidR="000F762E" w:rsidRPr="00CE0DEC">
          <w:rPr>
            <w:rStyle w:val="Hyperlink"/>
            <w:color w:val="2158A9" w:themeColor="accent2"/>
          </w:rPr>
          <w:t>https://creativecommons.org/licenses/by/4.0/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1105D">
      <w:pPr>
        <w:pStyle w:val="SmallBlue"/>
      </w:pPr>
      <w:r w:rsidRPr="00A96B0F">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1105D">
      <w:pPr>
        <w:pStyle w:val="SmallBlue"/>
      </w:pPr>
      <w:r w:rsidRPr="00A96B0F">
        <w:t>Attribution</w:t>
      </w:r>
    </w:p>
    <w:p w14:paraId="79E0E990" w14:textId="77777777" w:rsidR="003A6EB9" w:rsidRDefault="00EB0609" w:rsidP="00EB0609">
      <w:r>
        <w:t xml:space="preserve">This publication should be attributed as follows: </w:t>
      </w:r>
    </w:p>
    <w:p w14:paraId="446D37F1" w14:textId="2BCB452D" w:rsidR="00EB0609" w:rsidRPr="00F84DC6" w:rsidRDefault="003A6EB9" w:rsidP="00EB0609">
      <w:pPr>
        <w:rPr>
          <w:i/>
        </w:rPr>
      </w:pPr>
      <w:r>
        <w:t xml:space="preserve">© </w:t>
      </w:r>
      <w:r w:rsidR="00EB0609">
        <w:t xml:space="preserve">Commonwealth of Australia, Department of the Prime Minister and Cabinet, </w:t>
      </w:r>
      <w:r w:rsidR="00E24E54">
        <w:rPr>
          <w:i/>
        </w:rPr>
        <w:t xml:space="preserve">Subtracting fees to subtract confusion: </w:t>
      </w:r>
      <w:r w:rsidR="00F84DC6" w:rsidRPr="00F84DC6">
        <w:rPr>
          <w:i/>
        </w:rPr>
        <w:t>Using behavioural insights to improve International Money Transfer Calculators</w:t>
      </w:r>
      <w:r w:rsidR="00F84DC6">
        <w:rPr>
          <w:i/>
        </w:rPr>
        <w:t>.</w:t>
      </w:r>
    </w:p>
    <w:p w14:paraId="2D07F17E" w14:textId="77777777" w:rsidR="00EB0609" w:rsidRPr="00A96B0F" w:rsidRDefault="00EB0609" w:rsidP="00A1105D">
      <w:pPr>
        <w:pStyle w:val="SmallBlue"/>
      </w:pPr>
      <w:r w:rsidRPr="00A96B0F">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39" w:history="1">
        <w:r w:rsidR="003A6EB9" w:rsidRPr="00CE0DEC">
          <w:rPr>
            <w:rStyle w:val="Hyperlink"/>
            <w:rFonts w:cstheme="minorHAnsi"/>
            <w:color w:val="2158A9" w:themeColor="accent2"/>
            <w:szCs w:val="20"/>
            <w:lang w:val="en-US"/>
          </w:rPr>
          <w:t>https://pmc.gov.au/cca</w:t>
        </w:r>
      </w:hyperlink>
    </w:p>
    <w:p w14:paraId="3054BAB4" w14:textId="77777777" w:rsidR="000A48B2" w:rsidRDefault="000A48B2" w:rsidP="00F04EF6"/>
    <w:p w14:paraId="3D8B551F" w14:textId="77777777" w:rsidR="009C7EE6" w:rsidRDefault="009C7EE6" w:rsidP="00C6442A">
      <w:pPr>
        <w:sectPr w:rsidR="009C7EE6" w:rsidSect="001B1EA0">
          <w:headerReference w:type="default" r:id="rId40"/>
          <w:footerReference w:type="default" r:id="rId41"/>
          <w:type w:val="continuous"/>
          <w:pgSz w:w="11906" w:h="16838" w:code="9"/>
          <w:pgMar w:top="2041" w:right="2381" w:bottom="1247" w:left="1247" w:header="720" w:footer="851" w:gutter="0"/>
          <w:cols w:space="708"/>
          <w:docGrid w:linePitch="360"/>
        </w:sectPr>
      </w:pPr>
    </w:p>
    <w:p w14:paraId="254D55EA" w14:textId="5E074A6E" w:rsidR="00D10FA1" w:rsidRDefault="00B24A7A" w:rsidP="00E320C4">
      <w:pPr>
        <w:ind w:left="-378"/>
      </w:pPr>
      <w:r>
        <w:rPr>
          <w:noProof/>
        </w:rPr>
        <w:drawing>
          <wp:inline distT="0" distB="0" distL="0" distR="0" wp14:anchorId="58BF41B0" wp14:editId="36661C5D">
            <wp:extent cx="2526352" cy="3496063"/>
            <wp:effectExtent l="0" t="0" r="7620" b="0"/>
            <wp:docPr id="9" name="Picture 9" title="Decorative Image (BET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42">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t>of the Australian Government</w:t>
      </w:r>
    </w:p>
    <w:p w14:paraId="5F85F228" w14:textId="77777777" w:rsidR="001A0BF0" w:rsidRPr="004A4D74" w:rsidRDefault="001A0BF0" w:rsidP="004A4D74">
      <w:pPr>
        <w:pStyle w:val="BackPageH2"/>
      </w:pPr>
      <w:r w:rsidRPr="004A4D74">
        <w:t xml:space="preserve">General enquiries </w:t>
      </w:r>
      <w:hyperlink r:id="rId43" w:history="1">
        <w:r w:rsidRPr="00CE0DEC">
          <w:rPr>
            <w:rStyle w:val="Hyperlink"/>
            <w:color w:val="2158A9" w:themeColor="accent2"/>
          </w:rPr>
          <w:t>beta@pmc.gov.au</w:t>
        </w:r>
      </w:hyperlink>
    </w:p>
    <w:p w14:paraId="30A7D088" w14:textId="77777777" w:rsidR="001A0BF0" w:rsidRPr="004A4D74" w:rsidRDefault="001A0BF0" w:rsidP="004A4D74">
      <w:pPr>
        <w:pStyle w:val="BackPageH2"/>
      </w:pPr>
      <w:r w:rsidRPr="004A4D74">
        <w:t xml:space="preserve">Media </w:t>
      </w:r>
      <w:r w:rsidRPr="00CE0DEC">
        <w:t>enquiries</w:t>
      </w:r>
      <w:r w:rsidRPr="00CE0DEC">
        <w:rPr>
          <w:color w:val="2158A9" w:themeColor="accent2"/>
        </w:rPr>
        <w:t xml:space="preserve"> </w:t>
      </w:r>
      <w:hyperlink r:id="rId44" w:history="1">
        <w:r w:rsidRPr="00CE0DEC">
          <w:rPr>
            <w:rStyle w:val="Hyperlink"/>
            <w:color w:val="2158A9" w:themeColor="accent2"/>
          </w:rPr>
          <w:t>media@pmc.gov.au</w:t>
        </w:r>
      </w:hyperlink>
    </w:p>
    <w:p w14:paraId="30F7CFBE" w14:textId="692673A6" w:rsidR="00037F3D" w:rsidRPr="00037F3D" w:rsidRDefault="001A0BF0" w:rsidP="007D16C2">
      <w:pPr>
        <w:pStyle w:val="BackPageH2"/>
        <w:rPr>
          <w:sz w:val="2"/>
          <w:szCs w:val="2"/>
        </w:rPr>
      </w:pPr>
      <w:r w:rsidRPr="004A4D74">
        <w:t xml:space="preserve">Find out </w:t>
      </w:r>
      <w:r w:rsidR="00CE0DEC">
        <w:t xml:space="preserve">more </w:t>
      </w:r>
      <w:hyperlink r:id="rId45" w:history="1">
        <w:r w:rsidR="00CE0DEC" w:rsidRPr="00CE0DEC">
          <w:rPr>
            <w:rStyle w:val="Hyperlink"/>
            <w:color w:val="2158A9" w:themeColor="accent2"/>
          </w:rPr>
          <w:t>behaviouraleconomics.pmc.gov.au</w:t>
        </w:r>
      </w:hyperlink>
      <w:r w:rsidR="00CE0DEC" w:rsidRPr="00CE0DEC">
        <w:rPr>
          <w:color w:val="2158A9" w:themeColor="accent2"/>
        </w:rPr>
        <w:t xml:space="preserve"> </w:t>
      </w:r>
    </w:p>
    <w:sectPr w:rsidR="00037F3D" w:rsidRPr="00037F3D" w:rsidSect="00F202CA">
      <w:headerReference w:type="default" r:id="rId46"/>
      <w:footerReference w:type="default" r:id="rId47"/>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4E3FB" w14:textId="77777777" w:rsidR="000D7648" w:rsidRDefault="000D7648">
      <w:r>
        <w:separator/>
      </w:r>
    </w:p>
  </w:endnote>
  <w:endnote w:type="continuationSeparator" w:id="0">
    <w:p w14:paraId="1476D5DB" w14:textId="77777777" w:rsidR="000D7648" w:rsidRDefault="000D7648">
      <w:r>
        <w:continuationSeparator/>
      </w:r>
    </w:p>
  </w:endnote>
  <w:endnote w:type="continuationNotice" w:id="1">
    <w:p w14:paraId="200FBF23" w14:textId="77777777" w:rsidR="00830502" w:rsidRDefault="008305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4067" w14:textId="77777777" w:rsidR="00D87DB4" w:rsidRDefault="00D87D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E29D6" w14:textId="77777777" w:rsidR="00D87DB4" w:rsidRDefault="00D87D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138B0" w14:textId="77777777" w:rsidR="00D87DB4" w:rsidRDefault="00D87D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CED2" w14:textId="77777777" w:rsidR="00C05E81" w:rsidRDefault="00C05E81" w:rsidP="00A00EEB">
    <w:pPr>
      <w:pStyle w:val="Footer"/>
    </w:pPr>
  </w:p>
  <w:p w14:paraId="6A5C1FA9" w14:textId="73F68DE1" w:rsidR="00B14898" w:rsidRDefault="00B14898" w:rsidP="00A00EEB">
    <w:pPr>
      <w:pStyle w:val="Footer"/>
    </w:pPr>
    <w:r w:rsidRPr="003F31E6">
      <w:rPr>
        <w:noProof/>
      </w:rPr>
      <mc:AlternateContent>
        <mc:Choice Requires="wps">
          <w:drawing>
            <wp:anchor distT="0" distB="0" distL="114300" distR="114300" simplePos="0" relativeHeight="251658240" behindDoc="1" locked="0" layoutInCell="1" allowOverlap="1" wp14:anchorId="648AFE0D" wp14:editId="30943D0C">
              <wp:simplePos x="0" y="0"/>
              <wp:positionH relativeFrom="page">
                <wp:posOffset>0</wp:posOffset>
              </wp:positionH>
              <wp:positionV relativeFrom="page">
                <wp:posOffset>0</wp:posOffset>
              </wp:positionV>
              <wp:extent cx="7560000" cy="10692000"/>
              <wp:effectExtent l="0" t="0" r="3175" b="0"/>
              <wp:wrapNone/>
              <wp:docPr id="4" name="Rectangle 4" title="Decorative Image (Background Shad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466D" id="Rectangle 4" o:spid="_x0000_s1026" alt="Title: Decorative Image (Background Shade)"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7DB4">
      <w:rPr>
        <w:noProof/>
      </w:rPr>
      <w:t>1</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5B5075B8" w:rsidR="008253C4" w:rsidRPr="008253C4" w:rsidRDefault="008253C4" w:rsidP="00345348">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D87DB4">
      <w:rPr>
        <w:noProof/>
        <w:color w:val="FFFFFF" w:themeColor="background1"/>
      </w:rPr>
      <w:t>3</w:t>
    </w:r>
    <w:r w:rsidRPr="008253C4">
      <w:rPr>
        <w:noProof/>
        <w:color w:val="FFFFFF" w:themeColor="background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133A4A" w:rsidRDefault="00133A4A" w:rsidP="00A00EEB">
    <w:pPr>
      <w:pStyle w:val="Footer"/>
    </w:pPr>
  </w:p>
  <w:p w14:paraId="2C174312" w14:textId="07484BF8" w:rsidR="008253C4" w:rsidRDefault="008253C4"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7DB4">
      <w:rPr>
        <w:noProof/>
      </w:rPr>
      <w:t>20</w:t>
    </w:r>
    <w:r w:rsidRPr="00D91DE4">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7A60B4" w:rsidRPr="00F202CA" w:rsidRDefault="007A60B4"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95BC8" w14:textId="77777777" w:rsidR="000D7648" w:rsidRDefault="000D7648">
      <w:r>
        <w:separator/>
      </w:r>
    </w:p>
  </w:footnote>
  <w:footnote w:type="continuationSeparator" w:id="0">
    <w:p w14:paraId="4AACFB56" w14:textId="77777777" w:rsidR="000D7648" w:rsidRDefault="000D7648">
      <w:r>
        <w:continuationSeparator/>
      </w:r>
    </w:p>
  </w:footnote>
  <w:footnote w:type="continuationNotice" w:id="1">
    <w:p w14:paraId="3E66229D" w14:textId="77777777" w:rsidR="00830502" w:rsidRDefault="00830502">
      <w:pPr>
        <w:spacing w:after="0" w:line="240" w:lineRule="auto"/>
      </w:pPr>
    </w:p>
  </w:footnote>
  <w:footnote w:id="2">
    <w:p w14:paraId="29D6D412" w14:textId="1A7F0AA8" w:rsidR="00BE54B2" w:rsidRDefault="00BE54B2">
      <w:pPr>
        <w:pStyle w:val="FootnoteText"/>
      </w:pPr>
      <w:r>
        <w:rPr>
          <w:rStyle w:val="FootnoteReference"/>
        </w:rPr>
        <w:footnoteRef/>
      </w:r>
      <w:r>
        <w:t xml:space="preserve"> Another 4 suppliers did not charge fees. In all cases, the amount to be transferred was $250</w:t>
      </w:r>
      <w:r w:rsidR="00437E1A">
        <w:t xml:space="preserve"> and considered various currencies</w:t>
      </w:r>
      <w:r>
        <w:t>.</w:t>
      </w:r>
    </w:p>
  </w:footnote>
  <w:footnote w:id="3">
    <w:p w14:paraId="39671E0D" w14:textId="0053846E" w:rsidR="00D3191D" w:rsidRDefault="00D3191D">
      <w:pPr>
        <w:pStyle w:val="FootnoteText"/>
      </w:pPr>
      <w:r w:rsidRPr="003F1765">
        <w:rPr>
          <w:rStyle w:val="FootnoteReference"/>
        </w:rPr>
        <w:footnoteRef/>
      </w:r>
      <w:r w:rsidRPr="003F1765">
        <w:t xml:space="preserve"> </w:t>
      </w:r>
      <w:r w:rsidR="00F97525" w:rsidRPr="003F1765">
        <w:t xml:space="preserve">The mid-market rate is the midpoint between the buying </w:t>
      </w:r>
      <w:r w:rsidR="00F634BD" w:rsidRPr="003F1765">
        <w:t>p</w:t>
      </w:r>
      <w:r w:rsidR="00F97525" w:rsidRPr="003F1765">
        <w:t>rice and the selling price for a given currency at a point in time.</w:t>
      </w:r>
    </w:p>
  </w:footnote>
  <w:footnote w:id="4">
    <w:p w14:paraId="578B46A7" w14:textId="4B245FA5" w:rsidR="00A26571" w:rsidRPr="00371B83" w:rsidRDefault="00A26571" w:rsidP="00371B83">
      <w:pPr>
        <w:spacing w:after="0" w:line="240" w:lineRule="auto"/>
        <w:rPr>
          <w:sz w:val="18"/>
          <w:szCs w:val="18"/>
        </w:rPr>
      </w:pPr>
      <w:r w:rsidRPr="00371B83">
        <w:rPr>
          <w:rStyle w:val="FootnoteReference"/>
          <w:sz w:val="18"/>
          <w:szCs w:val="18"/>
        </w:rPr>
        <w:footnoteRef/>
      </w:r>
      <w:r w:rsidRPr="00371B83">
        <w:rPr>
          <w:sz w:val="18"/>
          <w:szCs w:val="18"/>
        </w:rPr>
        <w:t xml:space="preserve"> See the </w:t>
      </w:r>
      <w:r w:rsidR="00603712">
        <w:rPr>
          <w:sz w:val="18"/>
          <w:szCs w:val="18"/>
        </w:rPr>
        <w:t xml:space="preserve">Technical </w:t>
      </w:r>
      <w:r w:rsidR="00603712" w:rsidRPr="00F04996">
        <w:rPr>
          <w:sz w:val="18"/>
          <w:szCs w:val="18"/>
        </w:rPr>
        <w:t>Appendix</w:t>
      </w:r>
      <w:r w:rsidR="00603712">
        <w:rPr>
          <w:sz w:val="18"/>
          <w:szCs w:val="18"/>
        </w:rPr>
        <w:t xml:space="preserve"> for more </w:t>
      </w:r>
      <w:r w:rsidRPr="00371B83">
        <w:rPr>
          <w:sz w:val="18"/>
          <w:szCs w:val="18"/>
        </w:rPr>
        <w:t>information on our sample.</w:t>
      </w:r>
    </w:p>
  </w:footnote>
  <w:footnote w:id="5">
    <w:p w14:paraId="717A3A45" w14:textId="0623B1F9" w:rsidR="00B375D5" w:rsidRDefault="00B375D5">
      <w:pPr>
        <w:pStyle w:val="FootnoteText"/>
      </w:pPr>
      <w:r>
        <w:rPr>
          <w:rStyle w:val="FootnoteReference"/>
        </w:rPr>
        <w:footnoteRef/>
      </w:r>
      <w:r>
        <w:t xml:space="preserve"> They could also select ‘don’t know’. This was coded as an incorrect response. As the rate of ‘don’t know’ responses did not differ across groups, we do not discuss it further in this report.</w:t>
      </w:r>
    </w:p>
  </w:footnote>
  <w:footnote w:id="6">
    <w:p w14:paraId="00E027B5" w14:textId="71DF5903" w:rsidR="00B0750D" w:rsidRDefault="00B0750D" w:rsidP="00DB203B">
      <w:pPr>
        <w:spacing w:line="240" w:lineRule="auto"/>
      </w:pPr>
      <w:r>
        <w:rPr>
          <w:rStyle w:val="FootnoteReference"/>
        </w:rPr>
        <w:footnoteRef/>
      </w:r>
      <w:r>
        <w:t xml:space="preserve"> </w:t>
      </w:r>
      <w:r w:rsidRPr="00371B83">
        <w:rPr>
          <w:sz w:val="18"/>
        </w:rPr>
        <w:t xml:space="preserve">Within each comparison task the amount to send was always the same, but the fees and exchange rate varied. In the BAU </w:t>
      </w:r>
      <w:r w:rsidR="005942BF">
        <w:rPr>
          <w:sz w:val="18"/>
        </w:rPr>
        <w:t>group</w:t>
      </w:r>
      <w:r w:rsidRPr="00371B83">
        <w:rPr>
          <w:sz w:val="18"/>
        </w:rPr>
        <w:t xml:space="preserve">, and other </w:t>
      </w:r>
      <w:r w:rsidR="005942BF">
        <w:rPr>
          <w:sz w:val="18"/>
        </w:rPr>
        <w:t>group</w:t>
      </w:r>
      <w:r w:rsidRPr="00371B83">
        <w:rPr>
          <w:sz w:val="18"/>
        </w:rPr>
        <w:t xml:space="preserve">s with variable fee methodology, some of the calculators had fees added, and some were subtracted. However, in the fee subtracted and fee subtracted combination groups the fees were always subtracted, and in the fee added </w:t>
      </w:r>
      <w:r w:rsidR="005942BF">
        <w:rPr>
          <w:sz w:val="18"/>
        </w:rPr>
        <w:t>group</w:t>
      </w:r>
      <w:r w:rsidRPr="00371B83">
        <w:rPr>
          <w:sz w:val="18"/>
        </w:rPr>
        <w:t xml:space="preserve"> the fees were always added. See technical </w:t>
      </w:r>
      <w:r w:rsidRPr="00F04996">
        <w:rPr>
          <w:sz w:val="18"/>
        </w:rPr>
        <w:t>appendix</w:t>
      </w:r>
      <w:r w:rsidRPr="00371B83">
        <w:rPr>
          <w:sz w:val="18"/>
        </w:rPr>
        <w:t xml:space="preserve"> for full details of the survey experiments.</w:t>
      </w:r>
    </w:p>
    <w:p w14:paraId="4E6AEE81" w14:textId="518B483E" w:rsidR="00B0750D" w:rsidRDefault="00B0750D">
      <w:pPr>
        <w:pStyle w:val="FootnoteText"/>
      </w:pPr>
    </w:p>
  </w:footnote>
  <w:footnote w:id="7">
    <w:p w14:paraId="2B87FA22" w14:textId="610E5F21" w:rsidR="00145444" w:rsidRPr="00145444" w:rsidRDefault="00145444" w:rsidP="00145444">
      <w:pPr>
        <w:pStyle w:val="FootnoteText"/>
      </w:pPr>
      <w:r>
        <w:rPr>
          <w:rStyle w:val="FootnoteReference"/>
        </w:rPr>
        <w:footnoteRef/>
      </w:r>
      <w:r>
        <w:t xml:space="preserve"> These differences were statistically significant (p &lt; .001), with sample sizes around </w:t>
      </w:r>
      <w:r w:rsidR="00AC4FFD">
        <w:t>1,400</w:t>
      </w:r>
      <w:r>
        <w:t xml:space="preserve"> for each pair-wise comparison. We have a high degree of confidence in these results due to the large effects, large sample size, and small </w:t>
      </w:r>
      <w:r>
        <w:rPr>
          <w:i/>
        </w:rPr>
        <w:t>p-</w:t>
      </w:r>
      <w:r>
        <w:t xml:space="preserve">value, coupled with a pre-registered design. See the Technical Appendix for information on BETA’s approach to statistical significance, and full statistical tables. </w:t>
      </w:r>
    </w:p>
  </w:footnote>
  <w:footnote w:id="8">
    <w:p w14:paraId="012D8905" w14:textId="66CC7E05" w:rsidR="000E3403" w:rsidRPr="006C771F" w:rsidRDefault="000E3403" w:rsidP="00F64B53">
      <w:pPr>
        <w:spacing w:line="240" w:lineRule="auto"/>
        <w:rPr>
          <w:sz w:val="18"/>
        </w:rPr>
      </w:pPr>
      <w:r w:rsidRPr="000E3403">
        <w:rPr>
          <w:rStyle w:val="FootnoteReference"/>
          <w:sz w:val="18"/>
        </w:rPr>
        <w:footnoteRef/>
      </w:r>
      <w:r w:rsidRPr="000E3403">
        <w:rPr>
          <w:sz w:val="18"/>
        </w:rPr>
        <w:t xml:space="preserve"> Details from this item are available in </w:t>
      </w:r>
      <w:r w:rsidR="00AC4FFD">
        <w:rPr>
          <w:sz w:val="18"/>
        </w:rPr>
        <w:t>the Technical Appendix</w:t>
      </w:r>
      <w:r w:rsidRPr="000E3403">
        <w:rPr>
          <w:sz w:val="18"/>
        </w:rPr>
        <w:t>. The results of these analyses are exploratory, and intended to shed light on possible interpretations of the main findings.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23DFA" w14:textId="77777777" w:rsidR="00D87DB4" w:rsidRDefault="00D87D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7D08AEB0" w:rsidR="0096054C" w:rsidRDefault="00345348" w:rsidP="00330274">
    <w:pPr>
      <w:pStyle w:val="Header"/>
      <w:tabs>
        <w:tab w:val="clear" w:pos="10319"/>
        <w:tab w:val="left" w:pos="803"/>
      </w:tabs>
      <w:ind w:right="-24"/>
    </w:pPr>
    <w:r>
      <w:rPr>
        <w:noProof/>
      </w:rPr>
      <w:drawing>
        <wp:anchor distT="0" distB="0" distL="114300" distR="114300" simplePos="0" relativeHeight="251658241" behindDoc="1" locked="0" layoutInCell="1" allowOverlap="1" wp14:anchorId="51228E59" wp14:editId="3696353A">
          <wp:simplePos x="0" y="0"/>
          <wp:positionH relativeFrom="page">
            <wp:posOffset>162</wp:posOffset>
          </wp:positionH>
          <wp:positionV relativeFrom="page">
            <wp:posOffset>-1905</wp:posOffset>
          </wp:positionV>
          <wp:extent cx="7563600" cy="10690735"/>
          <wp:effectExtent l="0" t="0" r="0" b="0"/>
          <wp:wrapNone/>
          <wp:docPr id="19" name="Picture 19" descr="Australian Government - Department of Prime Minister and Cabinet - BETA"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r w:rsidR="00330274">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C3440" w14:textId="77777777" w:rsidR="00D87DB4" w:rsidRDefault="00D87D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8A32" w14:textId="77777777" w:rsidR="0096054C" w:rsidRDefault="009605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1C3CB8BA" w:rsidR="008253C4" w:rsidRPr="00E83EE5" w:rsidRDefault="00E83EE5" w:rsidP="00E83EE5">
    <w:pPr>
      <w:pStyle w:val="Header"/>
    </w:pPr>
    <w:r w:rsidRPr="00E83EE5">
      <w:rPr>
        <w:color w:val="FFFFFF" w:themeColor="background1"/>
      </w:rPr>
      <w:t>Using behavioural insights to improve International Money Transfer calculators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4F15ED6B" w:rsidR="008253C4" w:rsidRPr="00E83EE5" w:rsidRDefault="00E83EE5" w:rsidP="00E83EE5">
    <w:pPr>
      <w:pStyle w:val="Header"/>
    </w:pPr>
    <w:r w:rsidRPr="00E83EE5">
      <w:t>Using behavioural insights to improve International Money Transfer calculators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F202CA" w:rsidRPr="00F202CA" w:rsidRDefault="00F202CA"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25013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284D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1A0A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963D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9"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0"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3"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4" w15:restartNumberingAfterBreak="0">
    <w:nsid w:val="246A3667"/>
    <w:multiLevelType w:val="hybridMultilevel"/>
    <w:tmpl w:val="6080920A"/>
    <w:lvl w:ilvl="0" w:tplc="580C23F2">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18" w15:restartNumberingAfterBreak="0">
    <w:nsid w:val="436A7891"/>
    <w:multiLevelType w:val="multilevel"/>
    <w:tmpl w:val="B78C214E"/>
    <w:lvl w:ilvl="0">
      <w:start w:val="1"/>
      <w:numFmt w:val="decimal"/>
      <w:pStyle w:val="FigureHeading"/>
      <w:lvlText w:val="Figure %1."/>
      <w:lvlJc w:val="left"/>
      <w:pPr>
        <w:ind w:left="1494"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0"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1"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2"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16"/>
  </w:num>
  <w:num w:numId="2">
    <w:abstractNumId w:val="20"/>
  </w:num>
  <w:num w:numId="3">
    <w:abstractNumId w:val="18"/>
  </w:num>
  <w:num w:numId="4">
    <w:abstractNumId w:val="11"/>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17"/>
  </w:num>
  <w:num w:numId="14">
    <w:abstractNumId w:val="22"/>
  </w:num>
  <w:num w:numId="15">
    <w:abstractNumId w:val="13"/>
  </w:num>
  <w:num w:numId="16">
    <w:abstractNumId w:val="8"/>
  </w:num>
  <w:num w:numId="17">
    <w:abstractNumId w:val="21"/>
  </w:num>
  <w:num w:numId="18">
    <w:abstractNumId w:val="19"/>
  </w:num>
  <w:num w:numId="19">
    <w:abstractNumId w:val="12"/>
  </w:num>
  <w:num w:numId="20">
    <w:abstractNumId w:val="9"/>
  </w:num>
  <w:num w:numId="21">
    <w:abstractNumId w:val="14"/>
  </w:num>
  <w:num w:numId="22">
    <w:abstractNumId w:val="15"/>
  </w:num>
  <w:num w:numId="2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3F60"/>
    <w:rsid w:val="0000479C"/>
    <w:rsid w:val="00005785"/>
    <w:rsid w:val="00006876"/>
    <w:rsid w:val="000079AD"/>
    <w:rsid w:val="00007D1F"/>
    <w:rsid w:val="00010D84"/>
    <w:rsid w:val="00010F15"/>
    <w:rsid w:val="00011CE3"/>
    <w:rsid w:val="00011FC0"/>
    <w:rsid w:val="000131D0"/>
    <w:rsid w:val="00013A79"/>
    <w:rsid w:val="00014AB5"/>
    <w:rsid w:val="000176B5"/>
    <w:rsid w:val="0001771B"/>
    <w:rsid w:val="00022E9C"/>
    <w:rsid w:val="00023ED0"/>
    <w:rsid w:val="00024275"/>
    <w:rsid w:val="000249CC"/>
    <w:rsid w:val="00024EF0"/>
    <w:rsid w:val="00025631"/>
    <w:rsid w:val="00027B26"/>
    <w:rsid w:val="00030705"/>
    <w:rsid w:val="00032861"/>
    <w:rsid w:val="00032B77"/>
    <w:rsid w:val="00033BCE"/>
    <w:rsid w:val="00037F3D"/>
    <w:rsid w:val="00042285"/>
    <w:rsid w:val="00043256"/>
    <w:rsid w:val="00045A89"/>
    <w:rsid w:val="0004635E"/>
    <w:rsid w:val="00046DE3"/>
    <w:rsid w:val="00046F8E"/>
    <w:rsid w:val="00047261"/>
    <w:rsid w:val="00047524"/>
    <w:rsid w:val="0005040E"/>
    <w:rsid w:val="0005087D"/>
    <w:rsid w:val="00050DAE"/>
    <w:rsid w:val="00050F9E"/>
    <w:rsid w:val="00051761"/>
    <w:rsid w:val="000547EF"/>
    <w:rsid w:val="00056004"/>
    <w:rsid w:val="00057CFE"/>
    <w:rsid w:val="0006075A"/>
    <w:rsid w:val="00061C84"/>
    <w:rsid w:val="00061C86"/>
    <w:rsid w:val="00062484"/>
    <w:rsid w:val="000624AD"/>
    <w:rsid w:val="00062E1D"/>
    <w:rsid w:val="00063129"/>
    <w:rsid w:val="0006489E"/>
    <w:rsid w:val="00064EE9"/>
    <w:rsid w:val="00065022"/>
    <w:rsid w:val="00065088"/>
    <w:rsid w:val="00065A5E"/>
    <w:rsid w:val="00070681"/>
    <w:rsid w:val="0007097B"/>
    <w:rsid w:val="00070F67"/>
    <w:rsid w:val="00071230"/>
    <w:rsid w:val="00071F4A"/>
    <w:rsid w:val="00072DA5"/>
    <w:rsid w:val="0007431C"/>
    <w:rsid w:val="00075E45"/>
    <w:rsid w:val="00075EC4"/>
    <w:rsid w:val="00080A09"/>
    <w:rsid w:val="00081366"/>
    <w:rsid w:val="0008174B"/>
    <w:rsid w:val="00081CEB"/>
    <w:rsid w:val="00082C85"/>
    <w:rsid w:val="00083082"/>
    <w:rsid w:val="00083F36"/>
    <w:rsid w:val="00086146"/>
    <w:rsid w:val="00086D9F"/>
    <w:rsid w:val="00087898"/>
    <w:rsid w:val="00087B2C"/>
    <w:rsid w:val="00087D4E"/>
    <w:rsid w:val="00087DBD"/>
    <w:rsid w:val="00090718"/>
    <w:rsid w:val="00091564"/>
    <w:rsid w:val="00091B4E"/>
    <w:rsid w:val="00091CD7"/>
    <w:rsid w:val="00093DD5"/>
    <w:rsid w:val="00095DE6"/>
    <w:rsid w:val="000A03DD"/>
    <w:rsid w:val="000A1193"/>
    <w:rsid w:val="000A1A09"/>
    <w:rsid w:val="000A1B0D"/>
    <w:rsid w:val="000A47A8"/>
    <w:rsid w:val="000A48B2"/>
    <w:rsid w:val="000A4C19"/>
    <w:rsid w:val="000A73FB"/>
    <w:rsid w:val="000A7676"/>
    <w:rsid w:val="000B0129"/>
    <w:rsid w:val="000B218A"/>
    <w:rsid w:val="000B2372"/>
    <w:rsid w:val="000B39C7"/>
    <w:rsid w:val="000C014D"/>
    <w:rsid w:val="000C29B4"/>
    <w:rsid w:val="000C2E1C"/>
    <w:rsid w:val="000C350B"/>
    <w:rsid w:val="000C49B2"/>
    <w:rsid w:val="000C5CD8"/>
    <w:rsid w:val="000C7A69"/>
    <w:rsid w:val="000D1158"/>
    <w:rsid w:val="000D4703"/>
    <w:rsid w:val="000D7648"/>
    <w:rsid w:val="000E12D4"/>
    <w:rsid w:val="000E3403"/>
    <w:rsid w:val="000E39EF"/>
    <w:rsid w:val="000E51CE"/>
    <w:rsid w:val="000E620E"/>
    <w:rsid w:val="000F1661"/>
    <w:rsid w:val="000F1E2E"/>
    <w:rsid w:val="000F2063"/>
    <w:rsid w:val="000F3D28"/>
    <w:rsid w:val="000F63C4"/>
    <w:rsid w:val="000F67D4"/>
    <w:rsid w:val="000F7463"/>
    <w:rsid w:val="000F762E"/>
    <w:rsid w:val="00100200"/>
    <w:rsid w:val="0010263D"/>
    <w:rsid w:val="00102824"/>
    <w:rsid w:val="0010300A"/>
    <w:rsid w:val="001131F0"/>
    <w:rsid w:val="001139C7"/>
    <w:rsid w:val="00114EBC"/>
    <w:rsid w:val="00115BC6"/>
    <w:rsid w:val="0012073F"/>
    <w:rsid w:val="001239B3"/>
    <w:rsid w:val="0012427E"/>
    <w:rsid w:val="001247E0"/>
    <w:rsid w:val="001252F6"/>
    <w:rsid w:val="00126750"/>
    <w:rsid w:val="001271A1"/>
    <w:rsid w:val="00131C0F"/>
    <w:rsid w:val="001325BF"/>
    <w:rsid w:val="00132F0D"/>
    <w:rsid w:val="00133713"/>
    <w:rsid w:val="00133A4A"/>
    <w:rsid w:val="00135B7E"/>
    <w:rsid w:val="00137FDB"/>
    <w:rsid w:val="00140FC9"/>
    <w:rsid w:val="001413C5"/>
    <w:rsid w:val="0014231B"/>
    <w:rsid w:val="00142956"/>
    <w:rsid w:val="00142D10"/>
    <w:rsid w:val="001432B0"/>
    <w:rsid w:val="00144868"/>
    <w:rsid w:val="001452BC"/>
    <w:rsid w:val="00145444"/>
    <w:rsid w:val="00150D2A"/>
    <w:rsid w:val="00150E25"/>
    <w:rsid w:val="00150EA9"/>
    <w:rsid w:val="001512BB"/>
    <w:rsid w:val="00151650"/>
    <w:rsid w:val="001540CB"/>
    <w:rsid w:val="00155968"/>
    <w:rsid w:val="00155B98"/>
    <w:rsid w:val="00157001"/>
    <w:rsid w:val="00157709"/>
    <w:rsid w:val="00160B66"/>
    <w:rsid w:val="00160E91"/>
    <w:rsid w:val="0016398B"/>
    <w:rsid w:val="00165626"/>
    <w:rsid w:val="00166272"/>
    <w:rsid w:val="001671D2"/>
    <w:rsid w:val="00167CF4"/>
    <w:rsid w:val="00170BE9"/>
    <w:rsid w:val="0017147C"/>
    <w:rsid w:val="0017194E"/>
    <w:rsid w:val="0017249B"/>
    <w:rsid w:val="001727A4"/>
    <w:rsid w:val="00176148"/>
    <w:rsid w:val="00177EC4"/>
    <w:rsid w:val="00177FE4"/>
    <w:rsid w:val="00181533"/>
    <w:rsid w:val="001824C8"/>
    <w:rsid w:val="00182698"/>
    <w:rsid w:val="001864FD"/>
    <w:rsid w:val="00186554"/>
    <w:rsid w:val="001865D0"/>
    <w:rsid w:val="00191A5D"/>
    <w:rsid w:val="0019230E"/>
    <w:rsid w:val="00192ACB"/>
    <w:rsid w:val="001936A7"/>
    <w:rsid w:val="001943DD"/>
    <w:rsid w:val="001959C4"/>
    <w:rsid w:val="00195F5F"/>
    <w:rsid w:val="00196BAC"/>
    <w:rsid w:val="001976C1"/>
    <w:rsid w:val="001A009A"/>
    <w:rsid w:val="001A0BF0"/>
    <w:rsid w:val="001A13F6"/>
    <w:rsid w:val="001A2D78"/>
    <w:rsid w:val="001A61C4"/>
    <w:rsid w:val="001A7249"/>
    <w:rsid w:val="001B0367"/>
    <w:rsid w:val="001B1048"/>
    <w:rsid w:val="001B1EA0"/>
    <w:rsid w:val="001B3006"/>
    <w:rsid w:val="001B385A"/>
    <w:rsid w:val="001B3904"/>
    <w:rsid w:val="001B3AEC"/>
    <w:rsid w:val="001B3E8D"/>
    <w:rsid w:val="001B4831"/>
    <w:rsid w:val="001B5259"/>
    <w:rsid w:val="001B53B8"/>
    <w:rsid w:val="001B60D4"/>
    <w:rsid w:val="001B6F28"/>
    <w:rsid w:val="001C12DB"/>
    <w:rsid w:val="001C2FA9"/>
    <w:rsid w:val="001C35DA"/>
    <w:rsid w:val="001C38BA"/>
    <w:rsid w:val="001C4F4F"/>
    <w:rsid w:val="001C6BA1"/>
    <w:rsid w:val="001C6F22"/>
    <w:rsid w:val="001D141C"/>
    <w:rsid w:val="001D2002"/>
    <w:rsid w:val="001D2904"/>
    <w:rsid w:val="001D38E8"/>
    <w:rsid w:val="001D652D"/>
    <w:rsid w:val="001D693F"/>
    <w:rsid w:val="001D6EDF"/>
    <w:rsid w:val="001D6F9E"/>
    <w:rsid w:val="001E1247"/>
    <w:rsid w:val="001E38FB"/>
    <w:rsid w:val="001E4D12"/>
    <w:rsid w:val="001E52C2"/>
    <w:rsid w:val="001E5743"/>
    <w:rsid w:val="001E6A27"/>
    <w:rsid w:val="001E747F"/>
    <w:rsid w:val="001F0BE1"/>
    <w:rsid w:val="001F101A"/>
    <w:rsid w:val="001F24EF"/>
    <w:rsid w:val="001F2CCE"/>
    <w:rsid w:val="001F56C7"/>
    <w:rsid w:val="00203039"/>
    <w:rsid w:val="002034F6"/>
    <w:rsid w:val="00203A42"/>
    <w:rsid w:val="002045D0"/>
    <w:rsid w:val="00204B17"/>
    <w:rsid w:val="002069D2"/>
    <w:rsid w:val="002111E1"/>
    <w:rsid w:val="00211DA2"/>
    <w:rsid w:val="00213210"/>
    <w:rsid w:val="00213691"/>
    <w:rsid w:val="00213693"/>
    <w:rsid w:val="00215137"/>
    <w:rsid w:val="00215479"/>
    <w:rsid w:val="00215CCB"/>
    <w:rsid w:val="00216CF5"/>
    <w:rsid w:val="0022037B"/>
    <w:rsid w:val="00222593"/>
    <w:rsid w:val="00222C8D"/>
    <w:rsid w:val="002256A8"/>
    <w:rsid w:val="00225A61"/>
    <w:rsid w:val="00226D96"/>
    <w:rsid w:val="00230261"/>
    <w:rsid w:val="00230E6B"/>
    <w:rsid w:val="002320BC"/>
    <w:rsid w:val="00232B97"/>
    <w:rsid w:val="00233077"/>
    <w:rsid w:val="00233BFC"/>
    <w:rsid w:val="00234F07"/>
    <w:rsid w:val="0023523A"/>
    <w:rsid w:val="0023757C"/>
    <w:rsid w:val="00237C47"/>
    <w:rsid w:val="002402E4"/>
    <w:rsid w:val="002421A0"/>
    <w:rsid w:val="00242B98"/>
    <w:rsid w:val="002445A1"/>
    <w:rsid w:val="00246FE6"/>
    <w:rsid w:val="002470E3"/>
    <w:rsid w:val="00251695"/>
    <w:rsid w:val="0025207D"/>
    <w:rsid w:val="00252D72"/>
    <w:rsid w:val="002535AE"/>
    <w:rsid w:val="00254DE9"/>
    <w:rsid w:val="00257A66"/>
    <w:rsid w:val="002602FC"/>
    <w:rsid w:val="002615D3"/>
    <w:rsid w:val="0026268A"/>
    <w:rsid w:val="00262845"/>
    <w:rsid w:val="00263335"/>
    <w:rsid w:val="00265941"/>
    <w:rsid w:val="00265E0D"/>
    <w:rsid w:val="002672F1"/>
    <w:rsid w:val="00271414"/>
    <w:rsid w:val="00271922"/>
    <w:rsid w:val="00273412"/>
    <w:rsid w:val="0027373F"/>
    <w:rsid w:val="00273A46"/>
    <w:rsid w:val="00274ACF"/>
    <w:rsid w:val="00277388"/>
    <w:rsid w:val="00277C8F"/>
    <w:rsid w:val="0028159B"/>
    <w:rsid w:val="00282671"/>
    <w:rsid w:val="00282861"/>
    <w:rsid w:val="002843E2"/>
    <w:rsid w:val="002876D5"/>
    <w:rsid w:val="00287BAA"/>
    <w:rsid w:val="0029180D"/>
    <w:rsid w:val="0029217E"/>
    <w:rsid w:val="00293489"/>
    <w:rsid w:val="00294179"/>
    <w:rsid w:val="00295B30"/>
    <w:rsid w:val="00296F5E"/>
    <w:rsid w:val="00297A8D"/>
    <w:rsid w:val="002A30F0"/>
    <w:rsid w:val="002A38A4"/>
    <w:rsid w:val="002A6DF5"/>
    <w:rsid w:val="002B2858"/>
    <w:rsid w:val="002B50E6"/>
    <w:rsid w:val="002B6406"/>
    <w:rsid w:val="002B6809"/>
    <w:rsid w:val="002C3771"/>
    <w:rsid w:val="002C4231"/>
    <w:rsid w:val="002C44DD"/>
    <w:rsid w:val="002C4830"/>
    <w:rsid w:val="002C5BAA"/>
    <w:rsid w:val="002C67BC"/>
    <w:rsid w:val="002C7080"/>
    <w:rsid w:val="002C76BF"/>
    <w:rsid w:val="002D00B0"/>
    <w:rsid w:val="002D2364"/>
    <w:rsid w:val="002D28EF"/>
    <w:rsid w:val="002D2E16"/>
    <w:rsid w:val="002D4B71"/>
    <w:rsid w:val="002D6050"/>
    <w:rsid w:val="002D6E3E"/>
    <w:rsid w:val="002E21D6"/>
    <w:rsid w:val="002E2533"/>
    <w:rsid w:val="002E45F0"/>
    <w:rsid w:val="002E635D"/>
    <w:rsid w:val="002E7778"/>
    <w:rsid w:val="002F3E9C"/>
    <w:rsid w:val="002F6734"/>
    <w:rsid w:val="002F680D"/>
    <w:rsid w:val="00303BE6"/>
    <w:rsid w:val="00304011"/>
    <w:rsid w:val="00304B3E"/>
    <w:rsid w:val="00304D97"/>
    <w:rsid w:val="0031180A"/>
    <w:rsid w:val="003122C7"/>
    <w:rsid w:val="0031246D"/>
    <w:rsid w:val="00313127"/>
    <w:rsid w:val="00313304"/>
    <w:rsid w:val="0031444D"/>
    <w:rsid w:val="003155F4"/>
    <w:rsid w:val="003158EE"/>
    <w:rsid w:val="00320309"/>
    <w:rsid w:val="003213A1"/>
    <w:rsid w:val="00321D1E"/>
    <w:rsid w:val="00324FDC"/>
    <w:rsid w:val="0032530E"/>
    <w:rsid w:val="00325A61"/>
    <w:rsid w:val="00326976"/>
    <w:rsid w:val="00326B01"/>
    <w:rsid w:val="003279E4"/>
    <w:rsid w:val="00330274"/>
    <w:rsid w:val="003311D7"/>
    <w:rsid w:val="00332B8B"/>
    <w:rsid w:val="0033319B"/>
    <w:rsid w:val="0033521E"/>
    <w:rsid w:val="003364C7"/>
    <w:rsid w:val="00337CA2"/>
    <w:rsid w:val="003402FB"/>
    <w:rsid w:val="003404A4"/>
    <w:rsid w:val="0034064B"/>
    <w:rsid w:val="003418E4"/>
    <w:rsid w:val="00343179"/>
    <w:rsid w:val="00345348"/>
    <w:rsid w:val="00345CED"/>
    <w:rsid w:val="00346843"/>
    <w:rsid w:val="00347104"/>
    <w:rsid w:val="00347B06"/>
    <w:rsid w:val="003504F1"/>
    <w:rsid w:val="00350852"/>
    <w:rsid w:val="0035096E"/>
    <w:rsid w:val="00350FC0"/>
    <w:rsid w:val="0035129C"/>
    <w:rsid w:val="0035219F"/>
    <w:rsid w:val="00355D01"/>
    <w:rsid w:val="003566B0"/>
    <w:rsid w:val="00360B81"/>
    <w:rsid w:val="00366283"/>
    <w:rsid w:val="0036777E"/>
    <w:rsid w:val="00367CFB"/>
    <w:rsid w:val="003701FA"/>
    <w:rsid w:val="00371B83"/>
    <w:rsid w:val="0037271A"/>
    <w:rsid w:val="00372A26"/>
    <w:rsid w:val="00372EC7"/>
    <w:rsid w:val="003733DE"/>
    <w:rsid w:val="0037484C"/>
    <w:rsid w:val="003749CD"/>
    <w:rsid w:val="00374A6C"/>
    <w:rsid w:val="0038045A"/>
    <w:rsid w:val="003816C8"/>
    <w:rsid w:val="00382718"/>
    <w:rsid w:val="00382B3B"/>
    <w:rsid w:val="00385ED2"/>
    <w:rsid w:val="003866D6"/>
    <w:rsid w:val="0038714A"/>
    <w:rsid w:val="00391F86"/>
    <w:rsid w:val="003923FB"/>
    <w:rsid w:val="003931C7"/>
    <w:rsid w:val="00393F00"/>
    <w:rsid w:val="003945C0"/>
    <w:rsid w:val="003A25A7"/>
    <w:rsid w:val="003A6EB9"/>
    <w:rsid w:val="003A7155"/>
    <w:rsid w:val="003B21AD"/>
    <w:rsid w:val="003B28CC"/>
    <w:rsid w:val="003B499C"/>
    <w:rsid w:val="003B4EE0"/>
    <w:rsid w:val="003B52CE"/>
    <w:rsid w:val="003B535C"/>
    <w:rsid w:val="003B5F0C"/>
    <w:rsid w:val="003B6457"/>
    <w:rsid w:val="003C2120"/>
    <w:rsid w:val="003C47C0"/>
    <w:rsid w:val="003C4BB1"/>
    <w:rsid w:val="003C4E4C"/>
    <w:rsid w:val="003C63A3"/>
    <w:rsid w:val="003C7FA4"/>
    <w:rsid w:val="003D030E"/>
    <w:rsid w:val="003D040D"/>
    <w:rsid w:val="003D1F49"/>
    <w:rsid w:val="003D1F73"/>
    <w:rsid w:val="003D2061"/>
    <w:rsid w:val="003D543B"/>
    <w:rsid w:val="003D5861"/>
    <w:rsid w:val="003D6874"/>
    <w:rsid w:val="003D6AE7"/>
    <w:rsid w:val="003D7E3D"/>
    <w:rsid w:val="003E02C5"/>
    <w:rsid w:val="003E1FE3"/>
    <w:rsid w:val="003E24F1"/>
    <w:rsid w:val="003E32A7"/>
    <w:rsid w:val="003E4CD0"/>
    <w:rsid w:val="003E6102"/>
    <w:rsid w:val="003E74AE"/>
    <w:rsid w:val="003F1765"/>
    <w:rsid w:val="003F19EA"/>
    <w:rsid w:val="003F1A33"/>
    <w:rsid w:val="003F3072"/>
    <w:rsid w:val="003F31E6"/>
    <w:rsid w:val="004004C3"/>
    <w:rsid w:val="00401057"/>
    <w:rsid w:val="00401CBD"/>
    <w:rsid w:val="0040207C"/>
    <w:rsid w:val="004024E4"/>
    <w:rsid w:val="00404424"/>
    <w:rsid w:val="004056B9"/>
    <w:rsid w:val="004061B4"/>
    <w:rsid w:val="00406289"/>
    <w:rsid w:val="00406578"/>
    <w:rsid w:val="004074EF"/>
    <w:rsid w:val="004078CC"/>
    <w:rsid w:val="00407BF1"/>
    <w:rsid w:val="004102C3"/>
    <w:rsid w:val="00410AB2"/>
    <w:rsid w:val="0041307C"/>
    <w:rsid w:val="00413699"/>
    <w:rsid w:val="00413BCF"/>
    <w:rsid w:val="004167B4"/>
    <w:rsid w:val="004167BC"/>
    <w:rsid w:val="00416D8E"/>
    <w:rsid w:val="0042032D"/>
    <w:rsid w:val="004225DC"/>
    <w:rsid w:val="00422817"/>
    <w:rsid w:val="00423A41"/>
    <w:rsid w:val="00425FBA"/>
    <w:rsid w:val="00427C7D"/>
    <w:rsid w:val="00430D7E"/>
    <w:rsid w:val="00432332"/>
    <w:rsid w:val="00432368"/>
    <w:rsid w:val="00433B04"/>
    <w:rsid w:val="00436F73"/>
    <w:rsid w:val="0043784D"/>
    <w:rsid w:val="00437E1A"/>
    <w:rsid w:val="00440256"/>
    <w:rsid w:val="00440E22"/>
    <w:rsid w:val="004412D1"/>
    <w:rsid w:val="0044547D"/>
    <w:rsid w:val="00446F93"/>
    <w:rsid w:val="00447220"/>
    <w:rsid w:val="00451A74"/>
    <w:rsid w:val="004533A1"/>
    <w:rsid w:val="004552AB"/>
    <w:rsid w:val="004553FF"/>
    <w:rsid w:val="0045622C"/>
    <w:rsid w:val="00464B51"/>
    <w:rsid w:val="00464FB1"/>
    <w:rsid w:val="00466320"/>
    <w:rsid w:val="00467185"/>
    <w:rsid w:val="00467736"/>
    <w:rsid w:val="0047050C"/>
    <w:rsid w:val="00472272"/>
    <w:rsid w:val="00472A45"/>
    <w:rsid w:val="00473540"/>
    <w:rsid w:val="00473930"/>
    <w:rsid w:val="00474D25"/>
    <w:rsid w:val="004750DB"/>
    <w:rsid w:val="004750FB"/>
    <w:rsid w:val="0047649C"/>
    <w:rsid w:val="00476C4F"/>
    <w:rsid w:val="00480F21"/>
    <w:rsid w:val="0048108E"/>
    <w:rsid w:val="00481389"/>
    <w:rsid w:val="004821BA"/>
    <w:rsid w:val="0048537F"/>
    <w:rsid w:val="00485CB4"/>
    <w:rsid w:val="004874E5"/>
    <w:rsid w:val="00487885"/>
    <w:rsid w:val="004909C3"/>
    <w:rsid w:val="00490A65"/>
    <w:rsid w:val="00490DB4"/>
    <w:rsid w:val="0049116C"/>
    <w:rsid w:val="00491968"/>
    <w:rsid w:val="00492372"/>
    <w:rsid w:val="004930C9"/>
    <w:rsid w:val="00493EAC"/>
    <w:rsid w:val="00493F62"/>
    <w:rsid w:val="00494004"/>
    <w:rsid w:val="00494832"/>
    <w:rsid w:val="004957C2"/>
    <w:rsid w:val="00495AF1"/>
    <w:rsid w:val="00497A89"/>
    <w:rsid w:val="004A36BB"/>
    <w:rsid w:val="004A4CED"/>
    <w:rsid w:val="004A4D74"/>
    <w:rsid w:val="004A6BE6"/>
    <w:rsid w:val="004A7A80"/>
    <w:rsid w:val="004B047F"/>
    <w:rsid w:val="004B0828"/>
    <w:rsid w:val="004B3304"/>
    <w:rsid w:val="004B3DF1"/>
    <w:rsid w:val="004B4BC0"/>
    <w:rsid w:val="004B5555"/>
    <w:rsid w:val="004C011C"/>
    <w:rsid w:val="004C0484"/>
    <w:rsid w:val="004C259B"/>
    <w:rsid w:val="004C608C"/>
    <w:rsid w:val="004C777E"/>
    <w:rsid w:val="004D0605"/>
    <w:rsid w:val="004D0C54"/>
    <w:rsid w:val="004D16A4"/>
    <w:rsid w:val="004E4353"/>
    <w:rsid w:val="004E6682"/>
    <w:rsid w:val="004E6D8A"/>
    <w:rsid w:val="004F0411"/>
    <w:rsid w:val="004F10C1"/>
    <w:rsid w:val="004F15EF"/>
    <w:rsid w:val="004F22FE"/>
    <w:rsid w:val="004F774D"/>
    <w:rsid w:val="005002FC"/>
    <w:rsid w:val="005013B0"/>
    <w:rsid w:val="005015E4"/>
    <w:rsid w:val="005017A6"/>
    <w:rsid w:val="0050291D"/>
    <w:rsid w:val="005064CD"/>
    <w:rsid w:val="00506C00"/>
    <w:rsid w:val="0050783B"/>
    <w:rsid w:val="00511016"/>
    <w:rsid w:val="005127E0"/>
    <w:rsid w:val="005146FC"/>
    <w:rsid w:val="00514D8C"/>
    <w:rsid w:val="005159B3"/>
    <w:rsid w:val="00522C03"/>
    <w:rsid w:val="00523110"/>
    <w:rsid w:val="00524A71"/>
    <w:rsid w:val="00525750"/>
    <w:rsid w:val="00525EA4"/>
    <w:rsid w:val="00526448"/>
    <w:rsid w:val="005276B7"/>
    <w:rsid w:val="0052791F"/>
    <w:rsid w:val="00532CFF"/>
    <w:rsid w:val="00533BE1"/>
    <w:rsid w:val="00534D3D"/>
    <w:rsid w:val="00536880"/>
    <w:rsid w:val="0053759C"/>
    <w:rsid w:val="00537CEC"/>
    <w:rsid w:val="00540AA0"/>
    <w:rsid w:val="00540AD0"/>
    <w:rsid w:val="0054357A"/>
    <w:rsid w:val="00543A76"/>
    <w:rsid w:val="00547738"/>
    <w:rsid w:val="005522F3"/>
    <w:rsid w:val="005523D1"/>
    <w:rsid w:val="0055401F"/>
    <w:rsid w:val="00554A1D"/>
    <w:rsid w:val="0055532E"/>
    <w:rsid w:val="00555BC3"/>
    <w:rsid w:val="00557C8E"/>
    <w:rsid w:val="00561B2B"/>
    <w:rsid w:val="0056357E"/>
    <w:rsid w:val="0056479E"/>
    <w:rsid w:val="00564952"/>
    <w:rsid w:val="0056645F"/>
    <w:rsid w:val="00571AB1"/>
    <w:rsid w:val="00572538"/>
    <w:rsid w:val="00573797"/>
    <w:rsid w:val="00577E1C"/>
    <w:rsid w:val="00580DB1"/>
    <w:rsid w:val="005814AC"/>
    <w:rsid w:val="00584676"/>
    <w:rsid w:val="00584923"/>
    <w:rsid w:val="005854B7"/>
    <w:rsid w:val="00585708"/>
    <w:rsid w:val="00587AB1"/>
    <w:rsid w:val="0059070B"/>
    <w:rsid w:val="0059283C"/>
    <w:rsid w:val="005942BF"/>
    <w:rsid w:val="00595082"/>
    <w:rsid w:val="00596824"/>
    <w:rsid w:val="005A0D95"/>
    <w:rsid w:val="005A224B"/>
    <w:rsid w:val="005A2741"/>
    <w:rsid w:val="005A5EAE"/>
    <w:rsid w:val="005A68E9"/>
    <w:rsid w:val="005B1225"/>
    <w:rsid w:val="005B17D8"/>
    <w:rsid w:val="005B1D82"/>
    <w:rsid w:val="005B4077"/>
    <w:rsid w:val="005B65E5"/>
    <w:rsid w:val="005C170D"/>
    <w:rsid w:val="005C28B0"/>
    <w:rsid w:val="005C2F01"/>
    <w:rsid w:val="005C5F3C"/>
    <w:rsid w:val="005D01BE"/>
    <w:rsid w:val="005D0D8B"/>
    <w:rsid w:val="005D1177"/>
    <w:rsid w:val="005D1D13"/>
    <w:rsid w:val="005D254A"/>
    <w:rsid w:val="005D2BA2"/>
    <w:rsid w:val="005D5460"/>
    <w:rsid w:val="005E08CD"/>
    <w:rsid w:val="005E3464"/>
    <w:rsid w:val="005E37E8"/>
    <w:rsid w:val="005E3B81"/>
    <w:rsid w:val="005E4609"/>
    <w:rsid w:val="005E74C5"/>
    <w:rsid w:val="005F219D"/>
    <w:rsid w:val="005F2437"/>
    <w:rsid w:val="005F318A"/>
    <w:rsid w:val="005F76F4"/>
    <w:rsid w:val="005F7710"/>
    <w:rsid w:val="006004F7"/>
    <w:rsid w:val="00603261"/>
    <w:rsid w:val="00603712"/>
    <w:rsid w:val="00607597"/>
    <w:rsid w:val="00610F93"/>
    <w:rsid w:val="006127CC"/>
    <w:rsid w:val="00613C08"/>
    <w:rsid w:val="0061456F"/>
    <w:rsid w:val="00614661"/>
    <w:rsid w:val="006153F7"/>
    <w:rsid w:val="0061599A"/>
    <w:rsid w:val="006243C6"/>
    <w:rsid w:val="006273BC"/>
    <w:rsid w:val="00627D74"/>
    <w:rsid w:val="00631FCA"/>
    <w:rsid w:val="00632009"/>
    <w:rsid w:val="00632099"/>
    <w:rsid w:val="00632D70"/>
    <w:rsid w:val="00633411"/>
    <w:rsid w:val="00633CF1"/>
    <w:rsid w:val="00635A6C"/>
    <w:rsid w:val="00635F02"/>
    <w:rsid w:val="00637091"/>
    <w:rsid w:val="006401C0"/>
    <w:rsid w:val="00641675"/>
    <w:rsid w:val="00642839"/>
    <w:rsid w:val="006457F8"/>
    <w:rsid w:val="00645CCB"/>
    <w:rsid w:val="0064700E"/>
    <w:rsid w:val="006472A3"/>
    <w:rsid w:val="006474E0"/>
    <w:rsid w:val="006478CB"/>
    <w:rsid w:val="00650B88"/>
    <w:rsid w:val="00650E2C"/>
    <w:rsid w:val="0065263E"/>
    <w:rsid w:val="00652C58"/>
    <w:rsid w:val="006530EF"/>
    <w:rsid w:val="00654AFF"/>
    <w:rsid w:val="006554DD"/>
    <w:rsid w:val="006557EC"/>
    <w:rsid w:val="00656F83"/>
    <w:rsid w:val="00660951"/>
    <w:rsid w:val="006636E2"/>
    <w:rsid w:val="00664325"/>
    <w:rsid w:val="00664C4E"/>
    <w:rsid w:val="00665E85"/>
    <w:rsid w:val="00666273"/>
    <w:rsid w:val="00667FA9"/>
    <w:rsid w:val="00671447"/>
    <w:rsid w:val="0067233D"/>
    <w:rsid w:val="00672B2E"/>
    <w:rsid w:val="006745AE"/>
    <w:rsid w:val="00676870"/>
    <w:rsid w:val="00676AF3"/>
    <w:rsid w:val="00677895"/>
    <w:rsid w:val="00677BEF"/>
    <w:rsid w:val="006814A3"/>
    <w:rsid w:val="006826AB"/>
    <w:rsid w:val="00682AFC"/>
    <w:rsid w:val="00683344"/>
    <w:rsid w:val="0068479D"/>
    <w:rsid w:val="00684FC9"/>
    <w:rsid w:val="0069072B"/>
    <w:rsid w:val="0069174B"/>
    <w:rsid w:val="00693340"/>
    <w:rsid w:val="006A04C7"/>
    <w:rsid w:val="006A4287"/>
    <w:rsid w:val="006B05E3"/>
    <w:rsid w:val="006B09BC"/>
    <w:rsid w:val="006B2ACA"/>
    <w:rsid w:val="006B3F97"/>
    <w:rsid w:val="006B6D5D"/>
    <w:rsid w:val="006B7B5A"/>
    <w:rsid w:val="006C0801"/>
    <w:rsid w:val="006C0C2C"/>
    <w:rsid w:val="006C1EAA"/>
    <w:rsid w:val="006C216F"/>
    <w:rsid w:val="006C3449"/>
    <w:rsid w:val="006C45D4"/>
    <w:rsid w:val="006C570F"/>
    <w:rsid w:val="006C6C13"/>
    <w:rsid w:val="006C771F"/>
    <w:rsid w:val="006D11BD"/>
    <w:rsid w:val="006D2042"/>
    <w:rsid w:val="006D66E3"/>
    <w:rsid w:val="006D6B60"/>
    <w:rsid w:val="006D75BA"/>
    <w:rsid w:val="006D7855"/>
    <w:rsid w:val="006E010C"/>
    <w:rsid w:val="006E1003"/>
    <w:rsid w:val="006E16BF"/>
    <w:rsid w:val="006E18F0"/>
    <w:rsid w:val="006E2C89"/>
    <w:rsid w:val="006E38AF"/>
    <w:rsid w:val="006E4F93"/>
    <w:rsid w:val="006E5016"/>
    <w:rsid w:val="006E7F4D"/>
    <w:rsid w:val="006F0EA4"/>
    <w:rsid w:val="006F10FE"/>
    <w:rsid w:val="006F1174"/>
    <w:rsid w:val="006F5465"/>
    <w:rsid w:val="00700135"/>
    <w:rsid w:val="00701FD5"/>
    <w:rsid w:val="007020AF"/>
    <w:rsid w:val="0070212F"/>
    <w:rsid w:val="007023AB"/>
    <w:rsid w:val="007034D5"/>
    <w:rsid w:val="00704C40"/>
    <w:rsid w:val="00704D5A"/>
    <w:rsid w:val="00705180"/>
    <w:rsid w:val="00705D90"/>
    <w:rsid w:val="00706917"/>
    <w:rsid w:val="00710A39"/>
    <w:rsid w:val="00711397"/>
    <w:rsid w:val="00711605"/>
    <w:rsid w:val="00711DF6"/>
    <w:rsid w:val="00713211"/>
    <w:rsid w:val="00715697"/>
    <w:rsid w:val="00716FBC"/>
    <w:rsid w:val="00717090"/>
    <w:rsid w:val="00720739"/>
    <w:rsid w:val="0072253E"/>
    <w:rsid w:val="00723E1F"/>
    <w:rsid w:val="0072443D"/>
    <w:rsid w:val="007247E5"/>
    <w:rsid w:val="007248B7"/>
    <w:rsid w:val="007254CA"/>
    <w:rsid w:val="007267D2"/>
    <w:rsid w:val="007270E3"/>
    <w:rsid w:val="00730CF8"/>
    <w:rsid w:val="00731A90"/>
    <w:rsid w:val="00732608"/>
    <w:rsid w:val="00733251"/>
    <w:rsid w:val="0073375B"/>
    <w:rsid w:val="007339DD"/>
    <w:rsid w:val="00734083"/>
    <w:rsid w:val="007347E7"/>
    <w:rsid w:val="007354C1"/>
    <w:rsid w:val="00736DCA"/>
    <w:rsid w:val="00740A69"/>
    <w:rsid w:val="00740BDB"/>
    <w:rsid w:val="00740E4B"/>
    <w:rsid w:val="00741F5A"/>
    <w:rsid w:val="00742A6C"/>
    <w:rsid w:val="00743588"/>
    <w:rsid w:val="00743FCD"/>
    <w:rsid w:val="00745C47"/>
    <w:rsid w:val="00745E49"/>
    <w:rsid w:val="0075003D"/>
    <w:rsid w:val="00750D53"/>
    <w:rsid w:val="00751C98"/>
    <w:rsid w:val="00751D97"/>
    <w:rsid w:val="00752C55"/>
    <w:rsid w:val="00753608"/>
    <w:rsid w:val="007562D4"/>
    <w:rsid w:val="007573FA"/>
    <w:rsid w:val="00757EF9"/>
    <w:rsid w:val="00761DBF"/>
    <w:rsid w:val="00761FCF"/>
    <w:rsid w:val="007653F2"/>
    <w:rsid w:val="00765503"/>
    <w:rsid w:val="00766C93"/>
    <w:rsid w:val="007672CC"/>
    <w:rsid w:val="00767B7E"/>
    <w:rsid w:val="00770195"/>
    <w:rsid w:val="007705E9"/>
    <w:rsid w:val="00771D7D"/>
    <w:rsid w:val="007727C4"/>
    <w:rsid w:val="007745B7"/>
    <w:rsid w:val="007750C8"/>
    <w:rsid w:val="00776538"/>
    <w:rsid w:val="0077714E"/>
    <w:rsid w:val="007779D4"/>
    <w:rsid w:val="007802BE"/>
    <w:rsid w:val="00780EEF"/>
    <w:rsid w:val="0078134C"/>
    <w:rsid w:val="00781C47"/>
    <w:rsid w:val="00782189"/>
    <w:rsid w:val="007837C7"/>
    <w:rsid w:val="00784B44"/>
    <w:rsid w:val="007853BC"/>
    <w:rsid w:val="00785465"/>
    <w:rsid w:val="00787656"/>
    <w:rsid w:val="00790C7F"/>
    <w:rsid w:val="00791767"/>
    <w:rsid w:val="0079268A"/>
    <w:rsid w:val="00793A4B"/>
    <w:rsid w:val="00794859"/>
    <w:rsid w:val="00794A5F"/>
    <w:rsid w:val="00797C88"/>
    <w:rsid w:val="007A0EF1"/>
    <w:rsid w:val="007A1013"/>
    <w:rsid w:val="007A235B"/>
    <w:rsid w:val="007A4CA9"/>
    <w:rsid w:val="007A60B4"/>
    <w:rsid w:val="007A7D19"/>
    <w:rsid w:val="007A7EC2"/>
    <w:rsid w:val="007B042D"/>
    <w:rsid w:val="007B05BB"/>
    <w:rsid w:val="007B3DEA"/>
    <w:rsid w:val="007B5566"/>
    <w:rsid w:val="007B6E0A"/>
    <w:rsid w:val="007B764C"/>
    <w:rsid w:val="007C118A"/>
    <w:rsid w:val="007C2007"/>
    <w:rsid w:val="007C33D8"/>
    <w:rsid w:val="007C636F"/>
    <w:rsid w:val="007C699D"/>
    <w:rsid w:val="007C6C73"/>
    <w:rsid w:val="007C7899"/>
    <w:rsid w:val="007D01E4"/>
    <w:rsid w:val="007D0FC7"/>
    <w:rsid w:val="007D16C2"/>
    <w:rsid w:val="007D39EB"/>
    <w:rsid w:val="007D4512"/>
    <w:rsid w:val="007E019A"/>
    <w:rsid w:val="007E7319"/>
    <w:rsid w:val="007E74E1"/>
    <w:rsid w:val="007E77A8"/>
    <w:rsid w:val="007F215D"/>
    <w:rsid w:val="007F24BF"/>
    <w:rsid w:val="007F491C"/>
    <w:rsid w:val="007F79C5"/>
    <w:rsid w:val="00800D07"/>
    <w:rsid w:val="008025F3"/>
    <w:rsid w:val="0080288B"/>
    <w:rsid w:val="00802A99"/>
    <w:rsid w:val="00803BF8"/>
    <w:rsid w:val="008049A6"/>
    <w:rsid w:val="00804D3D"/>
    <w:rsid w:val="008061C9"/>
    <w:rsid w:val="008066D8"/>
    <w:rsid w:val="008074BB"/>
    <w:rsid w:val="00811A18"/>
    <w:rsid w:val="008121AF"/>
    <w:rsid w:val="00812E18"/>
    <w:rsid w:val="00812F3D"/>
    <w:rsid w:val="00813711"/>
    <w:rsid w:val="008179B6"/>
    <w:rsid w:val="00820342"/>
    <w:rsid w:val="00821E64"/>
    <w:rsid w:val="00821EDD"/>
    <w:rsid w:val="008223E9"/>
    <w:rsid w:val="008253C4"/>
    <w:rsid w:val="008263C2"/>
    <w:rsid w:val="00826810"/>
    <w:rsid w:val="00830502"/>
    <w:rsid w:val="008307DB"/>
    <w:rsid w:val="00831A7E"/>
    <w:rsid w:val="00833398"/>
    <w:rsid w:val="00835D9D"/>
    <w:rsid w:val="00835FC9"/>
    <w:rsid w:val="008368F8"/>
    <w:rsid w:val="008370E3"/>
    <w:rsid w:val="008418FA"/>
    <w:rsid w:val="00842959"/>
    <w:rsid w:val="00843390"/>
    <w:rsid w:val="0084645A"/>
    <w:rsid w:val="00847E3D"/>
    <w:rsid w:val="0085235A"/>
    <w:rsid w:val="00852F69"/>
    <w:rsid w:val="008533E3"/>
    <w:rsid w:val="00853725"/>
    <w:rsid w:val="00853F8F"/>
    <w:rsid w:val="00854138"/>
    <w:rsid w:val="00854410"/>
    <w:rsid w:val="008544DF"/>
    <w:rsid w:val="0085533A"/>
    <w:rsid w:val="008566A5"/>
    <w:rsid w:val="008602B6"/>
    <w:rsid w:val="00860AAD"/>
    <w:rsid w:val="00861AA6"/>
    <w:rsid w:val="008652D5"/>
    <w:rsid w:val="008708F3"/>
    <w:rsid w:val="00870C59"/>
    <w:rsid w:val="00871354"/>
    <w:rsid w:val="00873611"/>
    <w:rsid w:val="00873C8F"/>
    <w:rsid w:val="008745FE"/>
    <w:rsid w:val="00874FB3"/>
    <w:rsid w:val="00876012"/>
    <w:rsid w:val="00877F7C"/>
    <w:rsid w:val="00880BE3"/>
    <w:rsid w:val="00881359"/>
    <w:rsid w:val="00882093"/>
    <w:rsid w:val="00882588"/>
    <w:rsid w:val="00884ADE"/>
    <w:rsid w:val="008856CF"/>
    <w:rsid w:val="00885864"/>
    <w:rsid w:val="00887014"/>
    <w:rsid w:val="00890A1D"/>
    <w:rsid w:val="0089383B"/>
    <w:rsid w:val="00893E2B"/>
    <w:rsid w:val="00894323"/>
    <w:rsid w:val="0089534B"/>
    <w:rsid w:val="0089616F"/>
    <w:rsid w:val="00897237"/>
    <w:rsid w:val="008A0232"/>
    <w:rsid w:val="008A5FEA"/>
    <w:rsid w:val="008A6E73"/>
    <w:rsid w:val="008B0470"/>
    <w:rsid w:val="008B05E7"/>
    <w:rsid w:val="008B06C5"/>
    <w:rsid w:val="008B164E"/>
    <w:rsid w:val="008B415D"/>
    <w:rsid w:val="008B4923"/>
    <w:rsid w:val="008B4F06"/>
    <w:rsid w:val="008B4FDF"/>
    <w:rsid w:val="008B502A"/>
    <w:rsid w:val="008B57D8"/>
    <w:rsid w:val="008B6353"/>
    <w:rsid w:val="008B65CF"/>
    <w:rsid w:val="008B7A65"/>
    <w:rsid w:val="008C1219"/>
    <w:rsid w:val="008C123E"/>
    <w:rsid w:val="008C137D"/>
    <w:rsid w:val="008C22DD"/>
    <w:rsid w:val="008C3DFD"/>
    <w:rsid w:val="008C3E28"/>
    <w:rsid w:val="008C3ED0"/>
    <w:rsid w:val="008C4203"/>
    <w:rsid w:val="008C5DA5"/>
    <w:rsid w:val="008C5E94"/>
    <w:rsid w:val="008C5EFF"/>
    <w:rsid w:val="008D196A"/>
    <w:rsid w:val="008D27BC"/>
    <w:rsid w:val="008D5113"/>
    <w:rsid w:val="008D551E"/>
    <w:rsid w:val="008E184B"/>
    <w:rsid w:val="008E3DBA"/>
    <w:rsid w:val="008E3EF2"/>
    <w:rsid w:val="008E51C9"/>
    <w:rsid w:val="008E5BEB"/>
    <w:rsid w:val="008E6306"/>
    <w:rsid w:val="008E7639"/>
    <w:rsid w:val="008F3F6A"/>
    <w:rsid w:val="008F6355"/>
    <w:rsid w:val="008F68F7"/>
    <w:rsid w:val="009005A6"/>
    <w:rsid w:val="009006CF"/>
    <w:rsid w:val="00900C71"/>
    <w:rsid w:val="00902A1C"/>
    <w:rsid w:val="009037B6"/>
    <w:rsid w:val="009063F3"/>
    <w:rsid w:val="00906CBE"/>
    <w:rsid w:val="00910024"/>
    <w:rsid w:val="00910384"/>
    <w:rsid w:val="00911A60"/>
    <w:rsid w:val="00914B0C"/>
    <w:rsid w:val="0091643D"/>
    <w:rsid w:val="00916E33"/>
    <w:rsid w:val="009175A6"/>
    <w:rsid w:val="0092093B"/>
    <w:rsid w:val="00930669"/>
    <w:rsid w:val="00932C33"/>
    <w:rsid w:val="00937C63"/>
    <w:rsid w:val="009401B7"/>
    <w:rsid w:val="009427A1"/>
    <w:rsid w:val="00942A73"/>
    <w:rsid w:val="00942FFE"/>
    <w:rsid w:val="009551E0"/>
    <w:rsid w:val="00955DC1"/>
    <w:rsid w:val="0095654E"/>
    <w:rsid w:val="00956F3C"/>
    <w:rsid w:val="0096054C"/>
    <w:rsid w:val="00960CFB"/>
    <w:rsid w:val="0096176D"/>
    <w:rsid w:val="009662E0"/>
    <w:rsid w:val="00970678"/>
    <w:rsid w:val="00971C34"/>
    <w:rsid w:val="00972488"/>
    <w:rsid w:val="009726D0"/>
    <w:rsid w:val="00973B23"/>
    <w:rsid w:val="0097421D"/>
    <w:rsid w:val="00976117"/>
    <w:rsid w:val="00976A23"/>
    <w:rsid w:val="0097749C"/>
    <w:rsid w:val="009800BC"/>
    <w:rsid w:val="00980575"/>
    <w:rsid w:val="009816F6"/>
    <w:rsid w:val="009824F5"/>
    <w:rsid w:val="009843BA"/>
    <w:rsid w:val="0098456D"/>
    <w:rsid w:val="009900F0"/>
    <w:rsid w:val="00990B9B"/>
    <w:rsid w:val="00991370"/>
    <w:rsid w:val="00991769"/>
    <w:rsid w:val="00991ACA"/>
    <w:rsid w:val="009928B5"/>
    <w:rsid w:val="00993236"/>
    <w:rsid w:val="00993D8C"/>
    <w:rsid w:val="00994E3D"/>
    <w:rsid w:val="0099651C"/>
    <w:rsid w:val="009A02ED"/>
    <w:rsid w:val="009A297E"/>
    <w:rsid w:val="009A6127"/>
    <w:rsid w:val="009A706D"/>
    <w:rsid w:val="009B005D"/>
    <w:rsid w:val="009B094B"/>
    <w:rsid w:val="009B0CC1"/>
    <w:rsid w:val="009B2C7D"/>
    <w:rsid w:val="009B5AE5"/>
    <w:rsid w:val="009B69F0"/>
    <w:rsid w:val="009B713C"/>
    <w:rsid w:val="009C0F18"/>
    <w:rsid w:val="009C12C6"/>
    <w:rsid w:val="009C19D4"/>
    <w:rsid w:val="009C2555"/>
    <w:rsid w:val="009C2858"/>
    <w:rsid w:val="009C2DA6"/>
    <w:rsid w:val="009C5B4F"/>
    <w:rsid w:val="009C705A"/>
    <w:rsid w:val="009C7778"/>
    <w:rsid w:val="009C7EE6"/>
    <w:rsid w:val="009D06AE"/>
    <w:rsid w:val="009D09E2"/>
    <w:rsid w:val="009D1E42"/>
    <w:rsid w:val="009D2205"/>
    <w:rsid w:val="009D282B"/>
    <w:rsid w:val="009D5C90"/>
    <w:rsid w:val="009D5DB5"/>
    <w:rsid w:val="009D7148"/>
    <w:rsid w:val="009E02FD"/>
    <w:rsid w:val="009E0785"/>
    <w:rsid w:val="009E34FA"/>
    <w:rsid w:val="009E4C74"/>
    <w:rsid w:val="009E56CC"/>
    <w:rsid w:val="009E59F1"/>
    <w:rsid w:val="009E62B6"/>
    <w:rsid w:val="009F06C4"/>
    <w:rsid w:val="009F0A1A"/>
    <w:rsid w:val="009F0EA5"/>
    <w:rsid w:val="009F1051"/>
    <w:rsid w:val="009F26CA"/>
    <w:rsid w:val="009F35DA"/>
    <w:rsid w:val="009F3C0D"/>
    <w:rsid w:val="009F4034"/>
    <w:rsid w:val="009F43D0"/>
    <w:rsid w:val="009F5522"/>
    <w:rsid w:val="00A000F0"/>
    <w:rsid w:val="00A00568"/>
    <w:rsid w:val="00A00620"/>
    <w:rsid w:val="00A00884"/>
    <w:rsid w:val="00A00EEB"/>
    <w:rsid w:val="00A020CE"/>
    <w:rsid w:val="00A02F62"/>
    <w:rsid w:val="00A02FA3"/>
    <w:rsid w:val="00A030C3"/>
    <w:rsid w:val="00A04803"/>
    <w:rsid w:val="00A06EBF"/>
    <w:rsid w:val="00A10147"/>
    <w:rsid w:val="00A10EDE"/>
    <w:rsid w:val="00A1105D"/>
    <w:rsid w:val="00A11331"/>
    <w:rsid w:val="00A1163B"/>
    <w:rsid w:val="00A12348"/>
    <w:rsid w:val="00A131E6"/>
    <w:rsid w:val="00A13843"/>
    <w:rsid w:val="00A146A5"/>
    <w:rsid w:val="00A1552C"/>
    <w:rsid w:val="00A17466"/>
    <w:rsid w:val="00A204B3"/>
    <w:rsid w:val="00A20576"/>
    <w:rsid w:val="00A21593"/>
    <w:rsid w:val="00A221F7"/>
    <w:rsid w:val="00A2227F"/>
    <w:rsid w:val="00A22C21"/>
    <w:rsid w:val="00A23412"/>
    <w:rsid w:val="00A24535"/>
    <w:rsid w:val="00A246AC"/>
    <w:rsid w:val="00A24AFA"/>
    <w:rsid w:val="00A25CA2"/>
    <w:rsid w:val="00A2604E"/>
    <w:rsid w:val="00A26571"/>
    <w:rsid w:val="00A31CCE"/>
    <w:rsid w:val="00A327B6"/>
    <w:rsid w:val="00A33C95"/>
    <w:rsid w:val="00A34FF3"/>
    <w:rsid w:val="00A35351"/>
    <w:rsid w:val="00A361C7"/>
    <w:rsid w:val="00A36723"/>
    <w:rsid w:val="00A417B9"/>
    <w:rsid w:val="00A43140"/>
    <w:rsid w:val="00A44C7B"/>
    <w:rsid w:val="00A46DF5"/>
    <w:rsid w:val="00A5149A"/>
    <w:rsid w:val="00A53650"/>
    <w:rsid w:val="00A53E51"/>
    <w:rsid w:val="00A56F51"/>
    <w:rsid w:val="00A57183"/>
    <w:rsid w:val="00A60693"/>
    <w:rsid w:val="00A6196D"/>
    <w:rsid w:val="00A619C0"/>
    <w:rsid w:val="00A61ADF"/>
    <w:rsid w:val="00A62012"/>
    <w:rsid w:val="00A624CB"/>
    <w:rsid w:val="00A62AC0"/>
    <w:rsid w:val="00A64474"/>
    <w:rsid w:val="00A64DF0"/>
    <w:rsid w:val="00A72A9C"/>
    <w:rsid w:val="00A74FE6"/>
    <w:rsid w:val="00A75118"/>
    <w:rsid w:val="00A761A1"/>
    <w:rsid w:val="00A76BD2"/>
    <w:rsid w:val="00A80679"/>
    <w:rsid w:val="00A82238"/>
    <w:rsid w:val="00A8267D"/>
    <w:rsid w:val="00A82E14"/>
    <w:rsid w:val="00A83CD4"/>
    <w:rsid w:val="00A85862"/>
    <w:rsid w:val="00A85F13"/>
    <w:rsid w:val="00A8688E"/>
    <w:rsid w:val="00A86CFE"/>
    <w:rsid w:val="00A8722B"/>
    <w:rsid w:val="00A901E9"/>
    <w:rsid w:val="00A917B6"/>
    <w:rsid w:val="00A91831"/>
    <w:rsid w:val="00A91B3B"/>
    <w:rsid w:val="00A92050"/>
    <w:rsid w:val="00A93B4F"/>
    <w:rsid w:val="00A93F00"/>
    <w:rsid w:val="00A94F7A"/>
    <w:rsid w:val="00A95D3B"/>
    <w:rsid w:val="00A96B0F"/>
    <w:rsid w:val="00A97341"/>
    <w:rsid w:val="00AA0081"/>
    <w:rsid w:val="00AA05D6"/>
    <w:rsid w:val="00AA3CC7"/>
    <w:rsid w:val="00AA4E4D"/>
    <w:rsid w:val="00AA5E38"/>
    <w:rsid w:val="00AB09ED"/>
    <w:rsid w:val="00AB3DC0"/>
    <w:rsid w:val="00AB4CBB"/>
    <w:rsid w:val="00AC125E"/>
    <w:rsid w:val="00AC3E43"/>
    <w:rsid w:val="00AC45DF"/>
    <w:rsid w:val="00AC474D"/>
    <w:rsid w:val="00AC4DFD"/>
    <w:rsid w:val="00AC4F47"/>
    <w:rsid w:val="00AC4FFD"/>
    <w:rsid w:val="00AC5663"/>
    <w:rsid w:val="00AC58FD"/>
    <w:rsid w:val="00AC5E91"/>
    <w:rsid w:val="00AD0F6D"/>
    <w:rsid w:val="00AD1156"/>
    <w:rsid w:val="00AD1166"/>
    <w:rsid w:val="00AD19D2"/>
    <w:rsid w:val="00AD1A96"/>
    <w:rsid w:val="00AD1CAD"/>
    <w:rsid w:val="00AD235A"/>
    <w:rsid w:val="00AD3042"/>
    <w:rsid w:val="00AD4A9A"/>
    <w:rsid w:val="00AD793A"/>
    <w:rsid w:val="00AE0120"/>
    <w:rsid w:val="00AE0622"/>
    <w:rsid w:val="00AE0725"/>
    <w:rsid w:val="00AE0867"/>
    <w:rsid w:val="00AE3038"/>
    <w:rsid w:val="00AE3D4A"/>
    <w:rsid w:val="00AE5956"/>
    <w:rsid w:val="00AE619F"/>
    <w:rsid w:val="00AE7A88"/>
    <w:rsid w:val="00AF060F"/>
    <w:rsid w:val="00AF13D2"/>
    <w:rsid w:val="00AF2A56"/>
    <w:rsid w:val="00AF45B0"/>
    <w:rsid w:val="00AF51D1"/>
    <w:rsid w:val="00AF6321"/>
    <w:rsid w:val="00AF63AB"/>
    <w:rsid w:val="00B00988"/>
    <w:rsid w:val="00B00F34"/>
    <w:rsid w:val="00B01784"/>
    <w:rsid w:val="00B0388B"/>
    <w:rsid w:val="00B03BEE"/>
    <w:rsid w:val="00B03E25"/>
    <w:rsid w:val="00B0517E"/>
    <w:rsid w:val="00B05CEF"/>
    <w:rsid w:val="00B0750D"/>
    <w:rsid w:val="00B11314"/>
    <w:rsid w:val="00B113E3"/>
    <w:rsid w:val="00B1156A"/>
    <w:rsid w:val="00B138E3"/>
    <w:rsid w:val="00B13FB5"/>
    <w:rsid w:val="00B14898"/>
    <w:rsid w:val="00B160E2"/>
    <w:rsid w:val="00B178FA"/>
    <w:rsid w:val="00B17D8E"/>
    <w:rsid w:val="00B207C3"/>
    <w:rsid w:val="00B21443"/>
    <w:rsid w:val="00B22468"/>
    <w:rsid w:val="00B229FD"/>
    <w:rsid w:val="00B23267"/>
    <w:rsid w:val="00B23752"/>
    <w:rsid w:val="00B23906"/>
    <w:rsid w:val="00B23F96"/>
    <w:rsid w:val="00B24A7A"/>
    <w:rsid w:val="00B257BF"/>
    <w:rsid w:val="00B27149"/>
    <w:rsid w:val="00B30AB2"/>
    <w:rsid w:val="00B3279A"/>
    <w:rsid w:val="00B34BB7"/>
    <w:rsid w:val="00B35B4D"/>
    <w:rsid w:val="00B362F0"/>
    <w:rsid w:val="00B36652"/>
    <w:rsid w:val="00B375D5"/>
    <w:rsid w:val="00B40706"/>
    <w:rsid w:val="00B425AB"/>
    <w:rsid w:val="00B42B94"/>
    <w:rsid w:val="00B43417"/>
    <w:rsid w:val="00B45279"/>
    <w:rsid w:val="00B47090"/>
    <w:rsid w:val="00B532D1"/>
    <w:rsid w:val="00B5707A"/>
    <w:rsid w:val="00B57925"/>
    <w:rsid w:val="00B57C86"/>
    <w:rsid w:val="00B57ECE"/>
    <w:rsid w:val="00B601BB"/>
    <w:rsid w:val="00B602A5"/>
    <w:rsid w:val="00B61E3E"/>
    <w:rsid w:val="00B62893"/>
    <w:rsid w:val="00B6432A"/>
    <w:rsid w:val="00B67A79"/>
    <w:rsid w:val="00B70227"/>
    <w:rsid w:val="00B70852"/>
    <w:rsid w:val="00B722AE"/>
    <w:rsid w:val="00B72335"/>
    <w:rsid w:val="00B72D62"/>
    <w:rsid w:val="00B74105"/>
    <w:rsid w:val="00B767AF"/>
    <w:rsid w:val="00B77926"/>
    <w:rsid w:val="00B80511"/>
    <w:rsid w:val="00B80798"/>
    <w:rsid w:val="00B80876"/>
    <w:rsid w:val="00B80934"/>
    <w:rsid w:val="00B82C3C"/>
    <w:rsid w:val="00B82DE6"/>
    <w:rsid w:val="00B831CD"/>
    <w:rsid w:val="00B846F6"/>
    <w:rsid w:val="00B85329"/>
    <w:rsid w:val="00B85446"/>
    <w:rsid w:val="00B8701A"/>
    <w:rsid w:val="00B91B73"/>
    <w:rsid w:val="00B91B9D"/>
    <w:rsid w:val="00B92FEB"/>
    <w:rsid w:val="00B93069"/>
    <w:rsid w:val="00B94A49"/>
    <w:rsid w:val="00B965B5"/>
    <w:rsid w:val="00B96978"/>
    <w:rsid w:val="00B97BCF"/>
    <w:rsid w:val="00BA1B71"/>
    <w:rsid w:val="00BA3176"/>
    <w:rsid w:val="00BA5E20"/>
    <w:rsid w:val="00BA607C"/>
    <w:rsid w:val="00BA60E5"/>
    <w:rsid w:val="00BA656F"/>
    <w:rsid w:val="00BA6734"/>
    <w:rsid w:val="00BB3E2A"/>
    <w:rsid w:val="00BB48A7"/>
    <w:rsid w:val="00BB5F9A"/>
    <w:rsid w:val="00BB7121"/>
    <w:rsid w:val="00BC0479"/>
    <w:rsid w:val="00BC1651"/>
    <w:rsid w:val="00BC16F5"/>
    <w:rsid w:val="00BC18FF"/>
    <w:rsid w:val="00BC287D"/>
    <w:rsid w:val="00BC2A38"/>
    <w:rsid w:val="00BC4315"/>
    <w:rsid w:val="00BC46EB"/>
    <w:rsid w:val="00BC57FE"/>
    <w:rsid w:val="00BC643B"/>
    <w:rsid w:val="00BD0246"/>
    <w:rsid w:val="00BD2A41"/>
    <w:rsid w:val="00BD32E5"/>
    <w:rsid w:val="00BD36C4"/>
    <w:rsid w:val="00BD4443"/>
    <w:rsid w:val="00BD48FC"/>
    <w:rsid w:val="00BD49F2"/>
    <w:rsid w:val="00BD4BC6"/>
    <w:rsid w:val="00BD6E1A"/>
    <w:rsid w:val="00BD79DE"/>
    <w:rsid w:val="00BE0BBA"/>
    <w:rsid w:val="00BE1095"/>
    <w:rsid w:val="00BE150A"/>
    <w:rsid w:val="00BE54B2"/>
    <w:rsid w:val="00BE6767"/>
    <w:rsid w:val="00BE686C"/>
    <w:rsid w:val="00BE78EC"/>
    <w:rsid w:val="00BF1EB9"/>
    <w:rsid w:val="00BF46EE"/>
    <w:rsid w:val="00BF5AA3"/>
    <w:rsid w:val="00BF646E"/>
    <w:rsid w:val="00C00861"/>
    <w:rsid w:val="00C04C1A"/>
    <w:rsid w:val="00C05333"/>
    <w:rsid w:val="00C05E81"/>
    <w:rsid w:val="00C0613C"/>
    <w:rsid w:val="00C0683F"/>
    <w:rsid w:val="00C10D05"/>
    <w:rsid w:val="00C13970"/>
    <w:rsid w:val="00C13DF9"/>
    <w:rsid w:val="00C14FBA"/>
    <w:rsid w:val="00C15484"/>
    <w:rsid w:val="00C15EA1"/>
    <w:rsid w:val="00C174DB"/>
    <w:rsid w:val="00C17A8E"/>
    <w:rsid w:val="00C217E5"/>
    <w:rsid w:val="00C2378F"/>
    <w:rsid w:val="00C24F70"/>
    <w:rsid w:val="00C25615"/>
    <w:rsid w:val="00C25DC2"/>
    <w:rsid w:val="00C265F9"/>
    <w:rsid w:val="00C26A06"/>
    <w:rsid w:val="00C328CB"/>
    <w:rsid w:val="00C33479"/>
    <w:rsid w:val="00C36252"/>
    <w:rsid w:val="00C40ED2"/>
    <w:rsid w:val="00C41F10"/>
    <w:rsid w:val="00C432DD"/>
    <w:rsid w:val="00C4423A"/>
    <w:rsid w:val="00C44E35"/>
    <w:rsid w:val="00C45E41"/>
    <w:rsid w:val="00C47407"/>
    <w:rsid w:val="00C4748A"/>
    <w:rsid w:val="00C501FE"/>
    <w:rsid w:val="00C515C7"/>
    <w:rsid w:val="00C526C1"/>
    <w:rsid w:val="00C56957"/>
    <w:rsid w:val="00C5784B"/>
    <w:rsid w:val="00C6031A"/>
    <w:rsid w:val="00C639FF"/>
    <w:rsid w:val="00C63CB4"/>
    <w:rsid w:val="00C6442A"/>
    <w:rsid w:val="00C6492D"/>
    <w:rsid w:val="00C64D15"/>
    <w:rsid w:val="00C66088"/>
    <w:rsid w:val="00C67C4C"/>
    <w:rsid w:val="00C67F21"/>
    <w:rsid w:val="00C70545"/>
    <w:rsid w:val="00C711A6"/>
    <w:rsid w:val="00C74B5D"/>
    <w:rsid w:val="00C74F74"/>
    <w:rsid w:val="00C7554B"/>
    <w:rsid w:val="00C76CFF"/>
    <w:rsid w:val="00C77B5D"/>
    <w:rsid w:val="00C8094C"/>
    <w:rsid w:val="00C80951"/>
    <w:rsid w:val="00C8205E"/>
    <w:rsid w:val="00C8223A"/>
    <w:rsid w:val="00C82EB5"/>
    <w:rsid w:val="00C85D24"/>
    <w:rsid w:val="00C86D1E"/>
    <w:rsid w:val="00C87966"/>
    <w:rsid w:val="00C902DE"/>
    <w:rsid w:val="00C916AE"/>
    <w:rsid w:val="00C91C74"/>
    <w:rsid w:val="00C93AAA"/>
    <w:rsid w:val="00C95FCD"/>
    <w:rsid w:val="00C97188"/>
    <w:rsid w:val="00C972ED"/>
    <w:rsid w:val="00CA0639"/>
    <w:rsid w:val="00CA11D0"/>
    <w:rsid w:val="00CA2E02"/>
    <w:rsid w:val="00CA583A"/>
    <w:rsid w:val="00CA5EC6"/>
    <w:rsid w:val="00CA787C"/>
    <w:rsid w:val="00CB1E33"/>
    <w:rsid w:val="00CB1ED4"/>
    <w:rsid w:val="00CB5744"/>
    <w:rsid w:val="00CB6D84"/>
    <w:rsid w:val="00CB7022"/>
    <w:rsid w:val="00CB7BC5"/>
    <w:rsid w:val="00CC141E"/>
    <w:rsid w:val="00CC18DD"/>
    <w:rsid w:val="00CC1E57"/>
    <w:rsid w:val="00CC3C11"/>
    <w:rsid w:val="00CC586D"/>
    <w:rsid w:val="00CC7DBC"/>
    <w:rsid w:val="00CD16C8"/>
    <w:rsid w:val="00CD1BA3"/>
    <w:rsid w:val="00CD1D23"/>
    <w:rsid w:val="00CD3612"/>
    <w:rsid w:val="00CD3E69"/>
    <w:rsid w:val="00CD4224"/>
    <w:rsid w:val="00CD4948"/>
    <w:rsid w:val="00CD6B7D"/>
    <w:rsid w:val="00CD7CE8"/>
    <w:rsid w:val="00CD7D29"/>
    <w:rsid w:val="00CE0847"/>
    <w:rsid w:val="00CE0B6C"/>
    <w:rsid w:val="00CE0DEC"/>
    <w:rsid w:val="00CE11D0"/>
    <w:rsid w:val="00CE4708"/>
    <w:rsid w:val="00CE4997"/>
    <w:rsid w:val="00CE4C50"/>
    <w:rsid w:val="00CE6858"/>
    <w:rsid w:val="00CE7450"/>
    <w:rsid w:val="00CE770C"/>
    <w:rsid w:val="00CF50BE"/>
    <w:rsid w:val="00CF538C"/>
    <w:rsid w:val="00CF7625"/>
    <w:rsid w:val="00D01E66"/>
    <w:rsid w:val="00D028BA"/>
    <w:rsid w:val="00D0506A"/>
    <w:rsid w:val="00D066FB"/>
    <w:rsid w:val="00D10FA1"/>
    <w:rsid w:val="00D1289C"/>
    <w:rsid w:val="00D151DC"/>
    <w:rsid w:val="00D1666F"/>
    <w:rsid w:val="00D17088"/>
    <w:rsid w:val="00D2071A"/>
    <w:rsid w:val="00D22F44"/>
    <w:rsid w:val="00D2350E"/>
    <w:rsid w:val="00D24480"/>
    <w:rsid w:val="00D25177"/>
    <w:rsid w:val="00D2788C"/>
    <w:rsid w:val="00D30F73"/>
    <w:rsid w:val="00D30F97"/>
    <w:rsid w:val="00D313A0"/>
    <w:rsid w:val="00D3191D"/>
    <w:rsid w:val="00D31E07"/>
    <w:rsid w:val="00D322A1"/>
    <w:rsid w:val="00D36FE0"/>
    <w:rsid w:val="00D40799"/>
    <w:rsid w:val="00D41A06"/>
    <w:rsid w:val="00D42ABF"/>
    <w:rsid w:val="00D42F40"/>
    <w:rsid w:val="00D45B67"/>
    <w:rsid w:val="00D5034A"/>
    <w:rsid w:val="00D50568"/>
    <w:rsid w:val="00D518C5"/>
    <w:rsid w:val="00D51F49"/>
    <w:rsid w:val="00D52AE4"/>
    <w:rsid w:val="00D55215"/>
    <w:rsid w:val="00D55EE8"/>
    <w:rsid w:val="00D560D1"/>
    <w:rsid w:val="00D562CB"/>
    <w:rsid w:val="00D569D1"/>
    <w:rsid w:val="00D56AD8"/>
    <w:rsid w:val="00D56C05"/>
    <w:rsid w:val="00D5785A"/>
    <w:rsid w:val="00D62769"/>
    <w:rsid w:val="00D63293"/>
    <w:rsid w:val="00D6375F"/>
    <w:rsid w:val="00D63E44"/>
    <w:rsid w:val="00D64C48"/>
    <w:rsid w:val="00D6680B"/>
    <w:rsid w:val="00D72F4F"/>
    <w:rsid w:val="00D731C4"/>
    <w:rsid w:val="00D73A43"/>
    <w:rsid w:val="00D74EB4"/>
    <w:rsid w:val="00D801FC"/>
    <w:rsid w:val="00D85BE0"/>
    <w:rsid w:val="00D87DB4"/>
    <w:rsid w:val="00D87FD7"/>
    <w:rsid w:val="00D91466"/>
    <w:rsid w:val="00D915ED"/>
    <w:rsid w:val="00D91DE4"/>
    <w:rsid w:val="00D92300"/>
    <w:rsid w:val="00D925ED"/>
    <w:rsid w:val="00D94AFC"/>
    <w:rsid w:val="00D950E6"/>
    <w:rsid w:val="00D95774"/>
    <w:rsid w:val="00D966BA"/>
    <w:rsid w:val="00D97047"/>
    <w:rsid w:val="00DA30F2"/>
    <w:rsid w:val="00DA3619"/>
    <w:rsid w:val="00DA3C2B"/>
    <w:rsid w:val="00DA7AE4"/>
    <w:rsid w:val="00DB0B88"/>
    <w:rsid w:val="00DB1652"/>
    <w:rsid w:val="00DB203B"/>
    <w:rsid w:val="00DB203E"/>
    <w:rsid w:val="00DB285F"/>
    <w:rsid w:val="00DB5773"/>
    <w:rsid w:val="00DB58A6"/>
    <w:rsid w:val="00DB6B99"/>
    <w:rsid w:val="00DB716F"/>
    <w:rsid w:val="00DC001A"/>
    <w:rsid w:val="00DC248D"/>
    <w:rsid w:val="00DC56BC"/>
    <w:rsid w:val="00DD22BB"/>
    <w:rsid w:val="00DD2952"/>
    <w:rsid w:val="00DD3BBE"/>
    <w:rsid w:val="00DD4F44"/>
    <w:rsid w:val="00DD5DA1"/>
    <w:rsid w:val="00DD686C"/>
    <w:rsid w:val="00DD7E0C"/>
    <w:rsid w:val="00DE2AC3"/>
    <w:rsid w:val="00DE2E40"/>
    <w:rsid w:val="00DE3598"/>
    <w:rsid w:val="00DE3FBD"/>
    <w:rsid w:val="00DE43F5"/>
    <w:rsid w:val="00DE4952"/>
    <w:rsid w:val="00DE549A"/>
    <w:rsid w:val="00DE65FB"/>
    <w:rsid w:val="00DE793D"/>
    <w:rsid w:val="00DF05BF"/>
    <w:rsid w:val="00DF234F"/>
    <w:rsid w:val="00DF25B0"/>
    <w:rsid w:val="00DF420A"/>
    <w:rsid w:val="00DF52A2"/>
    <w:rsid w:val="00DF632D"/>
    <w:rsid w:val="00DF7B6F"/>
    <w:rsid w:val="00E00A77"/>
    <w:rsid w:val="00E00CDF"/>
    <w:rsid w:val="00E02472"/>
    <w:rsid w:val="00E040BB"/>
    <w:rsid w:val="00E041F0"/>
    <w:rsid w:val="00E066E1"/>
    <w:rsid w:val="00E108B4"/>
    <w:rsid w:val="00E128D8"/>
    <w:rsid w:val="00E130C3"/>
    <w:rsid w:val="00E170ED"/>
    <w:rsid w:val="00E17EDF"/>
    <w:rsid w:val="00E2082D"/>
    <w:rsid w:val="00E221E2"/>
    <w:rsid w:val="00E2330D"/>
    <w:rsid w:val="00E24303"/>
    <w:rsid w:val="00E24E54"/>
    <w:rsid w:val="00E27A16"/>
    <w:rsid w:val="00E320C4"/>
    <w:rsid w:val="00E327E3"/>
    <w:rsid w:val="00E344B0"/>
    <w:rsid w:val="00E356F8"/>
    <w:rsid w:val="00E37327"/>
    <w:rsid w:val="00E375B4"/>
    <w:rsid w:val="00E406FC"/>
    <w:rsid w:val="00E40F7B"/>
    <w:rsid w:val="00E419C1"/>
    <w:rsid w:val="00E43E48"/>
    <w:rsid w:val="00E467C7"/>
    <w:rsid w:val="00E46CB5"/>
    <w:rsid w:val="00E46D60"/>
    <w:rsid w:val="00E47C33"/>
    <w:rsid w:val="00E47F58"/>
    <w:rsid w:val="00E50652"/>
    <w:rsid w:val="00E5351E"/>
    <w:rsid w:val="00E54BB5"/>
    <w:rsid w:val="00E54BFC"/>
    <w:rsid w:val="00E55248"/>
    <w:rsid w:val="00E56D9D"/>
    <w:rsid w:val="00E60976"/>
    <w:rsid w:val="00E60E2E"/>
    <w:rsid w:val="00E62992"/>
    <w:rsid w:val="00E63459"/>
    <w:rsid w:val="00E71A2D"/>
    <w:rsid w:val="00E724C5"/>
    <w:rsid w:val="00E72621"/>
    <w:rsid w:val="00E72E9E"/>
    <w:rsid w:val="00E72FB3"/>
    <w:rsid w:val="00E74A73"/>
    <w:rsid w:val="00E75CA7"/>
    <w:rsid w:val="00E77B59"/>
    <w:rsid w:val="00E8022C"/>
    <w:rsid w:val="00E8095E"/>
    <w:rsid w:val="00E823C1"/>
    <w:rsid w:val="00E82DB7"/>
    <w:rsid w:val="00E83C85"/>
    <w:rsid w:val="00E83EE5"/>
    <w:rsid w:val="00E8579C"/>
    <w:rsid w:val="00E865FE"/>
    <w:rsid w:val="00E91408"/>
    <w:rsid w:val="00E91759"/>
    <w:rsid w:val="00E92AB9"/>
    <w:rsid w:val="00E9465A"/>
    <w:rsid w:val="00E9654B"/>
    <w:rsid w:val="00EA13E4"/>
    <w:rsid w:val="00EA18DB"/>
    <w:rsid w:val="00EA2C8B"/>
    <w:rsid w:val="00EA2FBA"/>
    <w:rsid w:val="00EA31FB"/>
    <w:rsid w:val="00EA3F54"/>
    <w:rsid w:val="00EA4DC5"/>
    <w:rsid w:val="00EA5664"/>
    <w:rsid w:val="00EA66DF"/>
    <w:rsid w:val="00EA6ADC"/>
    <w:rsid w:val="00EB0609"/>
    <w:rsid w:val="00EB13A7"/>
    <w:rsid w:val="00EB14DF"/>
    <w:rsid w:val="00EB1A4D"/>
    <w:rsid w:val="00EB2BAA"/>
    <w:rsid w:val="00EB34EC"/>
    <w:rsid w:val="00EB3A07"/>
    <w:rsid w:val="00EB54FA"/>
    <w:rsid w:val="00EB5539"/>
    <w:rsid w:val="00EC05BA"/>
    <w:rsid w:val="00EC20B8"/>
    <w:rsid w:val="00EC3F31"/>
    <w:rsid w:val="00EC52E7"/>
    <w:rsid w:val="00EC7E0E"/>
    <w:rsid w:val="00ED0284"/>
    <w:rsid w:val="00ED16D2"/>
    <w:rsid w:val="00ED3698"/>
    <w:rsid w:val="00ED4794"/>
    <w:rsid w:val="00ED768A"/>
    <w:rsid w:val="00ED7B59"/>
    <w:rsid w:val="00EE2340"/>
    <w:rsid w:val="00EE265C"/>
    <w:rsid w:val="00EE3A4E"/>
    <w:rsid w:val="00EE5A60"/>
    <w:rsid w:val="00EE5C63"/>
    <w:rsid w:val="00EE67D7"/>
    <w:rsid w:val="00EF359C"/>
    <w:rsid w:val="00EF416F"/>
    <w:rsid w:val="00EF658B"/>
    <w:rsid w:val="00F00449"/>
    <w:rsid w:val="00F0095C"/>
    <w:rsid w:val="00F01129"/>
    <w:rsid w:val="00F01CCA"/>
    <w:rsid w:val="00F01F2C"/>
    <w:rsid w:val="00F02104"/>
    <w:rsid w:val="00F030E6"/>
    <w:rsid w:val="00F04996"/>
    <w:rsid w:val="00F04EF6"/>
    <w:rsid w:val="00F06C02"/>
    <w:rsid w:val="00F06C17"/>
    <w:rsid w:val="00F102CD"/>
    <w:rsid w:val="00F121B2"/>
    <w:rsid w:val="00F12ED1"/>
    <w:rsid w:val="00F13408"/>
    <w:rsid w:val="00F135F2"/>
    <w:rsid w:val="00F138B4"/>
    <w:rsid w:val="00F13C82"/>
    <w:rsid w:val="00F151C9"/>
    <w:rsid w:val="00F1632B"/>
    <w:rsid w:val="00F172C9"/>
    <w:rsid w:val="00F202CA"/>
    <w:rsid w:val="00F223A7"/>
    <w:rsid w:val="00F23A01"/>
    <w:rsid w:val="00F26A64"/>
    <w:rsid w:val="00F26CC9"/>
    <w:rsid w:val="00F334CB"/>
    <w:rsid w:val="00F3495A"/>
    <w:rsid w:val="00F34E2C"/>
    <w:rsid w:val="00F370BC"/>
    <w:rsid w:val="00F37143"/>
    <w:rsid w:val="00F40783"/>
    <w:rsid w:val="00F430C2"/>
    <w:rsid w:val="00F503C3"/>
    <w:rsid w:val="00F50562"/>
    <w:rsid w:val="00F507D0"/>
    <w:rsid w:val="00F50A92"/>
    <w:rsid w:val="00F50B0B"/>
    <w:rsid w:val="00F50D01"/>
    <w:rsid w:val="00F52D4E"/>
    <w:rsid w:val="00F546B9"/>
    <w:rsid w:val="00F548EF"/>
    <w:rsid w:val="00F56BC1"/>
    <w:rsid w:val="00F56F60"/>
    <w:rsid w:val="00F605CD"/>
    <w:rsid w:val="00F6156C"/>
    <w:rsid w:val="00F618C4"/>
    <w:rsid w:val="00F634BD"/>
    <w:rsid w:val="00F64B53"/>
    <w:rsid w:val="00F6544B"/>
    <w:rsid w:val="00F65774"/>
    <w:rsid w:val="00F65A34"/>
    <w:rsid w:val="00F65F4C"/>
    <w:rsid w:val="00F70407"/>
    <w:rsid w:val="00F715E9"/>
    <w:rsid w:val="00F71A60"/>
    <w:rsid w:val="00F725DA"/>
    <w:rsid w:val="00F7536E"/>
    <w:rsid w:val="00F75652"/>
    <w:rsid w:val="00F76137"/>
    <w:rsid w:val="00F7782D"/>
    <w:rsid w:val="00F8168B"/>
    <w:rsid w:val="00F81CF2"/>
    <w:rsid w:val="00F81F93"/>
    <w:rsid w:val="00F844D0"/>
    <w:rsid w:val="00F84DC6"/>
    <w:rsid w:val="00F857D1"/>
    <w:rsid w:val="00F86296"/>
    <w:rsid w:val="00F86FD9"/>
    <w:rsid w:val="00F91DCC"/>
    <w:rsid w:val="00F9323F"/>
    <w:rsid w:val="00F943FE"/>
    <w:rsid w:val="00F95814"/>
    <w:rsid w:val="00F95CE9"/>
    <w:rsid w:val="00F96429"/>
    <w:rsid w:val="00F97100"/>
    <w:rsid w:val="00F97525"/>
    <w:rsid w:val="00FA01D9"/>
    <w:rsid w:val="00FA473D"/>
    <w:rsid w:val="00FB0401"/>
    <w:rsid w:val="00FB146F"/>
    <w:rsid w:val="00FB1852"/>
    <w:rsid w:val="00FC1DFB"/>
    <w:rsid w:val="00FC1EF2"/>
    <w:rsid w:val="00FC3343"/>
    <w:rsid w:val="00FC33BA"/>
    <w:rsid w:val="00FC35AB"/>
    <w:rsid w:val="00FC6134"/>
    <w:rsid w:val="00FC654D"/>
    <w:rsid w:val="00FC77CF"/>
    <w:rsid w:val="00FD0555"/>
    <w:rsid w:val="00FD06F5"/>
    <w:rsid w:val="00FD1F02"/>
    <w:rsid w:val="00FD2C46"/>
    <w:rsid w:val="00FD440B"/>
    <w:rsid w:val="00FD5961"/>
    <w:rsid w:val="00FE1159"/>
    <w:rsid w:val="00FE3EFA"/>
    <w:rsid w:val="00FE415C"/>
    <w:rsid w:val="00FE4F21"/>
    <w:rsid w:val="00FE5C56"/>
    <w:rsid w:val="00FE5E20"/>
    <w:rsid w:val="00FE7AAC"/>
    <w:rsid w:val="00FE7B06"/>
    <w:rsid w:val="00FE7E98"/>
    <w:rsid w:val="00FF06BC"/>
    <w:rsid w:val="00FF06E2"/>
    <w:rsid w:val="00FF20AC"/>
    <w:rsid w:val="00FF306A"/>
    <w:rsid w:val="00FF3801"/>
    <w:rsid w:val="00FF3A27"/>
    <w:rsid w:val="00FF3B27"/>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A92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345348"/>
    <w:pPr>
      <w:pBdr>
        <w:bottom w:val="single" w:sz="24" w:space="21" w:color="2158A9" w:themeColor="accent2"/>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2158A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2158A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ABDBF6"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47FBB"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23"/>
      </w:numPr>
      <w:ind w:left="714" w:hanging="357"/>
      <w:contextualSpacing/>
    </w:pPr>
  </w:style>
  <w:style w:type="paragraph" w:styleId="Footer">
    <w:name w:val="footer"/>
    <w:basedOn w:val="Header"/>
    <w:uiPriority w:val="99"/>
    <w:rsid w:val="00DD5DA1"/>
    <w:pPr>
      <w:pBdr>
        <w:bottom w:val="single" w:sz="24" w:space="12" w:color="2158A9" w:themeColor="accent2"/>
      </w:pBdr>
      <w:tabs>
        <w:tab w:val="clear" w:pos="10319"/>
        <w:tab w:val="right" w:pos="9940"/>
      </w:tabs>
      <w:ind w:right="-1661"/>
    </w:pPr>
  </w:style>
  <w:style w:type="character" w:styleId="Hyperlink">
    <w:name w:val="Hyperlink"/>
    <w:basedOn w:val="DefaultParagraphFont"/>
    <w:uiPriority w:val="99"/>
    <w:rsid w:val="0099651C"/>
    <w:rPr>
      <w:color w:val="6496E0" w:themeColor="accent2" w:themeTint="99"/>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ABDBF6"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4"/>
    <w:rsid w:val="00345348"/>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ABDBF6" w:themeColor="accent1"/>
        <w:between w:val="single" w:sz="24" w:space="6" w:color="ABDBF6"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2158A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2D276C"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9651C"/>
    <w:rPr>
      <w:color w:val="6D6E71" w:themeColor="accent4"/>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FF306A"/>
    <w:pPr>
      <w:keepNext/>
      <w:keepLines/>
      <w:numPr>
        <w:numId w:val="3"/>
      </w:numPr>
      <w:tabs>
        <w:tab w:val="left" w:pos="1361"/>
      </w:tabs>
      <w:spacing w:before="120" w:after="240"/>
      <w:ind w:left="357" w:hanging="357"/>
      <w:contextualSpacing/>
      <w:outlineLvl w:val="3"/>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ABDBF6"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ABDBF6"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158A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ABDBF6"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47FBB"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21"/>
      </w:numPr>
      <w:tabs>
        <w:tab w:val="left" w:pos="1021"/>
      </w:tabs>
    </w:pPr>
  </w:style>
  <w:style w:type="character" w:customStyle="1" w:styleId="FigureHeadingChar">
    <w:name w:val="Figure Heading Char"/>
    <w:basedOn w:val="DefaultParagraphFont"/>
    <w:link w:val="FigureHeading"/>
    <w:uiPriority w:val="48"/>
    <w:rsid w:val="00FF306A"/>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DE793D"/>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2"/>
    </w:pPr>
    <w:rPr>
      <w:rFonts w:asciiTheme="majorHAnsi" w:hAnsiTheme="majorHAnsi"/>
      <w:b/>
      <w:color w:val="2158A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DE793D"/>
    <w:rPr>
      <w:rFonts w:asciiTheme="majorHAnsi" w:hAnsiTheme="majorHAnsi"/>
      <w:b/>
      <w:color w:val="2158A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2158A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2158A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NormalWeb">
    <w:name w:val="Normal (Web)"/>
    <w:basedOn w:val="Normal"/>
    <w:uiPriority w:val="99"/>
    <w:semiHidden/>
    <w:unhideWhenUsed/>
    <w:rsid w:val="00EA31FB"/>
    <w:pPr>
      <w:spacing w:before="100" w:beforeAutospacing="1" w:after="100" w:afterAutospacing="1" w:line="240" w:lineRule="auto"/>
    </w:pPr>
    <w:rPr>
      <w:rFonts w:ascii="Times New Roman" w:hAnsi="Times New Roman"/>
      <w:sz w:val="24"/>
    </w:rPr>
  </w:style>
  <w:style w:type="paragraph" w:customStyle="1" w:styleId="LargeBlue">
    <w:name w:val="Large Blue"/>
    <w:basedOn w:val="Normal"/>
    <w:link w:val="LargeBlueChar"/>
    <w:qFormat/>
    <w:rsid w:val="00A1105D"/>
    <w:rPr>
      <w:b/>
      <w:color w:val="2158A9" w:themeColor="accent2"/>
      <w:sz w:val="24"/>
    </w:rPr>
  </w:style>
  <w:style w:type="paragraph" w:customStyle="1" w:styleId="SmallBlue">
    <w:name w:val="Small Blue"/>
    <w:basedOn w:val="LargeBlue"/>
    <w:link w:val="SmallBlueChar"/>
    <w:qFormat/>
    <w:rsid w:val="00A1105D"/>
    <w:rPr>
      <w:sz w:val="20"/>
      <w:szCs w:val="20"/>
    </w:rPr>
  </w:style>
  <w:style w:type="character" w:customStyle="1" w:styleId="LargeBlueChar">
    <w:name w:val="Large Blue Char"/>
    <w:basedOn w:val="DefaultParagraphFont"/>
    <w:link w:val="LargeBlue"/>
    <w:rsid w:val="00A1105D"/>
    <w:rPr>
      <w:rFonts w:asciiTheme="minorHAnsi" w:hAnsiTheme="minorHAnsi"/>
      <w:b/>
      <w:color w:val="2158A9" w:themeColor="accent2"/>
      <w:sz w:val="24"/>
      <w:szCs w:val="24"/>
    </w:rPr>
  </w:style>
  <w:style w:type="paragraph" w:customStyle="1" w:styleId="NonHeadingList">
    <w:name w:val="Non Heading List"/>
    <w:basedOn w:val="FigureHeading"/>
    <w:link w:val="NonHeadingListChar"/>
    <w:qFormat/>
    <w:rsid w:val="00A1105D"/>
    <w:pPr>
      <w:ind w:left="992" w:hanging="992"/>
    </w:pPr>
    <w:rPr>
      <w:b w:val="0"/>
    </w:rPr>
  </w:style>
  <w:style w:type="character" w:customStyle="1" w:styleId="SmallBlueChar">
    <w:name w:val="Small Blue Char"/>
    <w:basedOn w:val="LargeBlueChar"/>
    <w:link w:val="SmallBlue"/>
    <w:rsid w:val="00A1105D"/>
    <w:rPr>
      <w:rFonts w:asciiTheme="minorHAnsi" w:hAnsiTheme="minorHAnsi"/>
      <w:b/>
      <w:color w:val="2158A9" w:themeColor="accent2"/>
      <w:sz w:val="24"/>
      <w:szCs w:val="24"/>
    </w:rPr>
  </w:style>
  <w:style w:type="character" w:customStyle="1" w:styleId="NonHeadingListChar">
    <w:name w:val="Non Heading List Char"/>
    <w:basedOn w:val="FigureHeadingChar"/>
    <w:link w:val="NonHeadingList"/>
    <w:rsid w:val="00A1105D"/>
    <w:rPr>
      <w:rFonts w:asciiTheme="majorHAnsi" w:hAnsiTheme="majorHAnsi"/>
      <w:b w:val="0"/>
      <w:color w:val="000000"/>
      <w:szCs w:val="24"/>
    </w:rPr>
  </w:style>
  <w:style w:type="table" w:styleId="GridTable1Light-Accent3">
    <w:name w:val="Grid Table 1 Light Accent 3"/>
    <w:basedOn w:val="TableNormal"/>
    <w:uiPriority w:val="46"/>
    <w:rsid w:val="00410AB2"/>
    <w:tblPr>
      <w:tblStyleRowBandSize w:val="1"/>
      <w:tblStyleColBandSize w:val="1"/>
      <w:tblBorders>
        <w:top w:val="single" w:sz="4" w:space="0" w:color="D6C8B1" w:themeColor="accent3" w:themeTint="66"/>
        <w:left w:val="single" w:sz="4" w:space="0" w:color="D6C8B1" w:themeColor="accent3" w:themeTint="66"/>
        <w:bottom w:val="single" w:sz="4" w:space="0" w:color="D6C8B1" w:themeColor="accent3" w:themeTint="66"/>
        <w:right w:val="single" w:sz="4" w:space="0" w:color="D6C8B1" w:themeColor="accent3" w:themeTint="66"/>
        <w:insideH w:val="single" w:sz="4" w:space="0" w:color="D6C8B1" w:themeColor="accent3" w:themeTint="66"/>
        <w:insideV w:val="single" w:sz="4" w:space="0" w:color="D6C8B1" w:themeColor="accent3" w:themeTint="66"/>
      </w:tblBorders>
    </w:tblPr>
    <w:tblStylePr w:type="firstRow">
      <w:rPr>
        <w:b/>
        <w:bCs/>
      </w:rPr>
      <w:tblPr/>
      <w:tcPr>
        <w:tcBorders>
          <w:bottom w:val="single" w:sz="12" w:space="0" w:color="C1AC8A" w:themeColor="accent3" w:themeTint="99"/>
        </w:tcBorders>
      </w:tcPr>
    </w:tblStylePr>
    <w:tblStylePr w:type="lastRow">
      <w:rPr>
        <w:b/>
        <w:bCs/>
      </w:rPr>
      <w:tblPr/>
      <w:tcPr>
        <w:tcBorders>
          <w:top w:val="double" w:sz="2" w:space="0" w:color="C1AC8A" w:themeColor="accent3" w:themeTint="99"/>
        </w:tcBorders>
      </w:tcPr>
    </w:tblStylePr>
    <w:tblStylePr w:type="firstCol">
      <w:rPr>
        <w:b/>
        <w:bCs/>
      </w:rPr>
    </w:tblStylePr>
    <w:tblStylePr w:type="lastCol">
      <w:rPr>
        <w:b/>
        <w:bCs/>
      </w:rPr>
    </w:tblStylePr>
  </w:style>
  <w:style w:type="paragraph" w:styleId="Caption">
    <w:name w:val="caption"/>
    <w:basedOn w:val="Normal"/>
    <w:next w:val="Normal"/>
    <w:uiPriority w:val="99"/>
    <w:unhideWhenUsed/>
    <w:qFormat/>
    <w:rsid w:val="00664325"/>
    <w:pPr>
      <w:spacing w:after="200" w:line="240" w:lineRule="auto"/>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33598">
      <w:bodyDiv w:val="1"/>
      <w:marLeft w:val="0"/>
      <w:marRight w:val="0"/>
      <w:marTop w:val="0"/>
      <w:marBottom w:val="0"/>
      <w:divBdr>
        <w:top w:val="none" w:sz="0" w:space="0" w:color="auto"/>
        <w:left w:val="none" w:sz="0" w:space="0" w:color="auto"/>
        <w:bottom w:val="none" w:sz="0" w:space="0" w:color="auto"/>
        <w:right w:val="none" w:sz="0" w:space="0" w:color="auto"/>
      </w:divBdr>
    </w:div>
    <w:div w:id="125658287">
      <w:bodyDiv w:val="1"/>
      <w:marLeft w:val="0"/>
      <w:marRight w:val="0"/>
      <w:marTop w:val="0"/>
      <w:marBottom w:val="0"/>
      <w:divBdr>
        <w:top w:val="none" w:sz="0" w:space="0" w:color="auto"/>
        <w:left w:val="none" w:sz="0" w:space="0" w:color="auto"/>
        <w:bottom w:val="none" w:sz="0" w:space="0" w:color="auto"/>
        <w:right w:val="none" w:sz="0" w:space="0" w:color="auto"/>
      </w:divBdr>
      <w:divsChild>
        <w:div w:id="1519468202">
          <w:marLeft w:val="0"/>
          <w:marRight w:val="0"/>
          <w:marTop w:val="0"/>
          <w:marBottom w:val="0"/>
          <w:divBdr>
            <w:top w:val="none" w:sz="0" w:space="0" w:color="auto"/>
            <w:left w:val="none" w:sz="0" w:space="0" w:color="auto"/>
            <w:bottom w:val="none" w:sz="0" w:space="0" w:color="auto"/>
            <w:right w:val="none" w:sz="0" w:space="0" w:color="auto"/>
          </w:divBdr>
          <w:divsChild>
            <w:div w:id="106656081">
              <w:marLeft w:val="0"/>
              <w:marRight w:val="0"/>
              <w:marTop w:val="0"/>
              <w:marBottom w:val="0"/>
              <w:divBdr>
                <w:top w:val="none" w:sz="0" w:space="0" w:color="auto"/>
                <w:left w:val="none" w:sz="0" w:space="0" w:color="auto"/>
                <w:bottom w:val="none" w:sz="0" w:space="0" w:color="auto"/>
                <w:right w:val="none" w:sz="0" w:space="0" w:color="auto"/>
              </w:divBdr>
              <w:divsChild>
                <w:div w:id="523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549655605">
      <w:bodyDiv w:val="1"/>
      <w:marLeft w:val="0"/>
      <w:marRight w:val="0"/>
      <w:marTop w:val="0"/>
      <w:marBottom w:val="0"/>
      <w:divBdr>
        <w:top w:val="none" w:sz="0" w:space="0" w:color="auto"/>
        <w:left w:val="none" w:sz="0" w:space="0" w:color="auto"/>
        <w:bottom w:val="none" w:sz="0" w:space="0" w:color="auto"/>
        <w:right w:val="none" w:sz="0" w:space="0" w:color="auto"/>
      </w:divBdr>
    </w:div>
    <w:div w:id="591011094">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82384018">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973292139">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beta@pmc.gov.au" TargetMode="External"/><Relationship Id="rId26" Type="http://schemas.openxmlformats.org/officeDocument/2006/relationships/image" Target="media/image4.png"/><Relationship Id="rId39" Type="http://schemas.openxmlformats.org/officeDocument/2006/relationships/hyperlink" Target="https://pmc.gov.au/cca"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image" Target="media/image15.png"/><Relationship Id="rId47"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7.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hyperlink" Target="https://creativecommons.org/licenses/by/4.0/" TargetMode="External"/><Relationship Id="rId40" Type="http://schemas.openxmlformats.org/officeDocument/2006/relationships/header" Target="header6.xml"/><Relationship Id="rId45" Type="http://schemas.openxmlformats.org/officeDocument/2006/relationships/hyperlink" Target="https://behaviouraleconomics.pmc.gov.a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6.png"/><Relationship Id="rId36" Type="http://schemas.openxmlformats.org/officeDocument/2006/relationships/hyperlink" Target="https://www.accc.gov.au/inquiries-and-consultations/finalised-inquiries/foreign-currency-conversion-services-inquiry-2018-19"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ehaviouraleconomics.pmc.gov.au/projects/increasing-transparency-online-foreign-exchange-calculators" TargetMode="External"/><Relationship Id="rId31" Type="http://schemas.openxmlformats.org/officeDocument/2006/relationships/image" Target="media/image9.png"/><Relationship Id="rId44" Type="http://schemas.openxmlformats.org/officeDocument/2006/relationships/hyperlink" Target="mailto:media@pm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socialscienceregistry.org/trials/11462"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mailto:beta@pmc.gov.au"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TA Blue">
      <a:dk1>
        <a:srgbClr val="000000"/>
      </a:dk1>
      <a:lt1>
        <a:srgbClr val="FFFFFF"/>
      </a:lt1>
      <a:dk2>
        <a:srgbClr val="000000"/>
      </a:dk2>
      <a:lt2>
        <a:srgbClr val="FFFFFF"/>
      </a:lt2>
      <a:accent1>
        <a:srgbClr val="ABDBF6"/>
      </a:accent1>
      <a:accent2>
        <a:srgbClr val="2158A9"/>
      </a:accent2>
      <a:accent3>
        <a:srgbClr val="8C734A"/>
      </a:accent3>
      <a:accent4>
        <a:srgbClr val="6D6E71"/>
      </a:accent4>
      <a:accent5>
        <a:srgbClr val="D21E32"/>
      </a:accent5>
      <a:accent6>
        <a:srgbClr val="2D276C"/>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ShareHubID xmlns="166541c0-0594-4e6a-9105-c24d4b6de6f7">DOC24-199277</ShareHubID>
    <TaxCatchAll xmlns="166541c0-0594-4e6a-9105-c24d4b6de6f7">
      <Value>57</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6D3A9-DC32-4831-AB45-3E849EBC1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9FFE09-EF9D-4A7D-A07C-2DA9B73854CF}">
  <ds:schemaRefs>
    <ds:schemaRef ds:uri="http://schemas.microsoft.com/sharepoint/v3/contenttype/forms"/>
  </ds:schemaRefs>
</ds:datastoreItem>
</file>

<file path=customXml/itemProps3.xml><?xml version="1.0" encoding="utf-8"?>
<ds:datastoreItem xmlns:ds="http://schemas.openxmlformats.org/officeDocument/2006/customXml" ds:itemID="{557D14E5-3438-41CA-8082-F08765AA46FA}">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85f9fda-bd71-4433-b331-92feb9553089"/>
    <ds:schemaRef ds:uri="http://purl.org/dc/elements/1.1/"/>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6E2D9244-D692-4CEA-B8DC-C5C62445D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5657</Words>
  <Characters>32246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Subtracting fees to subtract confusion</dc:title>
  <dc:subject/>
  <dc:creator/>
  <cp:keywords/>
  <dc:description/>
  <cp:lastModifiedBy/>
  <dcterms:created xsi:type="dcterms:W3CDTF">2024-06-21T00:41:00Z</dcterms:created>
  <dcterms:modified xsi:type="dcterms:W3CDTF">2024-06-21T00:41:00Z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Caveat">
    <vt:lpwstr/>
  </property>
  <property fmtid="{D5CDD505-2E9C-101B-9397-08002B2CF9AE}" pid="4" name="ESearchTags">
    <vt:lpwstr/>
  </property>
  <property fmtid="{D5CDD505-2E9C-101B-9397-08002B2CF9AE}" pid="5" name="HPRMSecurityLevel">
    <vt:lpwstr>57;#OFFICIAL|11463c70-78df-4e3b-b0ff-f66cd3cb26ec</vt:lpwstr>
  </property>
</Properties>
</file>