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77777777" w:rsidR="00E77B59" w:rsidRDefault="00E77B59" w:rsidP="00C07DD1">
      <w:pPr>
        <w:spacing w:line="480" w:lineRule="auto"/>
      </w:pPr>
      <w:bookmarkStart w:id="0" w:name="_Toc432437392"/>
      <w:bookmarkStart w:id="1" w:name="_GoBack"/>
      <w:bookmarkEnd w:id="1"/>
    </w:p>
    <w:p w14:paraId="4F2F5F70" w14:textId="0657ED88" w:rsidR="00E77B59" w:rsidRDefault="00E77B59" w:rsidP="00087D4E"/>
    <w:p w14:paraId="676D3782" w14:textId="2CDD6154" w:rsidR="00E77B59" w:rsidRPr="00CB30EA" w:rsidRDefault="00CB30EA" w:rsidP="003E4D83">
      <w:pPr>
        <w:pStyle w:val="Heading1"/>
        <w:spacing w:before="2280"/>
        <w:ind w:left="4394"/>
        <w:rPr>
          <w:sz w:val="56"/>
          <w:szCs w:val="56"/>
        </w:rPr>
      </w:pPr>
      <w:r w:rsidRPr="30F5D30F">
        <w:rPr>
          <w:sz w:val="56"/>
          <w:szCs w:val="56"/>
        </w:rPr>
        <w:t>Family and Domestic Violence Leave</w:t>
      </w:r>
      <w:r w:rsidR="00D84116" w:rsidRPr="30F5D30F">
        <w:rPr>
          <w:sz w:val="56"/>
          <w:szCs w:val="56"/>
        </w:rPr>
        <w:t xml:space="preserve"> Survey Experiment</w:t>
      </w:r>
    </w:p>
    <w:p w14:paraId="63F75EAD" w14:textId="440BA0C2" w:rsidR="00E77B59" w:rsidRPr="008C5EFF" w:rsidRDefault="00D84116"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Technical Report</w:t>
      </w:r>
    </w:p>
    <w:p w14:paraId="23F7F4A2" w14:textId="5E1A074F" w:rsidR="00E77B59" w:rsidRPr="008C5EFF" w:rsidRDefault="00B44436" w:rsidP="008C5EFF">
      <w:pPr>
        <w:spacing w:before="240" w:after="40"/>
        <w:ind w:left="4395"/>
        <w:rPr>
          <w:rFonts w:asciiTheme="majorHAnsi" w:hAnsiTheme="majorHAnsi" w:cstheme="majorHAnsi"/>
          <w:b/>
          <w:color w:val="117479" w:themeColor="accent2"/>
          <w:sz w:val="24"/>
        </w:rPr>
        <w:sectPr w:rsidR="00E77B59" w:rsidRPr="008C5EFF" w:rsidSect="008D551E">
          <w:headerReference w:type="default" r:id="rId12"/>
          <w:pgSz w:w="11906" w:h="16838" w:code="9"/>
          <w:pgMar w:top="2126" w:right="720" w:bottom="567" w:left="720" w:header="567" w:footer="567" w:gutter="0"/>
          <w:pgNumType w:start="0"/>
          <w:cols w:space="708"/>
          <w:docGrid w:linePitch="360"/>
        </w:sectPr>
      </w:pPr>
      <w:r>
        <w:rPr>
          <w:rFonts w:asciiTheme="majorHAnsi" w:hAnsiTheme="majorHAnsi" w:cstheme="majorHAnsi"/>
          <w:b/>
          <w:color w:val="117479" w:themeColor="accent2"/>
          <w:sz w:val="24"/>
        </w:rPr>
        <w:t xml:space="preserve">August </w:t>
      </w:r>
      <w:r w:rsidR="00D84116">
        <w:rPr>
          <w:rFonts w:asciiTheme="majorHAnsi" w:hAnsiTheme="majorHAnsi" w:cstheme="majorHAnsi"/>
          <w:b/>
          <w:color w:val="117479" w:themeColor="accent2"/>
          <w:sz w:val="24"/>
        </w:rPr>
        <w:t>2024</w:t>
      </w:r>
    </w:p>
    <w:bookmarkEnd w:id="0" w:displacedByCustomXml="next"/>
    <w:sdt>
      <w:sdtPr>
        <w:rPr>
          <w:rFonts w:asciiTheme="minorHAnsi" w:eastAsia="Times New Roman" w:hAnsiTheme="minorHAnsi" w:cs="Times New Roman"/>
          <w:b w:val="0"/>
          <w:bCs w:val="0"/>
          <w:color w:val="000000" w:themeColor="text1"/>
          <w:sz w:val="22"/>
          <w:szCs w:val="22"/>
        </w:rPr>
        <w:id w:val="667208857"/>
        <w:docPartObj>
          <w:docPartGallery w:val="Table of Contents"/>
          <w:docPartUnique/>
        </w:docPartObj>
      </w:sdtPr>
      <w:sdtEndPr>
        <w:rPr>
          <w:noProof/>
          <w:color w:val="auto"/>
          <w:sz w:val="20"/>
          <w:szCs w:val="20"/>
        </w:rPr>
      </w:sdtEndPr>
      <w:sdtContent>
        <w:p w14:paraId="30BA0884" w14:textId="5F25EF55" w:rsidR="004909C3" w:rsidRPr="0097749C" w:rsidRDefault="007F473B" w:rsidP="003E6102">
          <w:pPr>
            <w:pStyle w:val="TOCHeading"/>
          </w:pPr>
          <w:r>
            <w:rPr>
              <w:noProof/>
            </w:rPr>
            <mc:AlternateContent>
              <mc:Choice Requires="wps">
                <w:drawing>
                  <wp:anchor distT="0" distB="0" distL="114300" distR="114300" simplePos="0" relativeHeight="251658240" behindDoc="1" locked="0" layoutInCell="1" allowOverlap="1" wp14:anchorId="4D5B8658" wp14:editId="709F036F">
                    <wp:simplePos x="0" y="0"/>
                    <wp:positionH relativeFrom="column">
                      <wp:posOffset>-1674440</wp:posOffset>
                    </wp:positionH>
                    <wp:positionV relativeFrom="paragraph">
                      <wp:posOffset>-1296035</wp:posOffset>
                    </wp:positionV>
                    <wp:extent cx="9397945" cy="11076167"/>
                    <wp:effectExtent l="0" t="0" r="13335" b="11430"/>
                    <wp:wrapNone/>
                    <wp:docPr id="4" name="Rectangle 4"/>
                    <wp:cNvGraphicFramePr/>
                    <a:graphic xmlns:a="http://schemas.openxmlformats.org/drawingml/2006/main">
                      <a:graphicData uri="http://schemas.microsoft.com/office/word/2010/wordprocessingShape">
                        <wps:wsp>
                          <wps:cNvSpPr/>
                          <wps:spPr>
                            <a:xfrm>
                              <a:off x="0" y="0"/>
                              <a:ext cx="9397945" cy="11076167"/>
                            </a:xfrm>
                            <a:prstGeom prst="rect">
                              <a:avLst/>
                            </a:prstGeom>
                            <a:solidFill>
                              <a:schemeClr val="accent2">
                                <a:lumMod val="5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4" style="position:absolute;margin-left:-131.85pt;margin-top:-102.05pt;width:740pt;height:87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8393c [1605]" strokecolor="#08393c [1605]" strokeweight="2pt" w14:anchorId="678A4D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"/>
                </w:pict>
              </mc:Fallback>
            </mc:AlternateContent>
          </w:r>
          <w:r w:rsidR="004909C3" w:rsidRPr="0097749C">
            <w:t>Contents</w:t>
          </w:r>
        </w:p>
        <w:p w14:paraId="2588A7E7" w14:textId="2BBF6CBE" w:rsidR="00111CB7" w:rsidRDefault="003B499C" w:rsidP="2A300975">
          <w:pPr>
            <w:pStyle w:val="TOC1"/>
            <w:rPr>
              <w:rFonts w:eastAsiaTheme="minorEastAsia" w:cstheme="minorBidi"/>
              <w:b w:val="0"/>
              <w:sz w:val="22"/>
              <w:szCs w:val="22"/>
            </w:rPr>
          </w:pPr>
          <w:r>
            <w:rPr>
              <w:b w:val="0"/>
            </w:rPr>
            <w:fldChar w:fldCharType="begin"/>
          </w:r>
          <w:r>
            <w:rPr>
              <w:b w:val="0"/>
            </w:rPr>
            <w:instrText xml:space="preserve"> TOC \h \z \t "Heading 2,1" </w:instrText>
          </w:r>
          <w:r>
            <w:rPr>
              <w:b w:val="0"/>
            </w:rPr>
            <w:fldChar w:fldCharType="separate"/>
          </w:r>
          <w:hyperlink w:anchor="_Toc175061482" w:history="1">
            <w:r w:rsidR="00111CB7" w:rsidRPr="008F6860">
              <w:rPr>
                <w:rStyle w:val="Hyperlink"/>
              </w:rPr>
              <w:t>Technical details</w:t>
            </w:r>
            <w:r w:rsidR="00111CB7">
              <w:rPr>
                <w:webHidden/>
              </w:rPr>
              <w:tab/>
            </w:r>
            <w:r w:rsidR="00111CB7">
              <w:rPr>
                <w:webHidden/>
              </w:rPr>
              <w:fldChar w:fldCharType="begin"/>
            </w:r>
            <w:r w:rsidR="00111CB7">
              <w:rPr>
                <w:webHidden/>
              </w:rPr>
              <w:instrText xml:space="preserve"> PAGEREF _Toc175061482 \h </w:instrText>
            </w:r>
            <w:r w:rsidR="00111CB7">
              <w:rPr>
                <w:webHidden/>
              </w:rPr>
            </w:r>
            <w:r w:rsidR="00111CB7">
              <w:rPr>
                <w:webHidden/>
              </w:rPr>
              <w:fldChar w:fldCharType="separate"/>
            </w:r>
            <w:r w:rsidR="00871678">
              <w:rPr>
                <w:webHidden/>
              </w:rPr>
              <w:t>2</w:t>
            </w:r>
            <w:r w:rsidR="00111CB7">
              <w:rPr>
                <w:webHidden/>
              </w:rPr>
              <w:fldChar w:fldCharType="end"/>
            </w:r>
          </w:hyperlink>
        </w:p>
        <w:p w14:paraId="069E1FC4" w14:textId="0FA35F23" w:rsidR="00111CB7" w:rsidRDefault="00A03490" w:rsidP="2A300975">
          <w:pPr>
            <w:pStyle w:val="TOC1"/>
            <w:rPr>
              <w:rFonts w:eastAsiaTheme="minorEastAsia" w:cstheme="minorBidi"/>
              <w:b w:val="0"/>
              <w:sz w:val="22"/>
              <w:szCs w:val="22"/>
            </w:rPr>
          </w:pPr>
          <w:hyperlink w:anchor="_Toc175061483" w:history="1">
            <w:r w:rsidR="00111CB7" w:rsidRPr="008F6860">
              <w:rPr>
                <w:rStyle w:val="Hyperlink"/>
              </w:rPr>
              <w:t>Results and discussion</w:t>
            </w:r>
            <w:r w:rsidR="00111CB7">
              <w:rPr>
                <w:webHidden/>
              </w:rPr>
              <w:tab/>
            </w:r>
            <w:r w:rsidR="00111CB7">
              <w:rPr>
                <w:webHidden/>
              </w:rPr>
              <w:fldChar w:fldCharType="begin"/>
            </w:r>
            <w:r w:rsidR="00111CB7">
              <w:rPr>
                <w:webHidden/>
              </w:rPr>
              <w:instrText xml:space="preserve"> PAGEREF _Toc175061483 \h </w:instrText>
            </w:r>
            <w:r w:rsidR="00111CB7">
              <w:rPr>
                <w:webHidden/>
              </w:rPr>
            </w:r>
            <w:r w:rsidR="00111CB7">
              <w:rPr>
                <w:webHidden/>
              </w:rPr>
              <w:fldChar w:fldCharType="separate"/>
            </w:r>
            <w:r w:rsidR="00871678">
              <w:rPr>
                <w:webHidden/>
              </w:rPr>
              <w:t>11</w:t>
            </w:r>
            <w:r w:rsidR="00111CB7">
              <w:rPr>
                <w:webHidden/>
              </w:rPr>
              <w:fldChar w:fldCharType="end"/>
            </w:r>
          </w:hyperlink>
        </w:p>
        <w:p w14:paraId="7B354351" w14:textId="47786D0D" w:rsidR="00111CB7" w:rsidRDefault="00A03490" w:rsidP="2A300975">
          <w:pPr>
            <w:pStyle w:val="TOC1"/>
            <w:rPr>
              <w:rFonts w:eastAsiaTheme="minorEastAsia" w:cstheme="minorBidi"/>
              <w:b w:val="0"/>
              <w:sz w:val="22"/>
              <w:szCs w:val="22"/>
            </w:rPr>
          </w:pPr>
          <w:hyperlink w:anchor="_Toc175061484" w:history="1">
            <w:r w:rsidR="00111CB7" w:rsidRPr="008F6860">
              <w:rPr>
                <w:rStyle w:val="Hyperlink"/>
              </w:rPr>
              <w:t>Appendix 1: Statistical tables</w:t>
            </w:r>
            <w:r w:rsidR="00111CB7">
              <w:rPr>
                <w:webHidden/>
              </w:rPr>
              <w:tab/>
            </w:r>
            <w:r w:rsidR="00111CB7">
              <w:rPr>
                <w:webHidden/>
              </w:rPr>
              <w:fldChar w:fldCharType="begin"/>
            </w:r>
            <w:r w:rsidR="00111CB7">
              <w:rPr>
                <w:webHidden/>
              </w:rPr>
              <w:instrText xml:space="preserve"> PAGEREF _Toc175061484 \h </w:instrText>
            </w:r>
            <w:r w:rsidR="00111CB7">
              <w:rPr>
                <w:webHidden/>
              </w:rPr>
            </w:r>
            <w:r w:rsidR="00111CB7">
              <w:rPr>
                <w:webHidden/>
              </w:rPr>
              <w:fldChar w:fldCharType="separate"/>
            </w:r>
            <w:r w:rsidR="00871678">
              <w:rPr>
                <w:webHidden/>
              </w:rPr>
              <w:t>15</w:t>
            </w:r>
            <w:r w:rsidR="00111CB7">
              <w:rPr>
                <w:webHidden/>
              </w:rPr>
              <w:fldChar w:fldCharType="end"/>
            </w:r>
          </w:hyperlink>
        </w:p>
        <w:p w14:paraId="45648591" w14:textId="38AAEC67" w:rsidR="00111CB7" w:rsidRDefault="00A03490" w:rsidP="2A300975">
          <w:pPr>
            <w:pStyle w:val="TOC1"/>
            <w:rPr>
              <w:rFonts w:eastAsiaTheme="minorEastAsia" w:cstheme="minorBidi"/>
              <w:b w:val="0"/>
              <w:sz w:val="22"/>
              <w:szCs w:val="22"/>
            </w:rPr>
          </w:pPr>
          <w:hyperlink w:anchor="_Toc175061485" w:history="1">
            <w:r w:rsidR="00111CB7" w:rsidRPr="008F6860">
              <w:rPr>
                <w:rStyle w:val="Hyperlink"/>
              </w:rPr>
              <w:t>Appendix 2: Survey materials</w:t>
            </w:r>
            <w:r w:rsidR="00111CB7">
              <w:rPr>
                <w:webHidden/>
              </w:rPr>
              <w:tab/>
            </w:r>
            <w:r w:rsidR="00111CB7">
              <w:rPr>
                <w:webHidden/>
              </w:rPr>
              <w:fldChar w:fldCharType="begin"/>
            </w:r>
            <w:r w:rsidR="00111CB7">
              <w:rPr>
                <w:webHidden/>
              </w:rPr>
              <w:instrText xml:space="preserve"> PAGEREF _Toc175061485 \h </w:instrText>
            </w:r>
            <w:r w:rsidR="00111CB7">
              <w:rPr>
                <w:webHidden/>
              </w:rPr>
            </w:r>
            <w:r w:rsidR="00111CB7">
              <w:rPr>
                <w:webHidden/>
              </w:rPr>
              <w:fldChar w:fldCharType="separate"/>
            </w:r>
            <w:r w:rsidR="00871678">
              <w:rPr>
                <w:webHidden/>
              </w:rPr>
              <w:t>19</w:t>
            </w:r>
            <w:r w:rsidR="00111CB7">
              <w:rPr>
                <w:webHidden/>
              </w:rPr>
              <w:fldChar w:fldCharType="end"/>
            </w:r>
          </w:hyperlink>
        </w:p>
        <w:p w14:paraId="3C64F15B" w14:textId="20C913E3" w:rsidR="00111CB7" w:rsidRDefault="00A03490" w:rsidP="2A300975">
          <w:pPr>
            <w:pStyle w:val="TOC1"/>
            <w:rPr>
              <w:rFonts w:eastAsiaTheme="minorEastAsia" w:cstheme="minorBidi"/>
              <w:b w:val="0"/>
              <w:sz w:val="22"/>
              <w:szCs w:val="22"/>
            </w:rPr>
          </w:pPr>
          <w:hyperlink w:anchor="_Toc175061486" w:history="1">
            <w:r w:rsidR="00111CB7" w:rsidRPr="008F6860">
              <w:rPr>
                <w:rStyle w:val="Hyperlink"/>
              </w:rPr>
              <w:t>References</w:t>
            </w:r>
            <w:r w:rsidR="00111CB7">
              <w:rPr>
                <w:webHidden/>
              </w:rPr>
              <w:tab/>
            </w:r>
            <w:r w:rsidR="00111CB7">
              <w:rPr>
                <w:webHidden/>
              </w:rPr>
              <w:fldChar w:fldCharType="begin"/>
            </w:r>
            <w:r w:rsidR="00111CB7">
              <w:rPr>
                <w:webHidden/>
              </w:rPr>
              <w:instrText xml:space="preserve"> PAGEREF _Toc175061486 \h </w:instrText>
            </w:r>
            <w:r w:rsidR="00111CB7">
              <w:rPr>
                <w:webHidden/>
              </w:rPr>
            </w:r>
            <w:r w:rsidR="00111CB7">
              <w:rPr>
                <w:webHidden/>
              </w:rPr>
              <w:fldChar w:fldCharType="separate"/>
            </w:r>
            <w:r w:rsidR="00871678">
              <w:rPr>
                <w:webHidden/>
              </w:rPr>
              <w:t>24</w:t>
            </w:r>
            <w:r w:rsidR="00111CB7">
              <w:rPr>
                <w:webHidden/>
              </w:rPr>
              <w:fldChar w:fldCharType="end"/>
            </w:r>
          </w:hyperlink>
        </w:p>
        <w:p w14:paraId="5C03CB0A" w14:textId="2DF3A3B9" w:rsidR="004909C3" w:rsidRDefault="003B499C" w:rsidP="00AF6321">
          <w:pPr>
            <w:spacing w:after="0" w:line="240" w:lineRule="auto"/>
          </w:pPr>
          <w:r>
            <w:rPr>
              <w:b/>
              <w:noProof/>
              <w:color w:val="FFFFFF" w:themeColor="background1"/>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13"/>
          <w:footerReference w:type="default" r:id="rId14"/>
          <w:pgSz w:w="11906" w:h="16838" w:code="9"/>
          <w:pgMar w:top="2041" w:right="2381" w:bottom="1247" w:left="1247" w:header="720" w:footer="851" w:gutter="0"/>
          <w:cols w:space="708"/>
          <w:docGrid w:linePitch="360"/>
        </w:sectPr>
      </w:pPr>
    </w:p>
    <w:p w14:paraId="6D3B0BC9" w14:textId="77777777" w:rsidR="0004635E" w:rsidRDefault="0004635E">
      <w:pPr>
        <w:spacing w:after="0" w:line="240" w:lineRule="auto"/>
        <w:rPr>
          <w:rFonts w:asciiTheme="majorHAnsi" w:hAnsiTheme="majorHAnsi"/>
          <w:b/>
          <w:sz w:val="96"/>
          <w:szCs w:val="44"/>
        </w:rPr>
      </w:pPr>
      <w:r>
        <w:br w:type="page"/>
      </w:r>
    </w:p>
    <w:p w14:paraId="5A166B51" w14:textId="318D1387" w:rsidR="00C52BDB" w:rsidRDefault="00FD3297" w:rsidP="00C52BDB">
      <w:pPr>
        <w:pStyle w:val="Heading2"/>
      </w:pPr>
      <w:bookmarkStart w:id="2" w:name="_Toc175061482"/>
      <w:r>
        <w:lastRenderedPageBreak/>
        <w:t>Technical details</w:t>
      </w:r>
      <w:bookmarkEnd w:id="2"/>
    </w:p>
    <w:p w14:paraId="291FD67F" w14:textId="22891E2B" w:rsidR="00C52BDB" w:rsidRPr="0068479D" w:rsidRDefault="00C52BDB" w:rsidP="00C52BDB">
      <w:pPr>
        <w:pStyle w:val="Heading3"/>
      </w:pPr>
      <w:r>
        <w:t>Study aim</w:t>
      </w:r>
    </w:p>
    <w:p w14:paraId="1A854615" w14:textId="288E662F" w:rsidR="00BA5ED1" w:rsidRDefault="00464DE6" w:rsidP="00C52BDB">
      <w:r>
        <w:t>To</w:t>
      </w:r>
      <w:r w:rsidR="00C52BDB" w:rsidRPr="009F7494">
        <w:t xml:space="preserve"> </w:t>
      </w:r>
      <w:r w:rsidR="00C52BDB">
        <w:t>explor</w:t>
      </w:r>
      <w:r>
        <w:t>e</w:t>
      </w:r>
      <w:r w:rsidR="00C52BDB" w:rsidRPr="009F7494">
        <w:t xml:space="preserve"> whether the</w:t>
      </w:r>
      <w:r w:rsidR="00C52BDB">
        <w:t xml:space="preserve"> </w:t>
      </w:r>
      <w:r w:rsidR="00E3451E">
        <w:t xml:space="preserve">new </w:t>
      </w:r>
      <w:r w:rsidR="00C52BDB">
        <w:t>legislation regarding the</w:t>
      </w:r>
      <w:r w:rsidR="00C52BDB" w:rsidRPr="009F7494">
        <w:t xml:space="preserve"> paid </w:t>
      </w:r>
      <w:r w:rsidR="001264B9">
        <w:t>f</w:t>
      </w:r>
      <w:r w:rsidR="00C52BDB">
        <w:t xml:space="preserve">amily and </w:t>
      </w:r>
      <w:r w:rsidR="001264B9">
        <w:t>d</w:t>
      </w:r>
      <w:r w:rsidR="00C52BDB">
        <w:t xml:space="preserve">omestic </w:t>
      </w:r>
      <w:r w:rsidR="001264B9">
        <w:t>v</w:t>
      </w:r>
      <w:r w:rsidR="00C52BDB">
        <w:t xml:space="preserve">iolence </w:t>
      </w:r>
      <w:r w:rsidR="00D704D0">
        <w:t>(</w:t>
      </w:r>
      <w:r w:rsidR="00D704D0" w:rsidRPr="009F7494">
        <w:t>FDV</w:t>
      </w:r>
      <w:r w:rsidR="00D704D0">
        <w:t>) l</w:t>
      </w:r>
      <w:r w:rsidR="00C52BDB">
        <w:t xml:space="preserve">eave </w:t>
      </w:r>
      <w:r w:rsidR="00C52BDB" w:rsidRPr="009F7494">
        <w:t xml:space="preserve">entitlement </w:t>
      </w:r>
      <w:r w:rsidR="00C52BDB">
        <w:t>has the potential to reduce</w:t>
      </w:r>
      <w:r w:rsidR="00C52BDB" w:rsidRPr="009F7494">
        <w:t xml:space="preserve"> stigma and discrimination </w:t>
      </w:r>
      <w:r w:rsidR="00C52BDB">
        <w:t xml:space="preserve">experienced </w:t>
      </w:r>
      <w:r w:rsidR="00B21333">
        <w:t xml:space="preserve">in the workplace </w:t>
      </w:r>
      <w:r w:rsidR="00C52BDB">
        <w:t>by</w:t>
      </w:r>
      <w:r w:rsidR="00C52BDB" w:rsidRPr="009F7494">
        <w:t xml:space="preserve"> victim-survivors.</w:t>
      </w:r>
    </w:p>
    <w:p w14:paraId="1154BF0F" w14:textId="7B2C0477" w:rsidR="00565C42" w:rsidRDefault="00565C42" w:rsidP="00565C42">
      <w:pPr>
        <w:pStyle w:val="Heading3"/>
      </w:pPr>
      <w:r>
        <w:t>Policy context</w:t>
      </w:r>
    </w:p>
    <w:p w14:paraId="73BD2E59" w14:textId="3BFC082F" w:rsidR="00464DE6" w:rsidRDefault="00464DE6" w:rsidP="00BA5ED1">
      <w:r>
        <w:t>T</w:t>
      </w:r>
      <w:r w:rsidR="00BA5ED1" w:rsidRPr="003E2EFF">
        <w:t xml:space="preserve">he </w:t>
      </w:r>
      <w:r w:rsidR="00BA5ED1">
        <w:t>Safety Net Branch</w:t>
      </w:r>
      <w:r w:rsidR="00BA5ED1" w:rsidRPr="003E2EFF">
        <w:t xml:space="preserve"> in the Department of Employment and Workplace Relations asked BETA to </w:t>
      </w:r>
      <w:r w:rsidR="00BA5ED1">
        <w:t>conduct research to understand</w:t>
      </w:r>
      <w:r w:rsidR="00BA5ED1" w:rsidRPr="003E2EFF">
        <w:t xml:space="preserve"> the </w:t>
      </w:r>
      <w:r w:rsidR="00BA5ED1">
        <w:t>impacts of the new paid FDV leave entitlement that became available to</w:t>
      </w:r>
      <w:r w:rsidR="00A13337">
        <w:t xml:space="preserve"> Australian employees in 2023. The results </w:t>
      </w:r>
      <w:r w:rsidR="00F6054A">
        <w:t xml:space="preserve">of </w:t>
      </w:r>
      <w:r w:rsidR="00C003FB">
        <w:t>this</w:t>
      </w:r>
      <w:r w:rsidR="00A13337">
        <w:t xml:space="preserve"> research </w:t>
      </w:r>
      <w:r w:rsidR="00C003FB">
        <w:t>will</w:t>
      </w:r>
      <w:r>
        <w:t xml:space="preserve"> </w:t>
      </w:r>
      <w:r w:rsidR="00C003FB">
        <w:t>contribute to</w:t>
      </w:r>
      <w:r w:rsidR="00B31D5D">
        <w:t xml:space="preserve"> a</w:t>
      </w:r>
      <w:r w:rsidR="007A5AF7">
        <w:t>n independent</w:t>
      </w:r>
      <w:r w:rsidR="00BA5ED1">
        <w:t xml:space="preserve"> review of the </w:t>
      </w:r>
      <w:r>
        <w:t xml:space="preserve">paid FDV leave </w:t>
      </w:r>
      <w:r w:rsidR="00BA5ED1">
        <w:t>legislation.</w:t>
      </w:r>
    </w:p>
    <w:p w14:paraId="43948091" w14:textId="0FA89673" w:rsidR="0001410F" w:rsidRDefault="007A5AF7" w:rsidP="0001410F">
      <w:pPr>
        <w:pStyle w:val="Heading3"/>
      </w:pPr>
      <w:r>
        <w:t>Scop</w:t>
      </w:r>
      <w:r w:rsidR="0001410F">
        <w:t>e of this report</w:t>
      </w:r>
    </w:p>
    <w:p w14:paraId="15B9226B" w14:textId="5BE55646" w:rsidR="007A5AF7" w:rsidRDefault="006D7C56" w:rsidP="0001410F">
      <w:r>
        <w:t>This</w:t>
      </w:r>
      <w:r w:rsidR="0001410F">
        <w:t xml:space="preserve"> report </w:t>
      </w:r>
      <w:r>
        <w:t>provides technical detail on</w:t>
      </w:r>
      <w:r w:rsidR="0001410F">
        <w:t xml:space="preserve"> only </w:t>
      </w:r>
      <w:r>
        <w:t>a single experiment included in</w:t>
      </w:r>
      <w:r w:rsidR="0001410F">
        <w:t xml:space="preserve"> a suite of research activities to explore the impac</w:t>
      </w:r>
      <w:r w:rsidR="005A56B1">
        <w:t xml:space="preserve">t of the paid leave entitlement. </w:t>
      </w:r>
    </w:p>
    <w:p w14:paraId="331523CD" w14:textId="0306B8D8" w:rsidR="0001410F" w:rsidRPr="00E06DBF" w:rsidRDefault="0001410F" w:rsidP="0001410F">
      <w:r>
        <w:t xml:space="preserve">In </w:t>
      </w:r>
      <w:r w:rsidR="006D7C56">
        <w:t>the</w:t>
      </w:r>
      <w:r>
        <w:t xml:space="preserve"> experiment, we asked respondents to provide their rationale for </w:t>
      </w:r>
      <w:r w:rsidR="007A5AF7">
        <w:t xml:space="preserve">some of </w:t>
      </w:r>
      <w:r>
        <w:t xml:space="preserve">their </w:t>
      </w:r>
      <w:r w:rsidR="007A5AF7">
        <w:t>responses</w:t>
      </w:r>
      <w:r>
        <w:t>. This was collected via an open-text response box. The qualitative thematic analysis of these responses is not covered in this report.</w:t>
      </w:r>
    </w:p>
    <w:p w14:paraId="22785534" w14:textId="1A493CD9" w:rsidR="00565C42" w:rsidRDefault="00565C42" w:rsidP="00565C42">
      <w:pPr>
        <w:pStyle w:val="Heading3"/>
      </w:pPr>
      <w:r>
        <w:t>Rationale</w:t>
      </w:r>
    </w:p>
    <w:p w14:paraId="5B4B8529" w14:textId="06B00715" w:rsidR="00C52BDB" w:rsidRDefault="00F6054A" w:rsidP="00C52BDB">
      <w:r>
        <w:t>Previous research has indicated that</w:t>
      </w:r>
      <w:r w:rsidR="00D704D0">
        <w:t xml:space="preserve"> </w:t>
      </w:r>
      <w:r w:rsidR="00C52BDB">
        <w:t xml:space="preserve">the </w:t>
      </w:r>
      <w:r w:rsidR="00C52BDB" w:rsidRPr="009F7494">
        <w:t xml:space="preserve">act of introducing legislation can alter </w:t>
      </w:r>
      <w:r w:rsidR="00C52BDB">
        <w:t xml:space="preserve">community </w:t>
      </w:r>
      <w:r w:rsidR="00C52BDB" w:rsidRPr="009F7494">
        <w:t xml:space="preserve">attitudes (e.g. Colombotos 1969; Werner et al 1995; Bilz and Nadler 2014). </w:t>
      </w:r>
      <w:r>
        <w:t>This may be because</w:t>
      </w:r>
      <w:r w:rsidR="00C52BDB" w:rsidRPr="005D7C02">
        <w:t xml:space="preserve"> </w:t>
      </w:r>
      <w:r w:rsidR="00C52BDB">
        <w:t>citizens view the</w:t>
      </w:r>
      <w:r w:rsidR="00C52BDB" w:rsidRPr="005D7C02">
        <w:t xml:space="preserve"> legal system as a legitimate and reliable source of morality that reflects commonly held views</w:t>
      </w:r>
      <w:r w:rsidR="006422DC">
        <w:t xml:space="preserve"> </w:t>
      </w:r>
      <w:r w:rsidR="00B31D5D">
        <w:t xml:space="preserve">(Kuran </w:t>
      </w:r>
      <w:r w:rsidR="00C52BDB" w:rsidRPr="005D7C02">
        <w:t>1995)</w:t>
      </w:r>
      <w:r w:rsidR="00B31D5D">
        <w:t>.</w:t>
      </w:r>
      <w:r w:rsidR="00C52BDB" w:rsidRPr="005D7C02">
        <w:t xml:space="preserve"> </w:t>
      </w:r>
      <w:r w:rsidR="00B31D5D">
        <w:t xml:space="preserve">Essentially, </w:t>
      </w:r>
      <w:r w:rsidR="00C52BDB" w:rsidRPr="005D7C02">
        <w:t xml:space="preserve">citizens assume others are complying not because they must, but because they want to </w:t>
      </w:r>
      <w:r w:rsidR="007A5AF7">
        <w:t>–</w:t>
      </w:r>
      <w:r w:rsidR="00C52BDB" w:rsidRPr="005D7C02">
        <w:t xml:space="preserve"> and this perception contributes to a shift in social norms.</w:t>
      </w:r>
    </w:p>
    <w:p w14:paraId="7B40555A" w14:textId="361FA0A5" w:rsidR="00C52BDB" w:rsidRDefault="00C52BDB" w:rsidP="00C52BDB">
      <w:r>
        <w:t>Specifically, l</w:t>
      </w:r>
      <w:r w:rsidRPr="00F24C97">
        <w:t>eg</w:t>
      </w:r>
      <w:r w:rsidR="007A5AF7">
        <w:t>isla</w:t>
      </w:r>
      <w:r w:rsidRPr="009F7494">
        <w:t>tion may be able to reduce stigma and discrimination against employees who take leave from work. For example, in an experimental study, Albiston and Correll (2023) found that anti-discrimination legislation significantly reduced stigmati</w:t>
      </w:r>
      <w:r>
        <w:t>s</w:t>
      </w:r>
      <w:r w:rsidRPr="009F7494">
        <w:t>ing and discriminatory evaluations of fictional employees who accessed leave</w:t>
      </w:r>
      <w:r>
        <w:t xml:space="preserve"> to care for their sick child</w:t>
      </w:r>
      <w:r w:rsidRPr="009F7494">
        <w:t xml:space="preserve">. Moreover, </w:t>
      </w:r>
      <w:r w:rsidR="00F6054A">
        <w:t>they</w:t>
      </w:r>
      <w:r>
        <w:t xml:space="preserve"> found that </w:t>
      </w:r>
      <w:r w:rsidRPr="009F7494">
        <w:t>legislative provisions were far more powerful at reducing stigma and discrimination than organisational polic</w:t>
      </w:r>
      <w:r w:rsidR="007A5AF7">
        <w:t>ies</w:t>
      </w:r>
      <w:r>
        <w:t xml:space="preserve"> alone</w:t>
      </w:r>
      <w:r w:rsidRPr="00F24C97">
        <w:t>.</w:t>
      </w:r>
      <w:r>
        <w:t xml:space="preserve"> Using an experimental methodology similar to </w:t>
      </w:r>
      <w:r w:rsidRPr="009F7494">
        <w:t>Albiston and Correll (2023)</w:t>
      </w:r>
      <w:r>
        <w:t>, we teste</w:t>
      </w:r>
      <w:r w:rsidR="00E3451E">
        <w:t>d whether the paid FDV leave</w:t>
      </w:r>
      <w:r>
        <w:t xml:space="preserve"> entitlement has a similar potential.</w:t>
      </w:r>
    </w:p>
    <w:p w14:paraId="6C2206A2" w14:textId="1884098A" w:rsidR="00B93ECF" w:rsidRDefault="006B7944" w:rsidP="00B93ECF">
      <w:pPr>
        <w:pStyle w:val="Heading3"/>
      </w:pPr>
      <w:r>
        <w:lastRenderedPageBreak/>
        <w:t>Experiment</w:t>
      </w:r>
      <w:r w:rsidR="00B93ECF">
        <w:t xml:space="preserve"> </w:t>
      </w:r>
      <w:r>
        <w:t>d</w:t>
      </w:r>
      <w:r w:rsidR="00B93ECF">
        <w:t>esign</w:t>
      </w:r>
    </w:p>
    <w:p w14:paraId="573B184C" w14:textId="39DC6878" w:rsidR="008D7264" w:rsidRDefault="008D7264" w:rsidP="008D7264">
      <w:r>
        <w:t>We conducted a two-arm online survey experiment which was part of a broader online survey of the general Australian workforce. The two arms differed only in how the survey questions were ordered.</w:t>
      </w:r>
    </w:p>
    <w:p w14:paraId="0960AC9C" w14:textId="7AA2F83D" w:rsidR="004C49B1" w:rsidRDefault="00B93ECF" w:rsidP="00B93ECF">
      <w:r>
        <w:t>Half</w:t>
      </w:r>
      <w:r w:rsidR="001255BA">
        <w:t xml:space="preserve"> the participants in our survey were randomly allocated to our </w:t>
      </w:r>
      <w:r w:rsidR="001255BA" w:rsidRPr="004C49B1">
        <w:rPr>
          <w:b/>
        </w:rPr>
        <w:t>treatment condition</w:t>
      </w:r>
      <w:r w:rsidR="00CF2F8A">
        <w:rPr>
          <w:b/>
        </w:rPr>
        <w:t xml:space="preserve">. </w:t>
      </w:r>
      <w:r w:rsidR="00CF2F8A">
        <w:t>In the treatment condition</w:t>
      </w:r>
      <w:r w:rsidR="00B21333">
        <w:t>,</w:t>
      </w:r>
      <w:r w:rsidR="00CF2F8A">
        <w:t xml:space="preserve"> participants first</w:t>
      </w:r>
      <w:r w:rsidR="001255BA">
        <w:t xml:space="preserve"> </w:t>
      </w:r>
      <w:r w:rsidR="000714F9">
        <w:t>received information</w:t>
      </w:r>
      <w:r>
        <w:t xml:space="preserve"> about the legislation through educational feedback</w:t>
      </w:r>
      <w:r w:rsidR="000714F9">
        <w:t xml:space="preserve"> following their responses to a quiz designed to measure their comprehension of the leave</w:t>
      </w:r>
      <w:r w:rsidR="005149DB">
        <w:t xml:space="preserve"> </w:t>
      </w:r>
      <w:r w:rsidR="00B21333">
        <w:t xml:space="preserve">entitlement </w:t>
      </w:r>
      <w:r w:rsidR="005149DB">
        <w:t xml:space="preserve">(see </w:t>
      </w:r>
      <w:r>
        <w:t>Appendix 2)</w:t>
      </w:r>
      <w:r w:rsidR="007137D7">
        <w:t>. Then they</w:t>
      </w:r>
      <w:r>
        <w:t xml:space="preserve"> respond</w:t>
      </w:r>
      <w:r w:rsidR="007137D7">
        <w:t>ed</w:t>
      </w:r>
      <w:r>
        <w:t xml:space="preserve"> t</w:t>
      </w:r>
      <w:r w:rsidR="001255BA">
        <w:t>o a vignette that required</w:t>
      </w:r>
      <w:r>
        <w:t xml:space="preserve"> </w:t>
      </w:r>
      <w:r w:rsidR="007137D7">
        <w:t>them</w:t>
      </w:r>
      <w:r>
        <w:t xml:space="preserve"> to </w:t>
      </w:r>
      <w:r w:rsidR="001255BA">
        <w:t>evaluate</w:t>
      </w:r>
      <w:r>
        <w:t xml:space="preserve"> </w:t>
      </w:r>
      <w:r w:rsidR="001255BA">
        <w:t>the work performance</w:t>
      </w:r>
      <w:r w:rsidR="007137D7">
        <w:t xml:space="preserve"> and behaviour</w:t>
      </w:r>
      <w:r w:rsidR="001255BA">
        <w:t xml:space="preserve"> of </w:t>
      </w:r>
      <w:r>
        <w:t xml:space="preserve">a fictional </w:t>
      </w:r>
      <w:r w:rsidR="001255BA">
        <w:t>employee who had taken leave from work due to experiencing FDV.</w:t>
      </w:r>
      <w:r>
        <w:t xml:space="preserve"> Participants also answer</w:t>
      </w:r>
      <w:r w:rsidR="004C49B1">
        <w:t>ed</w:t>
      </w:r>
      <w:r>
        <w:t xml:space="preserve"> general attitudinal questions about FDV (</w:t>
      </w:r>
      <w:r w:rsidR="005149DB">
        <w:t xml:space="preserve">see </w:t>
      </w:r>
      <w:r>
        <w:t xml:space="preserve">Appendix 2). The other half of our participants </w:t>
      </w:r>
      <w:r w:rsidR="004C49B1">
        <w:t xml:space="preserve">were allocated to the </w:t>
      </w:r>
      <w:r w:rsidR="004C49B1" w:rsidRPr="004C49B1">
        <w:rPr>
          <w:b/>
        </w:rPr>
        <w:t>control condition</w:t>
      </w:r>
      <w:r w:rsidR="004C49B1">
        <w:t xml:space="preserve"> where they</w:t>
      </w:r>
      <w:r>
        <w:t xml:space="preserve"> learn</w:t>
      </w:r>
      <w:r w:rsidR="004C49B1">
        <w:t>t</w:t>
      </w:r>
      <w:r>
        <w:t xml:space="preserve"> about the legislative requirements </w:t>
      </w:r>
      <w:r w:rsidRPr="004C49B1">
        <w:rPr>
          <w:i/>
        </w:rPr>
        <w:t>after</w:t>
      </w:r>
      <w:r>
        <w:t xml:space="preserve"> they </w:t>
      </w:r>
      <w:r w:rsidR="004C49B1">
        <w:t xml:space="preserve">evaluated the fictional employee and indicated </w:t>
      </w:r>
      <w:r>
        <w:t xml:space="preserve">their </w:t>
      </w:r>
      <w:r w:rsidR="004C49B1">
        <w:t xml:space="preserve">general </w:t>
      </w:r>
      <w:r>
        <w:t>attitudes towards FDV.</w:t>
      </w:r>
    </w:p>
    <w:p w14:paraId="64569B45" w14:textId="3FD9C80D" w:rsidR="004C49B1" w:rsidRDefault="00060265" w:rsidP="00B93ECF">
      <w:r>
        <w:t xml:space="preserve">The </w:t>
      </w:r>
      <w:r w:rsidR="004C49B1">
        <w:t xml:space="preserve">experiment design pre-empted that </w:t>
      </w:r>
      <w:r w:rsidR="00B57301">
        <w:t xml:space="preserve">members of the general Australian workforce </w:t>
      </w:r>
      <w:r w:rsidR="007A5AF7">
        <w:t>were probably unfamiliar with</w:t>
      </w:r>
      <w:r w:rsidR="000714F9">
        <w:t xml:space="preserve"> the provisions of the</w:t>
      </w:r>
      <w:r w:rsidR="004C49B1">
        <w:t xml:space="preserve"> paid FDV leave entitlement</w:t>
      </w:r>
      <w:r w:rsidR="007A5AF7">
        <w:t>, which</w:t>
      </w:r>
      <w:r w:rsidR="004C49B1">
        <w:t xml:space="preserve"> had only been available to Australian employees </w:t>
      </w:r>
      <w:r w:rsidR="000714F9">
        <w:t xml:space="preserve">for a short time </w:t>
      </w:r>
      <w:r w:rsidR="004C49B1">
        <w:t xml:space="preserve">(11 months for large business employees and 5 months for small business). </w:t>
      </w:r>
      <w:r w:rsidR="000714F9">
        <w:t xml:space="preserve">In support of this assumption, we found that our participants displayed quite poor knowledge of the legislation. </w:t>
      </w:r>
      <w:r>
        <w:t>P</w:t>
      </w:r>
      <w:r w:rsidR="000714F9">
        <w:t xml:space="preserve">articipants scored an average of 4.52 out of 10 on the quiz designed to measure </w:t>
      </w:r>
      <w:r w:rsidR="006763D9">
        <w:t xml:space="preserve">their </w:t>
      </w:r>
      <w:r w:rsidR="000714F9">
        <w:t>comprehension of the leave</w:t>
      </w:r>
      <w:r w:rsidR="006763D9">
        <w:t xml:space="preserve"> provisions</w:t>
      </w:r>
      <w:r w:rsidR="000714F9">
        <w:t>.</w:t>
      </w:r>
    </w:p>
    <w:p w14:paraId="2D9EDDDB" w14:textId="44F7ACE1" w:rsidR="00C61DE7" w:rsidRDefault="00060265" w:rsidP="009A5041">
      <w:r>
        <w:t>P</w:t>
      </w:r>
      <w:r w:rsidR="00B93ECF">
        <w:t xml:space="preserve">articipants </w:t>
      </w:r>
      <w:r w:rsidR="00227897">
        <w:t>were recruited through</w:t>
      </w:r>
      <w:r w:rsidR="00B93ECF">
        <w:t xml:space="preserve"> a research participant panel. The recruitment flow, eligibility, and exclusion criteria for the survey experiment is outlined in Figure 1. Hard and soft quotas were used to ensure similar cell sizes to the general </w:t>
      </w:r>
      <w:r w:rsidR="00227897">
        <w:t>Australian workforce</w:t>
      </w:r>
      <w:r w:rsidR="00015DCA">
        <w:t>.</w:t>
      </w:r>
    </w:p>
    <w:p w14:paraId="3E2813AE" w14:textId="77777777" w:rsidR="00C61DE7" w:rsidRDefault="00C61DE7">
      <w:pPr>
        <w:spacing w:after="0" w:line="240" w:lineRule="auto"/>
      </w:pPr>
      <w:r>
        <w:br w:type="page"/>
      </w:r>
    </w:p>
    <w:p w14:paraId="1298D360" w14:textId="77692CC3" w:rsidR="00C61DE7" w:rsidRPr="009A5041" w:rsidRDefault="00C61DE7" w:rsidP="00C61DE7">
      <w:pPr>
        <w:pStyle w:val="Caption"/>
      </w:pPr>
      <w:r>
        <w:lastRenderedPageBreak/>
        <w:t xml:space="preserve">Figure 1. </w:t>
      </w:r>
      <w:r w:rsidRPr="007A5AF7">
        <w:t>Survey flow and eligibility criteria</w:t>
      </w:r>
    </w:p>
    <w:p w14:paraId="104F1910" w14:textId="15CEECB4" w:rsidR="002561B5" w:rsidRDefault="009E3928" w:rsidP="00B97675">
      <w:r w:rsidRPr="009E3928">
        <w:rPr>
          <w:noProof/>
        </w:rPr>
        <w:drawing>
          <wp:inline distT="0" distB="0" distL="0" distR="0" wp14:anchorId="67CC630C" wp14:editId="25FFF7B6">
            <wp:extent cx="5256530" cy="4847590"/>
            <wp:effectExtent l="0" t="0" r="1270" b="0"/>
            <wp:docPr id="1" name="Picture 1" descr="Figure 1. Survey flow and eligability criteria. This figure demonstrates the survey flow for demonstrating the eligibility criteria of participants. The first box reads 'Survey panel members invite: &quot;This 15 to 30 minute survey is about work and family and domestic violence (FDV).&quot;' There is then an arrow pointing to the second box. The second box contains the screener questions and says 'Screener questions. Panel members were eligible for the survey experiment if they: were aged between 18 years and 70 years old, lived in Australia, were currently in paid work, had been in paid work and experienced FDV before 2018. For our sample to be representative of the Australian  workforce, we aimed for the following quotas: Gender (51% female), Age (39% 18 to 34 years, 43% 35 to 54 years, 18% aged above 55 years), State/ Territory (26% Victoria, 30% NSW, 20% QLD, and 23% from the remaining). The survey was closed after we had 3,008 respondents.' This box then has an arrow pointed to the third box. The third box is called 'informed consent'. There is then an arrow pointing to the next box, which is the fourth box. The fourth box is called 'Demographic and covariate questionnaire.' This fourth box then has two arrows to point to two different pathways, to demonstrate the split between the treatment group and the control group. The first pathway has the first box called 'Treatment group (1,470 respondents). It has one arrow pointing to the next box in the treatment group pathway, which is called 'Section B: Immediate educational feedback to a comprehension quiz about the paid FDVL entitlement'. This box then has one final arrow pointing to the next box in the treatment pathway called 'Section A: Evaluation of a fictional employee plus attitudes questionnaire.&quot; For the second pathway, the first box is titled 'Control group (1,538 respondents)'. This box has an arrow going to the next box of the control group pathway called 'Section A: Evaluation of a fictional employee plus attitudes questionnaire'. This box then has another arrow pointing from it to the last box of the pathway called &quot;Section B: Immediate educational feedback to a comprehension quiz about the paid FDVL entitleme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6530" cy="4847590"/>
                    </a:xfrm>
                    <a:prstGeom prst="rect">
                      <a:avLst/>
                    </a:prstGeom>
                  </pic:spPr>
                </pic:pic>
              </a:graphicData>
            </a:graphic>
          </wp:inline>
        </w:drawing>
      </w:r>
    </w:p>
    <w:p w14:paraId="589FB86B" w14:textId="77777777" w:rsidR="00375E4E" w:rsidRDefault="00375E4E" w:rsidP="00375E4E">
      <w:pPr>
        <w:pStyle w:val="Heading3"/>
      </w:pPr>
      <w:r>
        <w:t>Randomisation</w:t>
      </w:r>
    </w:p>
    <w:p w14:paraId="0272C07C" w14:textId="5B2C96E4" w:rsidR="00375E4E" w:rsidRDefault="00375E4E" w:rsidP="00375E4E">
      <w:r>
        <w:t xml:space="preserve">Randomisation occurred at the individual level. Participants who were eligible to take part in the survey experiment were randomised into two arms within the Qualtrics survey platform, using the inbuilt randomisation functionality, with roughly equal probability of assignment across </w:t>
      </w:r>
      <w:r w:rsidR="003A0BB4">
        <w:t xml:space="preserve">the two groups. </w:t>
      </w:r>
      <w:r>
        <w:t>There were 1</w:t>
      </w:r>
      <w:r w:rsidR="000F2802">
        <w:t>,</w:t>
      </w:r>
      <w:r>
        <w:t>470 respondents in the treatment group and 1</w:t>
      </w:r>
      <w:r w:rsidR="000F2802">
        <w:t>,</w:t>
      </w:r>
      <w:r>
        <w:t>538 respondents in the control group.</w:t>
      </w:r>
    </w:p>
    <w:p w14:paraId="4AA664B5" w14:textId="77777777" w:rsidR="00375E4E" w:rsidRDefault="00375E4E" w:rsidP="00375E4E">
      <w:pPr>
        <w:pStyle w:val="Heading3"/>
      </w:pPr>
      <w:r>
        <w:t>Outcome measures</w:t>
      </w:r>
    </w:p>
    <w:p w14:paraId="6C7258D4" w14:textId="570CD05E" w:rsidR="00375E4E" w:rsidRDefault="00375E4E" w:rsidP="00375E4E">
      <w:r>
        <w:t>There we</w:t>
      </w:r>
      <w:r w:rsidRPr="003B5AF3">
        <w:t xml:space="preserve">re two sets of outcome measures. The first set </w:t>
      </w:r>
      <w:r>
        <w:t>was</w:t>
      </w:r>
      <w:r w:rsidRPr="003B5AF3">
        <w:t xml:space="preserve"> measured in response to a </w:t>
      </w:r>
      <w:r w:rsidR="00B21333">
        <w:t>vignette. The vignette described</w:t>
      </w:r>
      <w:r w:rsidRPr="003B5AF3">
        <w:t xml:space="preserve"> an employee who </w:t>
      </w:r>
      <w:r>
        <w:t>took</w:t>
      </w:r>
      <w:r w:rsidRPr="003B5AF3">
        <w:t xml:space="preserve"> leave</w:t>
      </w:r>
      <w:r>
        <w:t xml:space="preserve"> from work</w:t>
      </w:r>
      <w:r w:rsidRPr="003B5AF3">
        <w:t xml:space="preserve"> to deal with </w:t>
      </w:r>
      <w:r>
        <w:t>FDV</w:t>
      </w:r>
      <w:r w:rsidRPr="003B5AF3">
        <w:t xml:space="preserve">. </w:t>
      </w:r>
      <w:r>
        <w:t>These o</w:t>
      </w:r>
      <w:r w:rsidRPr="003B5AF3">
        <w:t xml:space="preserve">utcome measures relate directly to perception of the employee. The second set </w:t>
      </w:r>
      <w:r>
        <w:t xml:space="preserve">of outcome measures included </w:t>
      </w:r>
      <w:r w:rsidRPr="003B5AF3">
        <w:t>general attitudinal outcomes towards those who experience FDV</w:t>
      </w:r>
      <w:r>
        <w:t xml:space="preserve"> and general attitudes towards gender equality.</w:t>
      </w:r>
    </w:p>
    <w:p w14:paraId="79C6BE7D" w14:textId="73373184" w:rsidR="00375E4E" w:rsidRPr="003B5AF3" w:rsidRDefault="00375E4E" w:rsidP="00375E4E">
      <w:r>
        <w:t xml:space="preserve">A copy of relevant survey questions </w:t>
      </w:r>
      <w:r w:rsidR="007A5AF7">
        <w:t xml:space="preserve">is </w:t>
      </w:r>
      <w:r>
        <w:t>provided in Appendix 2.</w:t>
      </w:r>
    </w:p>
    <w:p w14:paraId="5886BCD1" w14:textId="77777777" w:rsidR="00375E4E" w:rsidRDefault="00375E4E" w:rsidP="00375E4E">
      <w:pPr>
        <w:pStyle w:val="Heading4"/>
      </w:pPr>
      <w:r>
        <w:lastRenderedPageBreak/>
        <w:t>Primary outcomes</w:t>
      </w:r>
    </w:p>
    <w:p w14:paraId="44067E0F" w14:textId="77777777" w:rsidR="00375E4E" w:rsidRPr="001664A4" w:rsidRDefault="00375E4E" w:rsidP="00375E4E">
      <w:pPr>
        <w:rPr>
          <w:b/>
        </w:rPr>
      </w:pPr>
      <w:r w:rsidRPr="001664A4">
        <w:rPr>
          <w:b/>
        </w:rPr>
        <w:t>Discrimination outcome measures</w:t>
      </w:r>
    </w:p>
    <w:p w14:paraId="481EE103" w14:textId="72ED066F" w:rsidR="00375E4E" w:rsidRDefault="00375E4E" w:rsidP="00375E4E">
      <w:r>
        <w:t>Bonus (numeric). In the vignette</w:t>
      </w:r>
      <w:r w:rsidR="00B21333">
        <w:t>,</w:t>
      </w:r>
      <w:r>
        <w:t xml:space="preserve"> participants </w:t>
      </w:r>
      <w:r w:rsidR="00B21333">
        <w:t>were</w:t>
      </w:r>
      <w:r>
        <w:t xml:space="preserve"> informed that employees may receive a bonus between $0 and $1000. Participants were asked what bonus is appropriate for the fictional </w:t>
      </w:r>
      <w:r w:rsidR="00824134">
        <w:t>victim-survivor</w:t>
      </w:r>
      <w:r>
        <w:t xml:space="preserve"> in whole dollars between 0 and 1000. There were 297 missing responses for this outcome measure.</w:t>
      </w:r>
    </w:p>
    <w:p w14:paraId="63AB0894" w14:textId="304937FF" w:rsidR="00375E4E" w:rsidRDefault="00375E4E" w:rsidP="00375E4E">
      <w:r>
        <w:t>Management (binary). In the vignette</w:t>
      </w:r>
      <w:r w:rsidR="00B21333">
        <w:t>,</w:t>
      </w:r>
      <w:r>
        <w:t xml:space="preserve"> participants were asked whether the fictional </w:t>
      </w:r>
      <w:r w:rsidR="00824134">
        <w:t>victim-survivor</w:t>
      </w:r>
      <w:r>
        <w:t xml:space="preserve"> should be assessed for a management position in the next year (1 = yes, 0 = not yes). There were 297 missing responses for this outcome measure.</w:t>
      </w:r>
    </w:p>
    <w:p w14:paraId="33750376" w14:textId="77777777" w:rsidR="00375E4E" w:rsidRDefault="00375E4E" w:rsidP="00375E4E">
      <w:r>
        <w:t xml:space="preserve">We undertook missing value analyses and those are described later in this report. </w:t>
      </w:r>
    </w:p>
    <w:p w14:paraId="2B129CB6" w14:textId="77777777" w:rsidR="00375E4E" w:rsidRDefault="00375E4E" w:rsidP="00375E4E">
      <w:pPr>
        <w:pStyle w:val="Heading4"/>
      </w:pPr>
      <w:r>
        <w:t>Secondary outcomes</w:t>
      </w:r>
    </w:p>
    <w:p w14:paraId="0412B99A" w14:textId="77777777" w:rsidR="00375E4E" w:rsidRPr="001664A4" w:rsidRDefault="00375E4E" w:rsidP="00375E4E">
      <w:pPr>
        <w:rPr>
          <w:b/>
        </w:rPr>
      </w:pPr>
      <w:r>
        <w:rPr>
          <w:b/>
        </w:rPr>
        <w:t>Stigma</w:t>
      </w:r>
      <w:r w:rsidRPr="001664A4">
        <w:rPr>
          <w:b/>
        </w:rPr>
        <w:t xml:space="preserve"> outcome measure</w:t>
      </w:r>
      <w:r>
        <w:rPr>
          <w:b/>
        </w:rPr>
        <w:t>: Vignette</w:t>
      </w:r>
    </w:p>
    <w:p w14:paraId="5D67075C" w14:textId="18FA082C" w:rsidR="00375E4E" w:rsidRDefault="00375E4E" w:rsidP="00375E4E">
      <w:r>
        <w:t xml:space="preserve">Competence of the fictional </w:t>
      </w:r>
      <w:r w:rsidR="00824134">
        <w:t>victim-survivor</w:t>
      </w:r>
      <w:r>
        <w:t xml:space="preserve"> was measured using a 6-item scale, each with a </w:t>
      </w:r>
      <w:r w:rsidR="3820CB39">
        <w:t>6</w:t>
      </w:r>
      <w:r>
        <w:t xml:space="preserve">-point sliding response scale. The outcome </w:t>
      </w:r>
      <w:r w:rsidR="007A5AF7">
        <w:t xml:space="preserve">was </w:t>
      </w:r>
      <w:r>
        <w:t>constructed as the mean of these responses. There were 297 complete missing responses but no partial missing responses</w:t>
      </w:r>
      <w:r w:rsidR="009937FD">
        <w:t>, s</w:t>
      </w:r>
      <w:r>
        <w:t>o we used all available data. The Cronbach’s alpha of the competence scale was 0.83</w:t>
      </w:r>
      <w:r w:rsidR="00F51B80">
        <w:t>,</w:t>
      </w:r>
      <w:r>
        <w:t xml:space="preserve"> indicating good internal consistency.</w:t>
      </w:r>
    </w:p>
    <w:p w14:paraId="7C32AABD" w14:textId="4B184F42" w:rsidR="00375E4E" w:rsidRDefault="00375E4E" w:rsidP="00375E4E">
      <w:pPr>
        <w:rPr>
          <w:b/>
        </w:rPr>
      </w:pPr>
      <w:r>
        <w:rPr>
          <w:b/>
        </w:rPr>
        <w:t>Stigma</w:t>
      </w:r>
      <w:r w:rsidRPr="001664A4">
        <w:rPr>
          <w:b/>
        </w:rPr>
        <w:t xml:space="preserve"> outcome measure</w:t>
      </w:r>
      <w:r>
        <w:rPr>
          <w:b/>
        </w:rPr>
        <w:t xml:space="preserve">: </w:t>
      </w:r>
      <w:r w:rsidR="007A5AF7">
        <w:rPr>
          <w:b/>
        </w:rPr>
        <w:t>E</w:t>
      </w:r>
      <w:r>
        <w:rPr>
          <w:b/>
        </w:rPr>
        <w:t xml:space="preserve">ndorsement of general </w:t>
      </w:r>
      <w:r w:rsidRPr="001664A4">
        <w:rPr>
          <w:noProof/>
        </w:rPr>
        <mc:AlternateContent>
          <mc:Choice Requires="wps">
            <w:drawing>
              <wp:anchor distT="0" distB="0" distL="114300" distR="114300" simplePos="0" relativeHeight="251658241" behindDoc="0" locked="0" layoutInCell="1" allowOverlap="1" wp14:anchorId="011DC158" wp14:editId="6D8F0AB5">
                <wp:simplePos x="0" y="0"/>
                <wp:positionH relativeFrom="column">
                  <wp:posOffset>3634105</wp:posOffset>
                </wp:positionH>
                <wp:positionV relativeFrom="paragraph">
                  <wp:posOffset>-11532235</wp:posOffset>
                </wp:positionV>
                <wp:extent cx="1571625" cy="6350"/>
                <wp:effectExtent l="0" t="76200" r="28575" b="88900"/>
                <wp:wrapNone/>
                <wp:docPr id="20" name="Straight Arrow Connector 20"/>
                <wp:cNvGraphicFramePr/>
                <a:graphic xmlns:a="http://schemas.openxmlformats.org/drawingml/2006/main">
                  <a:graphicData uri="http://schemas.microsoft.com/office/word/2010/wordprocessingShape">
                    <wps:wsp>
                      <wps:cNvCnPr/>
                      <wps:spPr>
                        <a:xfrm flipV="1">
                          <a:off x="0" y="0"/>
                          <a:ext cx="1571625" cy="6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1D1200B1">
                <v:path fillok="f" arrowok="t" o:connecttype="none"/>
                <o:lock v:ext="edit" shapetype="t"/>
              </v:shapetype>
              <v:shape id="Straight Arrow Connector 20" style="position:absolute;margin-left:286.15pt;margin-top:-908.05pt;width:123.75pt;height:.5pt;flip:y;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">
                <v:stroke endarrow="block"/>
              </v:shape>
            </w:pict>
          </mc:Fallback>
        </mc:AlternateContent>
      </w:r>
      <w:r>
        <w:rPr>
          <w:b/>
        </w:rPr>
        <w:t>stigmatising a</w:t>
      </w:r>
      <w:r w:rsidRPr="002B0A83">
        <w:rPr>
          <w:b/>
        </w:rPr>
        <w:t>ttitude</w:t>
      </w:r>
      <w:r>
        <w:rPr>
          <w:b/>
        </w:rPr>
        <w:t>s</w:t>
      </w:r>
    </w:p>
    <w:p w14:paraId="3ECD1D54" w14:textId="798E1CF4" w:rsidR="00375E4E" w:rsidRDefault="00375E4E" w:rsidP="4DE045B5">
      <w:pPr>
        <w:rPr>
          <w:rStyle w:val="FootnoteReference"/>
          <w:b/>
          <w:bCs/>
        </w:rPr>
      </w:pPr>
      <w:r>
        <w:t xml:space="preserve">We asked participants to indicate their level of agreement with a set of stigma-related statements that we had adapted from the </w:t>
      </w:r>
      <w:r w:rsidR="001435BB">
        <w:t>Australia’s National Research Organisation for Women’s Safety (</w:t>
      </w:r>
      <w:r>
        <w:t>ANROWS</w:t>
      </w:r>
      <w:r w:rsidR="001435BB">
        <w:t>)</w:t>
      </w:r>
      <w:r>
        <w:t xml:space="preserve"> Gender Inequality</w:t>
      </w:r>
      <w:r w:rsidR="00CB1857">
        <w:t xml:space="preserve"> Scale</w:t>
      </w:r>
      <w:r>
        <w:t xml:space="preserve"> (AGIS) and </w:t>
      </w:r>
      <w:r w:rsidR="00CB1857">
        <w:t xml:space="preserve">the </w:t>
      </w:r>
      <w:r>
        <w:t xml:space="preserve">Attitudes towards </w:t>
      </w:r>
      <w:r w:rsidR="00CB1857">
        <w:t>Violence Against Women Scale</w:t>
      </w:r>
      <w:r>
        <w:t xml:space="preserve"> (AVAWS) (Keel </w:t>
      </w:r>
      <w:r w:rsidR="00074E0D">
        <w:t>et al.</w:t>
      </w:r>
      <w:r>
        <w:t xml:space="preserve"> 2023).</w:t>
      </w:r>
    </w:p>
    <w:p w14:paraId="5DEB0557" w14:textId="2CE887F6" w:rsidR="00375E4E" w:rsidRPr="002B0A83" w:rsidRDefault="00375E4E" w:rsidP="00375E4E">
      <w:r>
        <w:t xml:space="preserve">These two attitudinal scales are not related to the </w:t>
      </w:r>
      <w:r w:rsidR="00F51B80">
        <w:t>v</w:t>
      </w:r>
      <w:r>
        <w:t>ignette</w:t>
      </w:r>
      <w:r w:rsidR="00F51B80">
        <w:t xml:space="preserve"> and evaluation</w:t>
      </w:r>
      <w:r>
        <w:t xml:space="preserve"> (Section A of the survey experiment</w:t>
      </w:r>
      <w:r w:rsidR="00F51B80">
        <w:t xml:space="preserve"> in Figure 1)</w:t>
      </w:r>
      <w:r>
        <w:t>. They form part of Section B of the survey experiment.</w:t>
      </w:r>
    </w:p>
    <w:p w14:paraId="1C38D50A" w14:textId="77BEB524" w:rsidR="00375E4E" w:rsidRDefault="00375E4E" w:rsidP="00375E4E">
      <w:r>
        <w:t xml:space="preserve">We used the AGIS (adapted) to measure stigmatising attitudes towards gender equality. The AGIS (adapted) contained five statements </w:t>
      </w:r>
      <w:r w:rsidR="00F51B80">
        <w:t xml:space="preserve">to </w:t>
      </w:r>
      <w:r>
        <w:t>which participants respond</w:t>
      </w:r>
      <w:r w:rsidR="00F51B80">
        <w:t>ed</w:t>
      </w:r>
      <w:r>
        <w:t xml:space="preserve"> on a 4-point sliding scale (‘Disagree’ = 0, ‘Slightly agree’ = 1, ‘Agree’ = 2, ‘Strongly agree’ =</w:t>
      </w:r>
      <w:r w:rsidR="00F51B80">
        <w:t xml:space="preserve"> </w:t>
      </w:r>
      <w:r>
        <w:t>3). The outcome was constructed by calculating the mean of responses. None of the respondents had partial missing data on these items. 297 respondents who did not answer any of the five items were excluded from analysis. The alpha for this scale was 0.82, indicating good reliability.</w:t>
      </w:r>
    </w:p>
    <w:p w14:paraId="4B51B2D4" w14:textId="6FB4A821" w:rsidR="00375E4E" w:rsidRDefault="00375E4E" w:rsidP="00375E4E">
      <w:r>
        <w:t>We used the AVAWS (adapted) to measure stigmatising attitudes towards domestic violence. This scale contained 12 stigmatising statements for which participants responded on a 4</w:t>
      </w:r>
      <w:r w:rsidR="00F51B80">
        <w:noBreakHyphen/>
      </w:r>
      <w:r>
        <w:t>point sliding scale (‘Disagree’ = 0, ‘Slightly agree’ = 1, ‘Agree’ = 2, ‘Strongly agree’ =</w:t>
      </w:r>
      <w:r w:rsidR="00F51B80">
        <w:t xml:space="preserve"> </w:t>
      </w:r>
      <w:r>
        <w:t>3). The outcome was constructed by calculating the mean of responses. None of the respondents had partial missing data on these items. 297 respondents who did not answer any of the five items were excluded from analysis, leaving 2711 respondents with complete data. The alpha for this scale was 0.97, indicating good reliability and that some items could be dropped if needed in future use of this scale.</w:t>
      </w:r>
    </w:p>
    <w:p w14:paraId="184652D3" w14:textId="77777777" w:rsidR="00375E4E" w:rsidRDefault="00375E4E" w:rsidP="00375E4E">
      <w:pPr>
        <w:pStyle w:val="Heading3"/>
      </w:pPr>
      <w:r>
        <w:lastRenderedPageBreak/>
        <w:t>Hypotheses</w:t>
      </w:r>
    </w:p>
    <w:p w14:paraId="5CE41A07" w14:textId="77777777" w:rsidR="00375E4E" w:rsidRDefault="00375E4E" w:rsidP="00375E4E">
      <w:pPr>
        <w:pStyle w:val="Heading4"/>
      </w:pPr>
      <w:r>
        <w:t>Primary</w:t>
      </w:r>
    </w:p>
    <w:p w14:paraId="35C77348" w14:textId="7DAA5C03" w:rsidR="00375E4E" w:rsidRDefault="00375E4E" w:rsidP="00375E4E">
      <w:r>
        <w:t>H1: Mean bonus amount will be higher in the treatment arm as compared w</w:t>
      </w:r>
      <w:r w:rsidR="00F94BD4">
        <w:t xml:space="preserve">ith the control arm (treatment </w:t>
      </w:r>
      <w:r w:rsidR="00F94BD4" w:rsidRPr="00543062">
        <w:rPr>
          <w:noProof/>
        </w:rPr>
        <w:drawing>
          <wp:inline distT="0" distB="0" distL="0" distR="0" wp14:anchorId="0A2A1E96" wp14:editId="0CE40609">
            <wp:extent cx="114316" cy="104790"/>
            <wp:effectExtent l="0" t="0" r="0" b="9525"/>
            <wp:docPr id="29" name="Picture 29" descr="Greater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316" cy="104790"/>
                    </a:xfrm>
                    <a:prstGeom prst="rect">
                      <a:avLst/>
                    </a:prstGeom>
                  </pic:spPr>
                </pic:pic>
              </a:graphicData>
            </a:graphic>
          </wp:inline>
        </w:drawing>
      </w:r>
      <w:r>
        <w:t xml:space="preserve"> control).</w:t>
      </w:r>
    </w:p>
    <w:p w14:paraId="3F9E6AD9" w14:textId="32A4283D" w:rsidR="00375E4E" w:rsidRDefault="00375E4E" w:rsidP="00375E4E">
      <w:r>
        <w:t>H2: There will be a higher proportion of people recommending assessment for management for the fictional employee in the treatment arm as compared with the contr</w:t>
      </w:r>
      <w:r w:rsidR="00F94BD4">
        <w:t xml:space="preserve">ol arm (treatment </w:t>
      </w:r>
      <w:r w:rsidR="00F94BD4" w:rsidRPr="00543062">
        <w:rPr>
          <w:noProof/>
        </w:rPr>
        <w:drawing>
          <wp:inline distT="0" distB="0" distL="0" distR="0" wp14:anchorId="5B7F8979" wp14:editId="46C9CAB0">
            <wp:extent cx="114316" cy="104790"/>
            <wp:effectExtent l="0" t="0" r="0" b="9525"/>
            <wp:docPr id="30" name="Picture 30" descr="Greater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316" cy="104790"/>
                    </a:xfrm>
                    <a:prstGeom prst="rect">
                      <a:avLst/>
                    </a:prstGeom>
                  </pic:spPr>
                </pic:pic>
              </a:graphicData>
            </a:graphic>
          </wp:inline>
        </w:drawing>
      </w:r>
      <w:r>
        <w:t xml:space="preserve"> control).</w:t>
      </w:r>
    </w:p>
    <w:p w14:paraId="3B75CA91" w14:textId="77777777" w:rsidR="00375E4E" w:rsidRDefault="00375E4E" w:rsidP="00375E4E">
      <w:pPr>
        <w:pStyle w:val="Heading4"/>
      </w:pPr>
      <w:r>
        <w:t>Secondary</w:t>
      </w:r>
    </w:p>
    <w:p w14:paraId="30E8FE4F" w14:textId="13355016" w:rsidR="00375E4E" w:rsidRDefault="00375E4E" w:rsidP="00375E4E">
      <w:r>
        <w:t>H1: Mean competence scores will be higher in the treatment arm as compared w</w:t>
      </w:r>
      <w:r w:rsidR="00543062">
        <w:t xml:space="preserve">ith the control arm (treatment </w:t>
      </w:r>
      <w:r w:rsidR="00543062" w:rsidRPr="00543062">
        <w:rPr>
          <w:noProof/>
        </w:rPr>
        <w:drawing>
          <wp:inline distT="0" distB="0" distL="0" distR="0" wp14:anchorId="3945B192" wp14:editId="5AF843E2">
            <wp:extent cx="114316" cy="104790"/>
            <wp:effectExtent l="0" t="0" r="0" b="9525"/>
            <wp:docPr id="23" name="Picture 23" descr="Greater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316" cy="104790"/>
                    </a:xfrm>
                    <a:prstGeom prst="rect">
                      <a:avLst/>
                    </a:prstGeom>
                  </pic:spPr>
                </pic:pic>
              </a:graphicData>
            </a:graphic>
          </wp:inline>
        </w:drawing>
      </w:r>
      <w:r w:rsidR="00543062">
        <w:t xml:space="preserve"> </w:t>
      </w:r>
      <w:r>
        <w:t>control).</w:t>
      </w:r>
    </w:p>
    <w:p w14:paraId="7570EA2C" w14:textId="53B02801" w:rsidR="00375E4E" w:rsidRDefault="00375E4E" w:rsidP="00375E4E">
      <w:r>
        <w:t>H2: Mean AVAWS scores will be lower in the treatment arm as compared with the control arm (treatm</w:t>
      </w:r>
      <w:r w:rsidR="00543062">
        <w:t xml:space="preserve">ent </w:t>
      </w:r>
      <w:r w:rsidR="00543062" w:rsidRPr="00543062">
        <w:rPr>
          <w:noProof/>
        </w:rPr>
        <w:drawing>
          <wp:inline distT="0" distB="0" distL="0" distR="0" wp14:anchorId="0AE9820B" wp14:editId="62B9ACA2">
            <wp:extent cx="104790" cy="95263"/>
            <wp:effectExtent l="0" t="0" r="9525" b="0"/>
            <wp:docPr id="24" name="Picture 24" descr="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790" cy="95263"/>
                    </a:xfrm>
                    <a:prstGeom prst="rect">
                      <a:avLst/>
                    </a:prstGeom>
                  </pic:spPr>
                </pic:pic>
              </a:graphicData>
            </a:graphic>
          </wp:inline>
        </w:drawing>
      </w:r>
      <w:r>
        <w:t xml:space="preserve"> control).</w:t>
      </w:r>
    </w:p>
    <w:p w14:paraId="07D49326" w14:textId="20A2D7BF" w:rsidR="00375E4E" w:rsidRPr="003B5AF3" w:rsidRDefault="00375E4E" w:rsidP="00375E4E">
      <w:r>
        <w:t>H3: Mean AGIS scores will be lower in the treatment arm as compared wi</w:t>
      </w:r>
      <w:r w:rsidR="00543062">
        <w:t xml:space="preserve">th the control arm (treatment </w:t>
      </w:r>
      <w:r w:rsidR="00543062" w:rsidRPr="00543062">
        <w:rPr>
          <w:noProof/>
        </w:rPr>
        <w:drawing>
          <wp:inline distT="0" distB="0" distL="0" distR="0" wp14:anchorId="56BD4BBE" wp14:editId="7009AAC3">
            <wp:extent cx="104790" cy="95263"/>
            <wp:effectExtent l="0" t="0" r="9525" b="0"/>
            <wp:docPr id="25" name="Picture 25" descr="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790" cy="95263"/>
                    </a:xfrm>
                    <a:prstGeom prst="rect">
                      <a:avLst/>
                    </a:prstGeom>
                  </pic:spPr>
                </pic:pic>
              </a:graphicData>
            </a:graphic>
          </wp:inline>
        </w:drawing>
      </w:r>
      <w:r w:rsidR="00543062">
        <w:t xml:space="preserve"> </w:t>
      </w:r>
      <w:r>
        <w:t>control).</w:t>
      </w:r>
    </w:p>
    <w:p w14:paraId="6FEC104B" w14:textId="18A76738" w:rsidR="00375E4E" w:rsidRDefault="00F61B07" w:rsidP="00375E4E">
      <w:pPr>
        <w:pStyle w:val="Heading3"/>
      </w:pPr>
      <w:r>
        <w:t>P</w:t>
      </w:r>
      <w:r w:rsidR="00375E4E">
        <w:t xml:space="preserve">ower </w:t>
      </w:r>
      <w:r>
        <w:t>and sample size</w:t>
      </w:r>
    </w:p>
    <w:p w14:paraId="4E3A1145" w14:textId="77777777" w:rsidR="00375E4E" w:rsidRDefault="00375E4E" w:rsidP="00375E4E">
      <w:r>
        <w:t>With 1,320 participants per arm, we estimated 90% power to detect an effect of:</w:t>
      </w:r>
    </w:p>
    <w:p w14:paraId="24B56001" w14:textId="77777777" w:rsidR="00375E4E" w:rsidRDefault="00375E4E" w:rsidP="00375E4E">
      <w:pPr>
        <w:pStyle w:val="ListParagraph"/>
        <w:numPr>
          <w:ilvl w:val="0"/>
          <w:numId w:val="25"/>
        </w:numPr>
      </w:pPr>
      <w:r>
        <w:t>$25 higher in the mean recommended bonus in treatment compared to the control group</w:t>
      </w:r>
    </w:p>
    <w:p w14:paraId="5D30DB55" w14:textId="692F85F7" w:rsidR="00375E4E" w:rsidRDefault="00375E4E" w:rsidP="00375E4E">
      <w:pPr>
        <w:pStyle w:val="ListParagraph"/>
        <w:numPr>
          <w:ilvl w:val="0"/>
          <w:numId w:val="25"/>
        </w:numPr>
      </w:pPr>
      <w:r>
        <w:t>5 percentage point higher in proportion recommending fictitious person for management (</w:t>
      </w:r>
      <w:r w:rsidR="00F51B80">
        <w:t>for example</w:t>
      </w:r>
      <w:r>
        <w:t>, from 50% to 55%) in the treatment group compared to the control group</w:t>
      </w:r>
      <w:r w:rsidR="00F51B80">
        <w:t>.</w:t>
      </w:r>
    </w:p>
    <w:p w14:paraId="365B24F8" w14:textId="77777777" w:rsidR="00375E4E" w:rsidRDefault="00375E4E" w:rsidP="00375E4E">
      <w:r>
        <w:t>We used alpha level of 10% and 90% power. We chose these settings because the intervention is extremely low risk and it would be worse to reject a possible real effect than to accept a possibly spurious one.</w:t>
      </w:r>
    </w:p>
    <w:p w14:paraId="7B6F113B" w14:textId="5F333E87" w:rsidR="0001771B" w:rsidRDefault="00DB2330" w:rsidP="00191A5D">
      <w:pPr>
        <w:pStyle w:val="Heading3"/>
      </w:pPr>
      <w:r w:rsidRPr="00DB2330">
        <w:t>Pre-registration and ethics</w:t>
      </w:r>
    </w:p>
    <w:p w14:paraId="0F7A281A" w14:textId="4BF2AD2A" w:rsidR="00DB2330" w:rsidRDefault="00721432" w:rsidP="00DB2330">
      <w:r>
        <w:t>This survey experiment</w:t>
      </w:r>
      <w:r w:rsidR="00DB2330">
        <w:t xml:space="preserve"> was publicly pre-registered on the American Economic Association’s Social Science Registry </w:t>
      </w:r>
      <w:r w:rsidR="00DB2330" w:rsidRPr="00D32062">
        <w:t>(</w:t>
      </w:r>
      <w:hyperlink r:id="rId18" w:history="1">
        <w:r w:rsidRPr="00F51B80">
          <w:rPr>
            <w:rStyle w:val="Hyperlink"/>
            <w:rFonts w:ascii="Helvetica" w:hAnsi="Helvetica" w:cs="Helvetica"/>
            <w:sz w:val="21"/>
            <w:szCs w:val="21"/>
            <w:shd w:val="clear" w:color="auto" w:fill="FFFFFF"/>
          </w:rPr>
          <w:t>AEARCTR-0013173</w:t>
        </w:r>
      </w:hyperlink>
      <w:r w:rsidR="00DB2330" w:rsidRPr="00D32062">
        <w:t xml:space="preserve">). </w:t>
      </w:r>
      <w:r w:rsidR="00DB2330">
        <w:t xml:space="preserve">The pre-registration was completed </w:t>
      </w:r>
      <w:r>
        <w:t>before</w:t>
      </w:r>
      <w:r w:rsidR="00DB2330">
        <w:t xml:space="preserve"> we commenced data collection</w:t>
      </w:r>
      <w:r>
        <w:t xml:space="preserve"> for the survey experiment and </w:t>
      </w:r>
      <w:r w:rsidR="00DB2330">
        <w:t>prior to analysing the data. The ethical aspects of the research were reviewed and approved by Macquarie University</w:t>
      </w:r>
      <w:r w:rsidR="00F51B80">
        <w:t>’s</w:t>
      </w:r>
      <w:r w:rsidR="00DB2330">
        <w:t xml:space="preserve"> </w:t>
      </w:r>
      <w:r>
        <w:t xml:space="preserve">Human Research </w:t>
      </w:r>
      <w:r w:rsidR="00F51B80">
        <w:t xml:space="preserve">Ethics Committee, </w:t>
      </w:r>
      <w:r>
        <w:t>Humanities &amp; Social Sciences</w:t>
      </w:r>
      <w:r w:rsidR="00DB2330">
        <w:t xml:space="preserve"> Committee (</w:t>
      </w:r>
      <w:r w:rsidRPr="00721432">
        <w:t>520241682255308</w:t>
      </w:r>
      <w:r w:rsidR="00DB2330">
        <w:t xml:space="preserve">) on </w:t>
      </w:r>
      <w:r>
        <w:t>16 February</w:t>
      </w:r>
      <w:r w:rsidR="00DB2330">
        <w:t xml:space="preserve"> 202</w:t>
      </w:r>
      <w:r>
        <w:t>4</w:t>
      </w:r>
      <w:r w:rsidR="00DB2330">
        <w:t>.</w:t>
      </w:r>
    </w:p>
    <w:p w14:paraId="7F009862" w14:textId="7E67E89F" w:rsidR="00DB2330" w:rsidRDefault="00DB2330" w:rsidP="00DB2330">
      <w:r>
        <w:t xml:space="preserve">The analyses of the </w:t>
      </w:r>
      <w:r w:rsidR="00A02EAE">
        <w:t>experiment</w:t>
      </w:r>
      <w:r>
        <w:t xml:space="preserve"> data </w:t>
      </w:r>
      <w:r w:rsidR="00721432">
        <w:t>were</w:t>
      </w:r>
      <w:r>
        <w:t xml:space="preserve"> as per the pre-analysis plan</w:t>
      </w:r>
      <w:r w:rsidR="00721432">
        <w:t>. However, w</w:t>
      </w:r>
      <w:r w:rsidR="00721432" w:rsidRPr="00721432">
        <w:t>e did not collect information on whether respondents worked for private or public sector,</w:t>
      </w:r>
      <w:r w:rsidR="00721432">
        <w:t xml:space="preserve"> </w:t>
      </w:r>
      <w:r w:rsidR="005149DB">
        <w:t>therefore</w:t>
      </w:r>
      <w:r w:rsidR="00721432" w:rsidRPr="00721432">
        <w:t xml:space="preserve"> we could not undertake subgroup analyses by private/public sector.</w:t>
      </w:r>
    </w:p>
    <w:p w14:paraId="2DE7F265" w14:textId="29D75CF6" w:rsidR="00721432" w:rsidRDefault="00DD7941" w:rsidP="00721432">
      <w:pPr>
        <w:pStyle w:val="Heading3"/>
      </w:pPr>
      <w:r>
        <w:lastRenderedPageBreak/>
        <w:t>Final sample</w:t>
      </w:r>
      <w:r w:rsidR="008D2DBC">
        <w:t xml:space="preserve"> size</w:t>
      </w:r>
    </w:p>
    <w:p w14:paraId="7D19BA6E" w14:textId="37EA0238" w:rsidR="00721432" w:rsidRDefault="00721432" w:rsidP="00721432">
      <w:r>
        <w:t>There were 3</w:t>
      </w:r>
      <w:r w:rsidR="00AD70DF">
        <w:t>,</w:t>
      </w:r>
      <w:r>
        <w:t xml:space="preserve">008 respondents in the survey experiment. This was larger than the sample size </w:t>
      </w:r>
      <w:r w:rsidR="002B0A83">
        <w:t>of 2</w:t>
      </w:r>
      <w:r w:rsidR="00AD70DF">
        <w:t>,</w:t>
      </w:r>
      <w:r w:rsidR="002B0A83">
        <w:t xml:space="preserve">640 </w:t>
      </w:r>
      <w:r>
        <w:t>we used for power calculations in the pre-analysis plan.</w:t>
      </w:r>
    </w:p>
    <w:p w14:paraId="48E75215" w14:textId="2763EFA5" w:rsidR="002B0A83" w:rsidRDefault="002B0A83" w:rsidP="002B0A83">
      <w:r>
        <w:t>There were 1</w:t>
      </w:r>
      <w:r w:rsidR="00AD70DF">
        <w:t>,</w:t>
      </w:r>
      <w:r>
        <w:t>470 respondents in the treatment group and 1</w:t>
      </w:r>
      <w:r w:rsidR="00AD70DF">
        <w:t>,</w:t>
      </w:r>
      <w:r>
        <w:t xml:space="preserve">538 respondents in the control group. All eligible participants except those who did not consent to participating in the study were included in our analyses, including partial responders. There were 297 </w:t>
      </w:r>
      <w:r w:rsidR="00050CCE" w:rsidRPr="00050CCE">
        <w:rPr>
          <w:bCs/>
        </w:rPr>
        <w:t>(9.3%)</w:t>
      </w:r>
      <w:r w:rsidR="00050CCE">
        <w:rPr>
          <w:b/>
          <w:bCs/>
        </w:rPr>
        <w:t xml:space="preserve"> </w:t>
      </w:r>
      <w:r>
        <w:t>participants who had missing outcome data.</w:t>
      </w:r>
    </w:p>
    <w:p w14:paraId="0761DB49" w14:textId="417D8009" w:rsidR="00516E58" w:rsidRDefault="00516E58" w:rsidP="002B0A83">
      <w:r>
        <w:t xml:space="preserve">The demographics of the final sample are presented </w:t>
      </w:r>
      <w:r w:rsidRPr="007E3C25">
        <w:t>in Table</w:t>
      </w:r>
      <w:r w:rsidR="007631C8" w:rsidRPr="007E3C25">
        <w:t xml:space="preserve"> 1</w:t>
      </w:r>
      <w:r>
        <w:t>.</w:t>
      </w:r>
    </w:p>
    <w:p w14:paraId="188AD53A" w14:textId="68114358" w:rsidR="00345425" w:rsidRDefault="00345425">
      <w:pPr>
        <w:spacing w:after="0" w:line="240" w:lineRule="auto"/>
        <w:rPr>
          <w:rStyle w:val="HeadingTableChar"/>
          <w:sz w:val="22"/>
        </w:rPr>
      </w:pPr>
      <w:bookmarkStart w:id="3" w:name="_Ref162517455"/>
      <w:r>
        <w:rPr>
          <w:rStyle w:val="HeadingTableChar"/>
        </w:rPr>
        <w:br w:type="page"/>
      </w:r>
    </w:p>
    <w:bookmarkEnd w:id="3"/>
    <w:p w14:paraId="447CC79E" w14:textId="2E75B794" w:rsidR="003B5AF3" w:rsidRPr="00746ABF" w:rsidRDefault="00746ABF" w:rsidP="00746ABF">
      <w:pPr>
        <w:pStyle w:val="Caption"/>
        <w:rPr>
          <w:rStyle w:val="HeadingTableChar"/>
          <w:b/>
          <w:iCs/>
        </w:rPr>
      </w:pPr>
      <w:r>
        <w:rPr>
          <w:rStyle w:val="HeadingTableChar"/>
          <w:b/>
        </w:rPr>
        <w:lastRenderedPageBreak/>
        <w:t xml:space="preserve">Table 1. </w:t>
      </w:r>
      <w:r w:rsidR="00A55D6D" w:rsidRPr="00746ABF">
        <w:rPr>
          <w:rStyle w:val="HeadingTableChar"/>
          <w:b/>
          <w:iCs/>
        </w:rPr>
        <w:t>S</w:t>
      </w:r>
      <w:r w:rsidR="003B5AF3" w:rsidRPr="00746ABF">
        <w:rPr>
          <w:rStyle w:val="HeadingTableChar"/>
          <w:b/>
          <w:iCs/>
        </w:rPr>
        <w:t xml:space="preserve">ample characteristics by </w:t>
      </w:r>
      <w:r w:rsidR="00345425" w:rsidRPr="00746ABF">
        <w:rPr>
          <w:rStyle w:val="HeadingTableChar"/>
          <w:b/>
          <w:iCs/>
        </w:rPr>
        <w:t xml:space="preserve">treatment and control </w:t>
      </w:r>
      <w:r w:rsidR="00A55D6D" w:rsidRPr="00746ABF">
        <w:rPr>
          <w:rStyle w:val="HeadingTableChar"/>
          <w:b/>
          <w:iCs/>
        </w:rPr>
        <w:t>group</w:t>
      </w:r>
      <w:r w:rsidR="00345425" w:rsidRPr="00746ABF">
        <w:rPr>
          <w:rStyle w:val="HeadingTableChar"/>
          <w:b/>
          <w:iCs/>
        </w:rPr>
        <w:t>s</w:t>
      </w:r>
    </w:p>
    <w:tbl>
      <w:tblPr>
        <w:tblStyle w:val="DefaultTable"/>
        <w:tblW w:w="8416" w:type="dxa"/>
        <w:tblLayout w:type="fixed"/>
        <w:tblCellMar>
          <w:top w:w="85" w:type="dxa"/>
        </w:tblCellMar>
        <w:tblLook w:val="0420" w:firstRow="1" w:lastRow="0" w:firstColumn="0" w:lastColumn="0" w:noHBand="0" w:noVBand="1"/>
        <w:tblCaption w:val="Baseline sample characteristics by email arm"/>
        <w:tblDescription w:val="Table shows breakdown of total trial participants by different characteristics of each email arm. It shows that demographic characteristics are similar in each email group of the trial. "/>
      </w:tblPr>
      <w:tblGrid>
        <w:gridCol w:w="3750"/>
        <w:gridCol w:w="1650"/>
        <w:gridCol w:w="1620"/>
        <w:gridCol w:w="1396"/>
      </w:tblGrid>
      <w:tr w:rsidR="0029183B" w14:paraId="6638B9FC" w14:textId="77777777" w:rsidTr="69342431">
        <w:trPr>
          <w:cnfStyle w:val="100000000000" w:firstRow="1" w:lastRow="0" w:firstColumn="0" w:lastColumn="0" w:oddVBand="0" w:evenVBand="0" w:oddHBand="0" w:evenHBand="0" w:firstRowFirstColumn="0" w:firstRowLastColumn="0" w:lastRowFirstColumn="0" w:lastRowLastColumn="0"/>
          <w:trHeight w:val="760"/>
          <w:tblHeader/>
        </w:trPr>
        <w:tc>
          <w:tcPr>
            <w:tcW w:w="3750" w:type="dxa"/>
            <w:tcBorders>
              <w:top w:val="nil"/>
              <w:bottom w:val="single" w:sz="18" w:space="0" w:color="142E3B" w:themeColor="accent6"/>
            </w:tcBorders>
            <w:shd w:val="clear" w:color="auto" w:fill="20B9A3" w:themeFill="accent1"/>
          </w:tcPr>
          <w:p w14:paraId="0202DF81" w14:textId="77777777" w:rsidR="0029183B" w:rsidRPr="00FD2C46" w:rsidRDefault="0029183B" w:rsidP="0029183B">
            <w:pPr>
              <w:pStyle w:val="TableHeading"/>
              <w:spacing w:after="0"/>
            </w:pPr>
            <w:r>
              <w:t>Characteristics</w:t>
            </w:r>
          </w:p>
        </w:tc>
        <w:tc>
          <w:tcPr>
            <w:tcW w:w="1650" w:type="dxa"/>
            <w:tcBorders>
              <w:top w:val="nil"/>
              <w:bottom w:val="single" w:sz="18" w:space="0" w:color="142E3B" w:themeColor="accent6"/>
            </w:tcBorders>
            <w:shd w:val="clear" w:color="auto" w:fill="20B9A3" w:themeFill="accent1"/>
          </w:tcPr>
          <w:p w14:paraId="33A09085" w14:textId="77777777" w:rsidR="00F47666" w:rsidRDefault="0029183B" w:rsidP="0029183B">
            <w:pPr>
              <w:pStyle w:val="TableHeading"/>
              <w:spacing w:after="0"/>
              <w:jc w:val="right"/>
            </w:pPr>
            <w:r w:rsidRPr="00BE29DF">
              <w:t>Total</w:t>
            </w:r>
            <w:r w:rsidR="00F47666">
              <w:t xml:space="preserve"> </w:t>
            </w:r>
          </w:p>
          <w:p w14:paraId="59170BDC" w14:textId="590F1B8B" w:rsidR="0029183B" w:rsidRDefault="00F47666" w:rsidP="0029183B">
            <w:pPr>
              <w:pStyle w:val="TableHeading"/>
              <w:spacing w:after="0"/>
              <w:jc w:val="right"/>
            </w:pPr>
            <w:r>
              <w:t>Count (per cent)</w:t>
            </w:r>
          </w:p>
        </w:tc>
        <w:tc>
          <w:tcPr>
            <w:tcW w:w="1620" w:type="dxa"/>
            <w:tcBorders>
              <w:top w:val="nil"/>
              <w:bottom w:val="single" w:sz="18" w:space="0" w:color="142E3B" w:themeColor="accent6"/>
            </w:tcBorders>
            <w:shd w:val="clear" w:color="auto" w:fill="20B9A3" w:themeFill="accent1"/>
          </w:tcPr>
          <w:p w14:paraId="434508F1" w14:textId="13C71FAE" w:rsidR="0029183B" w:rsidRDefault="0029183B" w:rsidP="0029183B">
            <w:pPr>
              <w:pStyle w:val="TableHeading"/>
              <w:spacing w:after="0"/>
              <w:jc w:val="right"/>
            </w:pPr>
            <w:r>
              <w:t xml:space="preserve"> Treatment group</w:t>
            </w:r>
          </w:p>
          <w:p w14:paraId="4A74DE6B" w14:textId="77777777" w:rsidR="0029183B" w:rsidRPr="00FD2C46" w:rsidRDefault="0029183B" w:rsidP="0029183B">
            <w:pPr>
              <w:pStyle w:val="TableHeading"/>
              <w:spacing w:after="0"/>
              <w:jc w:val="right"/>
            </w:pPr>
            <w:r>
              <w:t>Count (per cent)</w:t>
            </w:r>
          </w:p>
        </w:tc>
        <w:tc>
          <w:tcPr>
            <w:tcW w:w="1396" w:type="dxa"/>
            <w:tcBorders>
              <w:top w:val="nil"/>
              <w:bottom w:val="single" w:sz="18" w:space="0" w:color="142E3B" w:themeColor="accent6"/>
            </w:tcBorders>
            <w:shd w:val="clear" w:color="auto" w:fill="20B9A3" w:themeFill="accent1"/>
          </w:tcPr>
          <w:p w14:paraId="008589B0" w14:textId="02BD55BE" w:rsidR="0029183B" w:rsidRDefault="0029183B" w:rsidP="0029183B">
            <w:pPr>
              <w:pStyle w:val="TableHeading"/>
              <w:spacing w:after="0"/>
              <w:jc w:val="right"/>
            </w:pPr>
            <w:r>
              <w:t>Control group</w:t>
            </w:r>
          </w:p>
          <w:p w14:paraId="1DFFDE1C" w14:textId="77777777" w:rsidR="0029183B" w:rsidRPr="00FD2C46" w:rsidRDefault="0029183B" w:rsidP="0029183B">
            <w:pPr>
              <w:pStyle w:val="TableHeading"/>
              <w:spacing w:after="0"/>
              <w:jc w:val="right"/>
            </w:pPr>
            <w:r>
              <w:t>Count (per cent)</w:t>
            </w:r>
          </w:p>
        </w:tc>
      </w:tr>
      <w:tr w:rsidR="00194F30" w14:paraId="014FF076" w14:textId="77777777" w:rsidTr="003E4D83">
        <w:trPr>
          <w:trHeight w:val="313"/>
        </w:trPr>
        <w:tc>
          <w:tcPr>
            <w:tcW w:w="3750" w:type="dxa"/>
            <w:tcBorders>
              <w:bottom w:val="single" w:sz="4" w:space="0" w:color="808080" w:themeColor="background1" w:themeShade="80"/>
            </w:tcBorders>
            <w:shd w:val="clear" w:color="auto" w:fill="auto"/>
            <w:vAlign w:val="bottom"/>
          </w:tcPr>
          <w:p w14:paraId="2943F1C8" w14:textId="1307DA11" w:rsidR="00194F30" w:rsidRPr="00FD2C46" w:rsidRDefault="00194F30" w:rsidP="00194F30">
            <w:pPr>
              <w:pStyle w:val="TableTextRightAligned"/>
              <w:jc w:val="left"/>
            </w:pPr>
            <w:r>
              <w:t>Male</w:t>
            </w:r>
          </w:p>
        </w:tc>
        <w:tc>
          <w:tcPr>
            <w:tcW w:w="1650" w:type="dxa"/>
            <w:tcBorders>
              <w:bottom w:val="single" w:sz="4" w:space="0" w:color="808080" w:themeColor="background1" w:themeShade="80"/>
            </w:tcBorders>
            <w:vAlign w:val="bottom"/>
          </w:tcPr>
          <w:p w14:paraId="6F416D29" w14:textId="6F70C108" w:rsidR="00194F30" w:rsidRPr="006F0F8E" w:rsidRDefault="00194F30" w:rsidP="00194F30">
            <w:pPr>
              <w:pStyle w:val="TableTextRightAligned"/>
            </w:pPr>
            <w:r w:rsidRPr="00A55D6D">
              <w:t>1470 (48.9)</w:t>
            </w:r>
          </w:p>
        </w:tc>
        <w:tc>
          <w:tcPr>
            <w:tcW w:w="1620" w:type="dxa"/>
            <w:tcBorders>
              <w:bottom w:val="single" w:sz="4" w:space="0" w:color="808080" w:themeColor="background1" w:themeShade="80"/>
            </w:tcBorders>
            <w:shd w:val="clear" w:color="auto" w:fill="auto"/>
          </w:tcPr>
          <w:p w14:paraId="2E9F5B73" w14:textId="2EE701EB" w:rsidR="00194F30" w:rsidRPr="00FD2C46" w:rsidRDefault="00194F30" w:rsidP="00194F30">
            <w:pPr>
              <w:pStyle w:val="TableTextRightAligned"/>
            </w:pPr>
            <w:r w:rsidRPr="006F0F8E">
              <w:t>741 (50.4)</w:t>
            </w:r>
          </w:p>
        </w:tc>
        <w:tc>
          <w:tcPr>
            <w:tcW w:w="1396" w:type="dxa"/>
            <w:tcBorders>
              <w:bottom w:val="single" w:sz="4" w:space="0" w:color="808080" w:themeColor="background1" w:themeShade="80"/>
            </w:tcBorders>
            <w:shd w:val="clear" w:color="auto" w:fill="auto"/>
          </w:tcPr>
          <w:p w14:paraId="328423CB" w14:textId="1D3C2C49" w:rsidR="00194F30" w:rsidRPr="00FD2C46" w:rsidRDefault="00194F30" w:rsidP="00194F30">
            <w:pPr>
              <w:pStyle w:val="TableTextRightAligned"/>
            </w:pPr>
            <w:r w:rsidRPr="006F0F8E">
              <w:t>729 (47.4)</w:t>
            </w:r>
          </w:p>
        </w:tc>
      </w:tr>
      <w:tr w:rsidR="00194F30" w14:paraId="7A6ECC05" w14:textId="77777777" w:rsidTr="003E4D83">
        <w:trPr>
          <w:trHeight w:val="313"/>
        </w:trPr>
        <w:tc>
          <w:tcPr>
            <w:tcW w:w="3750" w:type="dxa"/>
            <w:tcBorders>
              <w:top w:val="single" w:sz="4" w:space="0" w:color="808080" w:themeColor="background1" w:themeShade="80"/>
              <w:bottom w:val="single" w:sz="4" w:space="0" w:color="auto"/>
            </w:tcBorders>
            <w:shd w:val="clear" w:color="auto" w:fill="auto"/>
            <w:vAlign w:val="bottom"/>
          </w:tcPr>
          <w:p w14:paraId="72C884A1" w14:textId="10AB3D84" w:rsidR="00194F30" w:rsidRPr="00FD2C46" w:rsidRDefault="00A36728" w:rsidP="00194F30">
            <w:pPr>
              <w:pStyle w:val="TableTextRightAligned"/>
              <w:jc w:val="left"/>
            </w:pPr>
            <w:r>
              <w:t>Not male</w:t>
            </w:r>
            <w:r w:rsidR="0097158D">
              <w:rPr>
                <w:rFonts w:ascii="High Tower Text" w:hAnsi="High Tower Text" w:cstheme="minorHAnsi"/>
              </w:rPr>
              <w:t>•</w:t>
            </w:r>
          </w:p>
        </w:tc>
        <w:tc>
          <w:tcPr>
            <w:tcW w:w="1650" w:type="dxa"/>
            <w:tcBorders>
              <w:top w:val="single" w:sz="4" w:space="0" w:color="808080" w:themeColor="background1" w:themeShade="80"/>
              <w:bottom w:val="single" w:sz="4" w:space="0" w:color="auto"/>
            </w:tcBorders>
            <w:vAlign w:val="bottom"/>
          </w:tcPr>
          <w:p w14:paraId="5D0B3B9E" w14:textId="3EB39BE9" w:rsidR="00194F30" w:rsidRPr="00B41B62" w:rsidRDefault="00194F30" w:rsidP="00194F30">
            <w:pPr>
              <w:pStyle w:val="TableTextRightAligned"/>
            </w:pPr>
            <w:r w:rsidRPr="00A55D6D">
              <w:t>1538 (51.1)</w:t>
            </w:r>
          </w:p>
        </w:tc>
        <w:tc>
          <w:tcPr>
            <w:tcW w:w="1620" w:type="dxa"/>
            <w:tcBorders>
              <w:top w:val="single" w:sz="4" w:space="0" w:color="808080" w:themeColor="background1" w:themeShade="80"/>
              <w:bottom w:val="single" w:sz="4" w:space="0" w:color="auto"/>
            </w:tcBorders>
            <w:shd w:val="clear" w:color="auto" w:fill="auto"/>
          </w:tcPr>
          <w:p w14:paraId="11950350" w14:textId="50E42FD1" w:rsidR="00194F30" w:rsidRPr="00FD2C46" w:rsidRDefault="00194F30" w:rsidP="00194F30">
            <w:pPr>
              <w:pStyle w:val="TableTextRightAligned"/>
            </w:pPr>
            <w:r w:rsidRPr="00B41B62">
              <w:t>729 (49.6)</w:t>
            </w:r>
          </w:p>
        </w:tc>
        <w:tc>
          <w:tcPr>
            <w:tcW w:w="1396" w:type="dxa"/>
            <w:tcBorders>
              <w:top w:val="single" w:sz="4" w:space="0" w:color="808080" w:themeColor="background1" w:themeShade="80"/>
              <w:bottom w:val="single" w:sz="4" w:space="0" w:color="auto"/>
            </w:tcBorders>
            <w:shd w:val="clear" w:color="auto" w:fill="auto"/>
          </w:tcPr>
          <w:p w14:paraId="1CACC598" w14:textId="671E9A2F" w:rsidR="00194F30" w:rsidRPr="00FD2C46" w:rsidRDefault="00194F30" w:rsidP="00194F30">
            <w:pPr>
              <w:pStyle w:val="TableTextRightAligned"/>
            </w:pPr>
            <w:r w:rsidRPr="00B41B62">
              <w:t>809 (52.6)</w:t>
            </w:r>
          </w:p>
        </w:tc>
      </w:tr>
      <w:tr w:rsidR="00194F30" w14:paraId="1BB4A5F1" w14:textId="77777777" w:rsidTr="003E4D83">
        <w:trPr>
          <w:trHeight w:val="313"/>
        </w:trPr>
        <w:tc>
          <w:tcPr>
            <w:tcW w:w="3750" w:type="dxa"/>
            <w:tcBorders>
              <w:top w:val="single" w:sz="4" w:space="0" w:color="auto"/>
              <w:bottom w:val="single" w:sz="4" w:space="0" w:color="808080" w:themeColor="background1" w:themeShade="80"/>
            </w:tcBorders>
            <w:shd w:val="clear" w:color="auto" w:fill="auto"/>
            <w:vAlign w:val="bottom"/>
          </w:tcPr>
          <w:p w14:paraId="0795DCC6" w14:textId="19170376" w:rsidR="00194F30" w:rsidRPr="00FD2C46" w:rsidRDefault="00194F30" w:rsidP="00194F30">
            <w:pPr>
              <w:pStyle w:val="TableTextRightAligned"/>
              <w:jc w:val="left"/>
            </w:pPr>
            <w:r>
              <w:t xml:space="preserve">CALD </w:t>
            </w:r>
          </w:p>
        </w:tc>
        <w:tc>
          <w:tcPr>
            <w:tcW w:w="1650" w:type="dxa"/>
            <w:tcBorders>
              <w:top w:val="single" w:sz="4" w:space="0" w:color="auto"/>
              <w:bottom w:val="single" w:sz="4" w:space="0" w:color="808080" w:themeColor="background1" w:themeShade="80"/>
            </w:tcBorders>
            <w:vAlign w:val="bottom"/>
          </w:tcPr>
          <w:p w14:paraId="20E01338" w14:textId="7F336825" w:rsidR="00194F30" w:rsidRPr="00345425" w:rsidRDefault="00194F30" w:rsidP="00194F30">
            <w:pPr>
              <w:pStyle w:val="TableTextRightAligned"/>
            </w:pPr>
            <w:r>
              <w:t>256 (8.5)</w:t>
            </w:r>
          </w:p>
        </w:tc>
        <w:tc>
          <w:tcPr>
            <w:tcW w:w="1620" w:type="dxa"/>
            <w:tcBorders>
              <w:top w:val="single" w:sz="4" w:space="0" w:color="auto"/>
              <w:bottom w:val="single" w:sz="4" w:space="0" w:color="808080" w:themeColor="background1" w:themeShade="80"/>
            </w:tcBorders>
            <w:shd w:val="clear" w:color="auto" w:fill="auto"/>
            <w:vAlign w:val="bottom"/>
          </w:tcPr>
          <w:p w14:paraId="1B433C46" w14:textId="51756CE9" w:rsidR="00194F30" w:rsidRPr="00FD2C46" w:rsidRDefault="00194F30" w:rsidP="00194F30">
            <w:pPr>
              <w:pStyle w:val="TableTextRightAligned"/>
            </w:pPr>
            <w:r w:rsidRPr="00345425">
              <w:t>118 (8</w:t>
            </w:r>
            <w:r>
              <w:t>.0</w:t>
            </w:r>
            <w:r w:rsidRPr="00345425">
              <w:t>)</w:t>
            </w:r>
          </w:p>
        </w:tc>
        <w:tc>
          <w:tcPr>
            <w:tcW w:w="1396" w:type="dxa"/>
            <w:tcBorders>
              <w:top w:val="single" w:sz="4" w:space="0" w:color="auto"/>
              <w:bottom w:val="single" w:sz="4" w:space="0" w:color="808080" w:themeColor="background1" w:themeShade="80"/>
            </w:tcBorders>
            <w:shd w:val="clear" w:color="auto" w:fill="auto"/>
            <w:vAlign w:val="bottom"/>
          </w:tcPr>
          <w:p w14:paraId="7D6C0093" w14:textId="28B5D771" w:rsidR="00194F30" w:rsidRPr="00FD2C46" w:rsidRDefault="00194F30" w:rsidP="00194F30">
            <w:pPr>
              <w:pStyle w:val="TableTextRightAligned"/>
            </w:pPr>
            <w:r w:rsidRPr="00345425">
              <w:t>138 (9</w:t>
            </w:r>
            <w:r>
              <w:t>.0</w:t>
            </w:r>
            <w:r w:rsidRPr="00345425">
              <w:t>)</w:t>
            </w:r>
          </w:p>
        </w:tc>
      </w:tr>
      <w:tr w:rsidR="00194F30" w14:paraId="5462E311" w14:textId="77777777" w:rsidTr="003E4D83">
        <w:trPr>
          <w:trHeight w:val="301"/>
        </w:trPr>
        <w:tc>
          <w:tcPr>
            <w:tcW w:w="3750" w:type="dxa"/>
            <w:tcBorders>
              <w:top w:val="single" w:sz="4" w:space="0" w:color="808080" w:themeColor="background1" w:themeShade="80"/>
              <w:bottom w:val="single" w:sz="4" w:space="0" w:color="auto"/>
            </w:tcBorders>
            <w:shd w:val="clear" w:color="auto" w:fill="auto"/>
            <w:vAlign w:val="bottom"/>
          </w:tcPr>
          <w:p w14:paraId="7C4EC312" w14:textId="22EC735A" w:rsidR="00194F30" w:rsidRPr="00FD2C46" w:rsidRDefault="00194F30" w:rsidP="00194F30">
            <w:pPr>
              <w:pStyle w:val="TableTextRightAligned"/>
              <w:jc w:val="left"/>
            </w:pPr>
            <w:r>
              <w:t>Not CALD</w:t>
            </w:r>
          </w:p>
        </w:tc>
        <w:tc>
          <w:tcPr>
            <w:tcW w:w="1650" w:type="dxa"/>
            <w:tcBorders>
              <w:top w:val="single" w:sz="4" w:space="0" w:color="808080" w:themeColor="background1" w:themeShade="80"/>
              <w:bottom w:val="single" w:sz="4" w:space="0" w:color="auto"/>
            </w:tcBorders>
            <w:vAlign w:val="bottom"/>
          </w:tcPr>
          <w:p w14:paraId="7DF8EA54" w14:textId="67536E4B" w:rsidR="00194F30" w:rsidRPr="00345425" w:rsidRDefault="00194F30" w:rsidP="00194F30">
            <w:pPr>
              <w:pStyle w:val="TableTextRightAligned"/>
            </w:pPr>
            <w:r>
              <w:t>2752 (91.5)</w:t>
            </w:r>
          </w:p>
        </w:tc>
        <w:tc>
          <w:tcPr>
            <w:tcW w:w="1620" w:type="dxa"/>
            <w:tcBorders>
              <w:top w:val="single" w:sz="4" w:space="0" w:color="808080" w:themeColor="background1" w:themeShade="80"/>
              <w:bottom w:val="single" w:sz="4" w:space="0" w:color="auto"/>
            </w:tcBorders>
            <w:shd w:val="clear" w:color="auto" w:fill="auto"/>
            <w:vAlign w:val="bottom"/>
          </w:tcPr>
          <w:p w14:paraId="749E9667" w14:textId="69A870B6" w:rsidR="00194F30" w:rsidRPr="00FD2C46" w:rsidRDefault="00194F30" w:rsidP="00194F30">
            <w:pPr>
              <w:pStyle w:val="TableTextRightAligned"/>
            </w:pPr>
            <w:r w:rsidRPr="00345425">
              <w:t>1352 (92)</w:t>
            </w:r>
          </w:p>
        </w:tc>
        <w:tc>
          <w:tcPr>
            <w:tcW w:w="1396" w:type="dxa"/>
            <w:tcBorders>
              <w:top w:val="single" w:sz="4" w:space="0" w:color="808080" w:themeColor="background1" w:themeShade="80"/>
              <w:bottom w:val="single" w:sz="4" w:space="0" w:color="auto"/>
            </w:tcBorders>
            <w:shd w:val="clear" w:color="auto" w:fill="auto"/>
            <w:vAlign w:val="bottom"/>
          </w:tcPr>
          <w:p w14:paraId="02FCD9D8" w14:textId="64FF263B" w:rsidR="00194F30" w:rsidRPr="00FD2C46" w:rsidRDefault="00194F30" w:rsidP="00194F30">
            <w:pPr>
              <w:pStyle w:val="TableTextRightAligned"/>
            </w:pPr>
            <w:r w:rsidRPr="00345425">
              <w:t>1400 (91)</w:t>
            </w:r>
          </w:p>
        </w:tc>
      </w:tr>
      <w:tr w:rsidR="00194F30" w14:paraId="62FC9B3E" w14:textId="77777777" w:rsidTr="003E4D83">
        <w:trPr>
          <w:trHeight w:val="313"/>
        </w:trPr>
        <w:tc>
          <w:tcPr>
            <w:tcW w:w="3750" w:type="dxa"/>
            <w:tcBorders>
              <w:top w:val="single" w:sz="4" w:space="0" w:color="auto"/>
              <w:bottom w:val="single" w:sz="4" w:space="0" w:color="808080" w:themeColor="background1" w:themeShade="80"/>
            </w:tcBorders>
            <w:shd w:val="clear" w:color="auto" w:fill="auto"/>
            <w:vAlign w:val="bottom"/>
          </w:tcPr>
          <w:p w14:paraId="70ADF597" w14:textId="641200FC" w:rsidR="00194F30" w:rsidRDefault="00194F30" w:rsidP="00194F30">
            <w:pPr>
              <w:pStyle w:val="TableTextRightAligned"/>
              <w:jc w:val="left"/>
            </w:pPr>
            <w:r>
              <w:t>English is main language</w:t>
            </w:r>
          </w:p>
        </w:tc>
        <w:tc>
          <w:tcPr>
            <w:tcW w:w="1650" w:type="dxa"/>
            <w:tcBorders>
              <w:top w:val="single" w:sz="4" w:space="0" w:color="auto"/>
              <w:bottom w:val="single" w:sz="4" w:space="0" w:color="808080" w:themeColor="background1" w:themeShade="80"/>
            </w:tcBorders>
            <w:vAlign w:val="bottom"/>
          </w:tcPr>
          <w:p w14:paraId="7EF69E62" w14:textId="4C6C0410" w:rsidR="00194F30" w:rsidRPr="00345425" w:rsidRDefault="00194F30" w:rsidP="00194F30">
            <w:pPr>
              <w:pStyle w:val="TableTextRightAligned"/>
            </w:pPr>
            <w:r>
              <w:t>2695 (89.6)</w:t>
            </w:r>
          </w:p>
        </w:tc>
        <w:tc>
          <w:tcPr>
            <w:tcW w:w="1620" w:type="dxa"/>
            <w:tcBorders>
              <w:top w:val="single" w:sz="4" w:space="0" w:color="auto"/>
              <w:bottom w:val="single" w:sz="4" w:space="0" w:color="808080" w:themeColor="background1" w:themeShade="80"/>
            </w:tcBorders>
            <w:shd w:val="clear" w:color="auto" w:fill="auto"/>
            <w:vAlign w:val="bottom"/>
          </w:tcPr>
          <w:p w14:paraId="5CB389B4" w14:textId="1A63BA81" w:rsidR="00194F30" w:rsidRPr="00345425" w:rsidRDefault="00194F30" w:rsidP="00194F30">
            <w:pPr>
              <w:pStyle w:val="TableTextRightAligned"/>
            </w:pPr>
            <w:r w:rsidRPr="00345425">
              <w:t>1325 (90.1)</w:t>
            </w:r>
          </w:p>
        </w:tc>
        <w:tc>
          <w:tcPr>
            <w:tcW w:w="1396" w:type="dxa"/>
            <w:tcBorders>
              <w:top w:val="single" w:sz="4" w:space="0" w:color="auto"/>
              <w:bottom w:val="single" w:sz="4" w:space="0" w:color="808080" w:themeColor="background1" w:themeShade="80"/>
            </w:tcBorders>
            <w:shd w:val="clear" w:color="auto" w:fill="auto"/>
            <w:vAlign w:val="bottom"/>
          </w:tcPr>
          <w:p w14:paraId="6EB6B54D" w14:textId="7457B966" w:rsidR="00194F30" w:rsidRPr="00345425" w:rsidRDefault="00194F30" w:rsidP="00194F30">
            <w:pPr>
              <w:pStyle w:val="TableTextRightAligned"/>
            </w:pPr>
            <w:r w:rsidRPr="00345425">
              <w:t>1370 (89.1)</w:t>
            </w:r>
          </w:p>
        </w:tc>
      </w:tr>
      <w:tr w:rsidR="00194F30" w14:paraId="342EF6DA" w14:textId="77777777" w:rsidTr="003E4D83">
        <w:trPr>
          <w:trHeight w:val="313"/>
        </w:trPr>
        <w:tc>
          <w:tcPr>
            <w:tcW w:w="3750" w:type="dxa"/>
            <w:tcBorders>
              <w:top w:val="single" w:sz="4" w:space="0" w:color="808080" w:themeColor="background1" w:themeShade="80"/>
              <w:bottom w:val="single" w:sz="4" w:space="0" w:color="auto"/>
            </w:tcBorders>
            <w:shd w:val="clear" w:color="auto" w:fill="auto"/>
            <w:vAlign w:val="bottom"/>
          </w:tcPr>
          <w:p w14:paraId="0FDC72C4" w14:textId="21BCB3B7" w:rsidR="00194F30" w:rsidRDefault="00194F30" w:rsidP="00194F30">
            <w:pPr>
              <w:pStyle w:val="TableTextRightAligned"/>
              <w:jc w:val="left"/>
            </w:pPr>
            <w:r>
              <w:t>English is not main language</w:t>
            </w:r>
          </w:p>
        </w:tc>
        <w:tc>
          <w:tcPr>
            <w:tcW w:w="1650" w:type="dxa"/>
            <w:tcBorders>
              <w:top w:val="single" w:sz="4" w:space="0" w:color="808080" w:themeColor="background1" w:themeShade="80"/>
              <w:bottom w:val="single" w:sz="4" w:space="0" w:color="auto"/>
            </w:tcBorders>
            <w:vAlign w:val="bottom"/>
          </w:tcPr>
          <w:p w14:paraId="75740AB8" w14:textId="788177D5" w:rsidR="00194F30" w:rsidRPr="00345425" w:rsidRDefault="00194F30" w:rsidP="00194F30">
            <w:pPr>
              <w:pStyle w:val="TableTextRightAligned"/>
            </w:pPr>
            <w:r w:rsidRPr="000C5A95">
              <w:t>313 (10.4)</w:t>
            </w:r>
          </w:p>
        </w:tc>
        <w:tc>
          <w:tcPr>
            <w:tcW w:w="1620" w:type="dxa"/>
            <w:tcBorders>
              <w:top w:val="single" w:sz="4" w:space="0" w:color="808080" w:themeColor="background1" w:themeShade="80"/>
              <w:bottom w:val="single" w:sz="4" w:space="0" w:color="auto"/>
            </w:tcBorders>
            <w:shd w:val="clear" w:color="auto" w:fill="auto"/>
            <w:vAlign w:val="bottom"/>
          </w:tcPr>
          <w:p w14:paraId="172B897F" w14:textId="149A1067" w:rsidR="00194F30" w:rsidRPr="00345425" w:rsidRDefault="00194F30" w:rsidP="00194F30">
            <w:pPr>
              <w:pStyle w:val="TableTextRightAligned"/>
            </w:pPr>
            <w:r w:rsidRPr="00345425">
              <w:t>145 (9.9)</w:t>
            </w:r>
          </w:p>
        </w:tc>
        <w:tc>
          <w:tcPr>
            <w:tcW w:w="1396" w:type="dxa"/>
            <w:tcBorders>
              <w:top w:val="single" w:sz="4" w:space="0" w:color="808080" w:themeColor="background1" w:themeShade="80"/>
              <w:bottom w:val="single" w:sz="4" w:space="0" w:color="auto"/>
            </w:tcBorders>
            <w:shd w:val="clear" w:color="auto" w:fill="auto"/>
            <w:vAlign w:val="bottom"/>
          </w:tcPr>
          <w:p w14:paraId="7C467AC4" w14:textId="6280DB12" w:rsidR="00194F30" w:rsidRPr="00345425" w:rsidRDefault="00194F30" w:rsidP="00194F30">
            <w:pPr>
              <w:pStyle w:val="TableTextRightAligned"/>
            </w:pPr>
            <w:r w:rsidRPr="00345425">
              <w:t>168 (10.9)</w:t>
            </w:r>
          </w:p>
        </w:tc>
      </w:tr>
      <w:tr w:rsidR="00194F30" w14:paraId="3D6F0C41" w14:textId="77777777" w:rsidTr="003E4D83">
        <w:trPr>
          <w:trHeight w:val="313"/>
        </w:trPr>
        <w:tc>
          <w:tcPr>
            <w:tcW w:w="3750" w:type="dxa"/>
            <w:tcBorders>
              <w:top w:val="single" w:sz="4" w:space="0" w:color="auto"/>
              <w:bottom w:val="single" w:sz="4" w:space="0" w:color="808080" w:themeColor="background1" w:themeShade="80"/>
            </w:tcBorders>
            <w:shd w:val="clear" w:color="auto" w:fill="auto"/>
            <w:vAlign w:val="bottom"/>
          </w:tcPr>
          <w:p w14:paraId="08C0DB18" w14:textId="5F474A19" w:rsidR="00194F30" w:rsidRDefault="00194F30" w:rsidP="00194F30">
            <w:pPr>
              <w:pStyle w:val="TableTextRightAligned"/>
              <w:jc w:val="left"/>
            </w:pPr>
            <w:r>
              <w:t>Born in Australia</w:t>
            </w:r>
          </w:p>
        </w:tc>
        <w:tc>
          <w:tcPr>
            <w:tcW w:w="1650" w:type="dxa"/>
            <w:tcBorders>
              <w:top w:val="single" w:sz="4" w:space="0" w:color="auto"/>
              <w:bottom w:val="single" w:sz="4" w:space="0" w:color="808080" w:themeColor="background1" w:themeShade="80"/>
            </w:tcBorders>
            <w:vAlign w:val="bottom"/>
          </w:tcPr>
          <w:p w14:paraId="2DA625DE" w14:textId="3871BD0D" w:rsidR="00194F30" w:rsidRPr="00345425" w:rsidRDefault="00194F30" w:rsidP="00194F30">
            <w:pPr>
              <w:pStyle w:val="TableTextRightAligned"/>
            </w:pPr>
            <w:r w:rsidRPr="000C5A95">
              <w:t>2315 (77</w:t>
            </w:r>
            <w:r>
              <w:t>.0</w:t>
            </w:r>
            <w:r w:rsidRPr="000C5A95">
              <w:t>)</w:t>
            </w:r>
          </w:p>
        </w:tc>
        <w:tc>
          <w:tcPr>
            <w:tcW w:w="1620" w:type="dxa"/>
            <w:tcBorders>
              <w:top w:val="single" w:sz="4" w:space="0" w:color="auto"/>
              <w:bottom w:val="single" w:sz="4" w:space="0" w:color="808080" w:themeColor="background1" w:themeShade="80"/>
            </w:tcBorders>
            <w:shd w:val="clear" w:color="auto" w:fill="auto"/>
            <w:vAlign w:val="bottom"/>
          </w:tcPr>
          <w:p w14:paraId="69A1EFA6" w14:textId="3EBE82A1" w:rsidR="00194F30" w:rsidRPr="00345425" w:rsidRDefault="00194F30" w:rsidP="00194F30">
            <w:pPr>
              <w:pStyle w:val="TableTextRightAligned"/>
            </w:pPr>
            <w:r w:rsidRPr="00345425">
              <w:t>1148 (78.1)</w:t>
            </w:r>
          </w:p>
        </w:tc>
        <w:tc>
          <w:tcPr>
            <w:tcW w:w="1396" w:type="dxa"/>
            <w:tcBorders>
              <w:top w:val="single" w:sz="4" w:space="0" w:color="auto"/>
              <w:bottom w:val="single" w:sz="4" w:space="0" w:color="808080" w:themeColor="background1" w:themeShade="80"/>
            </w:tcBorders>
            <w:shd w:val="clear" w:color="auto" w:fill="auto"/>
            <w:vAlign w:val="bottom"/>
          </w:tcPr>
          <w:p w14:paraId="04739B89" w14:textId="5F90F0BE" w:rsidR="00194F30" w:rsidRPr="00345425" w:rsidRDefault="00194F30" w:rsidP="00194F30">
            <w:pPr>
              <w:pStyle w:val="TableTextRightAligned"/>
            </w:pPr>
            <w:r w:rsidRPr="00345425">
              <w:t>1167 (75.9)</w:t>
            </w:r>
          </w:p>
        </w:tc>
      </w:tr>
      <w:tr w:rsidR="00194F30" w14:paraId="72CEFCE9" w14:textId="77777777" w:rsidTr="003E4D83">
        <w:trPr>
          <w:trHeight w:val="313"/>
        </w:trPr>
        <w:tc>
          <w:tcPr>
            <w:tcW w:w="3750" w:type="dxa"/>
            <w:tcBorders>
              <w:top w:val="single" w:sz="4" w:space="0" w:color="808080" w:themeColor="background1" w:themeShade="80"/>
              <w:bottom w:val="single" w:sz="4" w:space="0" w:color="auto"/>
            </w:tcBorders>
            <w:shd w:val="clear" w:color="auto" w:fill="auto"/>
            <w:vAlign w:val="bottom"/>
          </w:tcPr>
          <w:p w14:paraId="6835F3C0" w14:textId="4CF27A05" w:rsidR="00194F30" w:rsidRDefault="00194F30" w:rsidP="00194F30">
            <w:pPr>
              <w:pStyle w:val="TableTextRightAligned"/>
              <w:jc w:val="left"/>
            </w:pPr>
            <w:r>
              <w:t>Not born in Australia</w:t>
            </w:r>
          </w:p>
        </w:tc>
        <w:tc>
          <w:tcPr>
            <w:tcW w:w="1650" w:type="dxa"/>
            <w:tcBorders>
              <w:top w:val="single" w:sz="4" w:space="0" w:color="808080" w:themeColor="background1" w:themeShade="80"/>
              <w:bottom w:val="single" w:sz="4" w:space="0" w:color="auto"/>
            </w:tcBorders>
            <w:vAlign w:val="bottom"/>
          </w:tcPr>
          <w:p w14:paraId="59507522" w14:textId="7381B854" w:rsidR="00194F30" w:rsidRPr="00345425" w:rsidRDefault="00194F30" w:rsidP="00194F30">
            <w:pPr>
              <w:pStyle w:val="TableTextRightAligned"/>
            </w:pPr>
            <w:r w:rsidRPr="000C5A95">
              <w:t>693 (23</w:t>
            </w:r>
            <w:r>
              <w:t>.0</w:t>
            </w:r>
            <w:r w:rsidRPr="000C5A95">
              <w:t>)</w:t>
            </w:r>
          </w:p>
        </w:tc>
        <w:tc>
          <w:tcPr>
            <w:tcW w:w="1620" w:type="dxa"/>
            <w:tcBorders>
              <w:top w:val="single" w:sz="4" w:space="0" w:color="808080" w:themeColor="background1" w:themeShade="80"/>
              <w:bottom w:val="single" w:sz="4" w:space="0" w:color="auto"/>
            </w:tcBorders>
            <w:shd w:val="clear" w:color="auto" w:fill="auto"/>
            <w:vAlign w:val="bottom"/>
          </w:tcPr>
          <w:p w14:paraId="78D4FA4B" w14:textId="28016A1C" w:rsidR="00194F30" w:rsidRPr="00345425" w:rsidRDefault="00194F30" w:rsidP="00194F30">
            <w:pPr>
              <w:pStyle w:val="TableTextRightAligned"/>
            </w:pPr>
            <w:r w:rsidRPr="00345425">
              <w:t>322 (21.9)</w:t>
            </w:r>
          </w:p>
        </w:tc>
        <w:tc>
          <w:tcPr>
            <w:tcW w:w="1396" w:type="dxa"/>
            <w:tcBorders>
              <w:top w:val="single" w:sz="4" w:space="0" w:color="808080" w:themeColor="background1" w:themeShade="80"/>
              <w:bottom w:val="single" w:sz="4" w:space="0" w:color="auto"/>
            </w:tcBorders>
            <w:shd w:val="clear" w:color="auto" w:fill="auto"/>
            <w:vAlign w:val="bottom"/>
          </w:tcPr>
          <w:p w14:paraId="1D92FE84" w14:textId="7881C903" w:rsidR="00194F30" w:rsidRPr="00345425" w:rsidRDefault="00194F30" w:rsidP="00194F30">
            <w:pPr>
              <w:pStyle w:val="TableTextRightAligned"/>
            </w:pPr>
            <w:r w:rsidRPr="00345425">
              <w:t>371 (24.1)</w:t>
            </w:r>
          </w:p>
        </w:tc>
      </w:tr>
      <w:tr w:rsidR="00194F30" w14:paraId="48DE38EC" w14:textId="77777777" w:rsidTr="003E4D83">
        <w:trPr>
          <w:trHeight w:val="301"/>
        </w:trPr>
        <w:tc>
          <w:tcPr>
            <w:tcW w:w="3750" w:type="dxa"/>
            <w:tcBorders>
              <w:top w:val="single" w:sz="4" w:space="0" w:color="auto"/>
              <w:bottom w:val="single" w:sz="4" w:space="0" w:color="808080" w:themeColor="background1" w:themeShade="80"/>
            </w:tcBorders>
            <w:shd w:val="clear" w:color="auto" w:fill="auto"/>
            <w:vAlign w:val="bottom"/>
          </w:tcPr>
          <w:p w14:paraId="09C95F66" w14:textId="7CFAC73F" w:rsidR="00194F30" w:rsidRDefault="00194F30" w:rsidP="00194F30">
            <w:pPr>
              <w:pStyle w:val="TableTextRightAligned"/>
              <w:jc w:val="left"/>
            </w:pPr>
            <w:r>
              <w:t>18-29 years old</w:t>
            </w:r>
          </w:p>
        </w:tc>
        <w:tc>
          <w:tcPr>
            <w:tcW w:w="1650" w:type="dxa"/>
            <w:tcBorders>
              <w:top w:val="single" w:sz="4" w:space="0" w:color="auto"/>
              <w:bottom w:val="single" w:sz="4" w:space="0" w:color="808080" w:themeColor="background1" w:themeShade="80"/>
            </w:tcBorders>
            <w:vAlign w:val="bottom"/>
          </w:tcPr>
          <w:p w14:paraId="65870596" w14:textId="0F8764B3" w:rsidR="00194F30" w:rsidRPr="00345425" w:rsidRDefault="00194F30" w:rsidP="00194F30">
            <w:pPr>
              <w:pStyle w:val="TableTextRightAligned"/>
            </w:pPr>
            <w:r>
              <w:t>651 (21.6)</w:t>
            </w:r>
          </w:p>
        </w:tc>
        <w:tc>
          <w:tcPr>
            <w:tcW w:w="1620" w:type="dxa"/>
            <w:tcBorders>
              <w:top w:val="single" w:sz="4" w:space="0" w:color="auto"/>
              <w:bottom w:val="single" w:sz="4" w:space="0" w:color="808080" w:themeColor="background1" w:themeShade="80"/>
            </w:tcBorders>
            <w:shd w:val="clear" w:color="auto" w:fill="auto"/>
            <w:vAlign w:val="bottom"/>
          </w:tcPr>
          <w:p w14:paraId="0D5D7D23" w14:textId="6D33566A" w:rsidR="00194F30" w:rsidRPr="00345425" w:rsidRDefault="00194F30" w:rsidP="00194F30">
            <w:pPr>
              <w:pStyle w:val="TableTextRightAligned"/>
            </w:pPr>
            <w:r w:rsidRPr="00345425">
              <w:t>307 (20.9)</w:t>
            </w:r>
          </w:p>
        </w:tc>
        <w:tc>
          <w:tcPr>
            <w:tcW w:w="1396" w:type="dxa"/>
            <w:tcBorders>
              <w:top w:val="single" w:sz="4" w:space="0" w:color="auto"/>
              <w:bottom w:val="single" w:sz="4" w:space="0" w:color="808080" w:themeColor="background1" w:themeShade="80"/>
            </w:tcBorders>
            <w:shd w:val="clear" w:color="auto" w:fill="auto"/>
            <w:vAlign w:val="bottom"/>
          </w:tcPr>
          <w:p w14:paraId="56965A37" w14:textId="77CC7C68" w:rsidR="00194F30" w:rsidRPr="00345425" w:rsidRDefault="00194F30" w:rsidP="00194F30">
            <w:pPr>
              <w:pStyle w:val="TableTextRightAligned"/>
            </w:pPr>
            <w:r w:rsidRPr="00345425">
              <w:t>344 (22.4)</w:t>
            </w:r>
          </w:p>
        </w:tc>
      </w:tr>
      <w:tr w:rsidR="00194F30" w14:paraId="47F15BEC" w14:textId="77777777" w:rsidTr="69342431">
        <w:trPr>
          <w:trHeight w:val="301"/>
        </w:trPr>
        <w:tc>
          <w:tcPr>
            <w:tcW w:w="3750" w:type="dxa"/>
            <w:tcBorders>
              <w:top w:val="single" w:sz="4" w:space="0" w:color="808080" w:themeColor="background1" w:themeShade="80"/>
              <w:bottom w:val="single" w:sz="4" w:space="0" w:color="808080" w:themeColor="background1" w:themeShade="80"/>
            </w:tcBorders>
            <w:shd w:val="clear" w:color="auto" w:fill="auto"/>
            <w:vAlign w:val="bottom"/>
          </w:tcPr>
          <w:p w14:paraId="55CC18C5" w14:textId="3BBAC980" w:rsidR="00194F30" w:rsidRDefault="00194F30" w:rsidP="00194F30">
            <w:pPr>
              <w:pStyle w:val="TableTextRightAligned"/>
              <w:jc w:val="left"/>
            </w:pPr>
            <w:r>
              <w:t>30-39 years old</w:t>
            </w:r>
          </w:p>
        </w:tc>
        <w:tc>
          <w:tcPr>
            <w:tcW w:w="1650" w:type="dxa"/>
            <w:tcBorders>
              <w:top w:val="single" w:sz="4" w:space="0" w:color="808080" w:themeColor="background1" w:themeShade="80"/>
              <w:bottom w:val="single" w:sz="4" w:space="0" w:color="808080" w:themeColor="background1" w:themeShade="80"/>
            </w:tcBorders>
            <w:vAlign w:val="bottom"/>
          </w:tcPr>
          <w:p w14:paraId="076B01EA" w14:textId="1E76D514" w:rsidR="00194F30" w:rsidRPr="00345425" w:rsidRDefault="00194F30" w:rsidP="00194F30">
            <w:pPr>
              <w:pStyle w:val="TableTextRightAligned"/>
            </w:pPr>
            <w:r w:rsidRPr="000C5A95">
              <w:t>906 (30.1)</w:t>
            </w:r>
          </w:p>
        </w:tc>
        <w:tc>
          <w:tcPr>
            <w:tcW w:w="1620" w:type="dxa"/>
            <w:tcBorders>
              <w:top w:val="single" w:sz="4" w:space="0" w:color="808080" w:themeColor="background1" w:themeShade="80"/>
              <w:bottom w:val="single" w:sz="4" w:space="0" w:color="808080" w:themeColor="background1" w:themeShade="80"/>
            </w:tcBorders>
            <w:shd w:val="clear" w:color="auto" w:fill="auto"/>
            <w:vAlign w:val="bottom"/>
          </w:tcPr>
          <w:p w14:paraId="11DF19E2" w14:textId="25BE0FA5" w:rsidR="00194F30" w:rsidRPr="00345425" w:rsidRDefault="00194F30" w:rsidP="00194F30">
            <w:pPr>
              <w:pStyle w:val="TableTextRightAligned"/>
            </w:pPr>
            <w:r w:rsidRPr="00345425">
              <w:t>434 (29.5)</w:t>
            </w:r>
          </w:p>
        </w:tc>
        <w:tc>
          <w:tcPr>
            <w:tcW w:w="1396" w:type="dxa"/>
            <w:tcBorders>
              <w:top w:val="single" w:sz="4" w:space="0" w:color="808080" w:themeColor="background1" w:themeShade="80"/>
              <w:bottom w:val="single" w:sz="4" w:space="0" w:color="808080" w:themeColor="background1" w:themeShade="80"/>
            </w:tcBorders>
            <w:shd w:val="clear" w:color="auto" w:fill="auto"/>
            <w:vAlign w:val="bottom"/>
          </w:tcPr>
          <w:p w14:paraId="36F09E30" w14:textId="3CA11FBE" w:rsidR="00194F30" w:rsidRPr="00345425" w:rsidRDefault="00194F30" w:rsidP="00194F30">
            <w:pPr>
              <w:pStyle w:val="TableTextRightAligned"/>
            </w:pPr>
            <w:r w:rsidRPr="00345425">
              <w:t>472 (30.7)</w:t>
            </w:r>
          </w:p>
        </w:tc>
      </w:tr>
      <w:tr w:rsidR="00194F30" w14:paraId="34BFDE26" w14:textId="77777777" w:rsidTr="69342431">
        <w:trPr>
          <w:trHeight w:val="301"/>
        </w:trPr>
        <w:tc>
          <w:tcPr>
            <w:tcW w:w="3750" w:type="dxa"/>
            <w:tcBorders>
              <w:top w:val="single" w:sz="4" w:space="0" w:color="808080" w:themeColor="background1" w:themeShade="80"/>
              <w:bottom w:val="single" w:sz="4" w:space="0" w:color="808080" w:themeColor="background1" w:themeShade="80"/>
            </w:tcBorders>
            <w:shd w:val="clear" w:color="auto" w:fill="auto"/>
            <w:vAlign w:val="bottom"/>
          </w:tcPr>
          <w:p w14:paraId="14559680" w14:textId="07D11908" w:rsidR="00194F30" w:rsidRDefault="00194F30" w:rsidP="00194F30">
            <w:pPr>
              <w:pStyle w:val="TableTextRightAligned"/>
              <w:jc w:val="left"/>
            </w:pPr>
            <w:r>
              <w:t>40-49 years old</w:t>
            </w:r>
          </w:p>
        </w:tc>
        <w:tc>
          <w:tcPr>
            <w:tcW w:w="1650" w:type="dxa"/>
            <w:tcBorders>
              <w:top w:val="single" w:sz="4" w:space="0" w:color="808080" w:themeColor="background1" w:themeShade="80"/>
              <w:bottom w:val="single" w:sz="4" w:space="0" w:color="808080" w:themeColor="background1" w:themeShade="80"/>
            </w:tcBorders>
            <w:vAlign w:val="bottom"/>
          </w:tcPr>
          <w:p w14:paraId="0C98A0FF" w14:textId="64A5942D" w:rsidR="00194F30" w:rsidRPr="00345425" w:rsidRDefault="00194F30" w:rsidP="00194F30">
            <w:pPr>
              <w:pStyle w:val="TableTextRightAligned"/>
            </w:pPr>
            <w:r w:rsidRPr="000C5A95">
              <w:rPr>
                <w:szCs w:val="20"/>
              </w:rPr>
              <w:t>604 (20.1)</w:t>
            </w:r>
          </w:p>
        </w:tc>
        <w:tc>
          <w:tcPr>
            <w:tcW w:w="1620" w:type="dxa"/>
            <w:tcBorders>
              <w:top w:val="single" w:sz="4" w:space="0" w:color="808080" w:themeColor="background1" w:themeShade="80"/>
              <w:bottom w:val="single" w:sz="4" w:space="0" w:color="808080" w:themeColor="background1" w:themeShade="80"/>
            </w:tcBorders>
            <w:shd w:val="clear" w:color="auto" w:fill="auto"/>
            <w:vAlign w:val="bottom"/>
          </w:tcPr>
          <w:p w14:paraId="327B7B67" w14:textId="39084054" w:rsidR="00194F30" w:rsidRPr="00345425" w:rsidRDefault="00194F30" w:rsidP="00194F30">
            <w:pPr>
              <w:pStyle w:val="TableTextRightAligned"/>
            </w:pPr>
            <w:r w:rsidRPr="00345425">
              <w:t>301 (20.5)</w:t>
            </w:r>
          </w:p>
        </w:tc>
        <w:tc>
          <w:tcPr>
            <w:tcW w:w="1396" w:type="dxa"/>
            <w:tcBorders>
              <w:top w:val="single" w:sz="4" w:space="0" w:color="808080" w:themeColor="background1" w:themeShade="80"/>
              <w:bottom w:val="single" w:sz="4" w:space="0" w:color="808080" w:themeColor="background1" w:themeShade="80"/>
            </w:tcBorders>
            <w:shd w:val="clear" w:color="auto" w:fill="auto"/>
            <w:vAlign w:val="bottom"/>
          </w:tcPr>
          <w:p w14:paraId="4639DC29" w14:textId="4CBAFA32" w:rsidR="00194F30" w:rsidRPr="00345425" w:rsidRDefault="00194F30" w:rsidP="00194F30">
            <w:pPr>
              <w:pStyle w:val="TableTextRightAligned"/>
            </w:pPr>
            <w:r w:rsidRPr="00345425">
              <w:t>303 (19.7)</w:t>
            </w:r>
          </w:p>
        </w:tc>
      </w:tr>
      <w:tr w:rsidR="00194F30" w14:paraId="0D1B61A4" w14:textId="77777777" w:rsidTr="69342431">
        <w:trPr>
          <w:trHeight w:val="301"/>
        </w:trPr>
        <w:tc>
          <w:tcPr>
            <w:tcW w:w="3750" w:type="dxa"/>
            <w:tcBorders>
              <w:top w:val="single" w:sz="4" w:space="0" w:color="808080" w:themeColor="background1" w:themeShade="80"/>
              <w:bottom w:val="single" w:sz="4" w:space="0" w:color="808080" w:themeColor="background1" w:themeShade="80"/>
            </w:tcBorders>
            <w:shd w:val="clear" w:color="auto" w:fill="auto"/>
            <w:vAlign w:val="bottom"/>
          </w:tcPr>
          <w:p w14:paraId="64674030" w14:textId="7BBA0019" w:rsidR="00194F30" w:rsidRDefault="00194F30" w:rsidP="00194F30">
            <w:pPr>
              <w:pStyle w:val="TableTextRightAligned"/>
              <w:jc w:val="left"/>
            </w:pPr>
            <w:r>
              <w:t>50-59 years old</w:t>
            </w:r>
          </w:p>
        </w:tc>
        <w:tc>
          <w:tcPr>
            <w:tcW w:w="1650" w:type="dxa"/>
            <w:tcBorders>
              <w:top w:val="single" w:sz="4" w:space="0" w:color="808080" w:themeColor="background1" w:themeShade="80"/>
              <w:bottom w:val="single" w:sz="4" w:space="0" w:color="808080" w:themeColor="background1" w:themeShade="80"/>
            </w:tcBorders>
            <w:vAlign w:val="bottom"/>
          </w:tcPr>
          <w:p w14:paraId="4A046F59" w14:textId="1FACDE3F" w:rsidR="00194F30" w:rsidRPr="00345425" w:rsidRDefault="00194F30" w:rsidP="00194F30">
            <w:pPr>
              <w:pStyle w:val="TableTextRightAligned"/>
            </w:pPr>
            <w:r w:rsidRPr="000C5A95">
              <w:rPr>
                <w:szCs w:val="20"/>
              </w:rPr>
              <w:t>489 (16.3)</w:t>
            </w:r>
          </w:p>
        </w:tc>
        <w:tc>
          <w:tcPr>
            <w:tcW w:w="1620" w:type="dxa"/>
            <w:tcBorders>
              <w:top w:val="single" w:sz="4" w:space="0" w:color="808080" w:themeColor="background1" w:themeShade="80"/>
              <w:bottom w:val="single" w:sz="4" w:space="0" w:color="808080" w:themeColor="background1" w:themeShade="80"/>
            </w:tcBorders>
            <w:shd w:val="clear" w:color="auto" w:fill="auto"/>
            <w:vAlign w:val="bottom"/>
          </w:tcPr>
          <w:p w14:paraId="68166CD8" w14:textId="59D48BCF" w:rsidR="00194F30" w:rsidRPr="00345425" w:rsidRDefault="00194F30" w:rsidP="00194F30">
            <w:pPr>
              <w:pStyle w:val="TableTextRightAligned"/>
            </w:pPr>
            <w:r w:rsidRPr="00345425">
              <w:t>239 (16.3)</w:t>
            </w:r>
          </w:p>
        </w:tc>
        <w:tc>
          <w:tcPr>
            <w:tcW w:w="1396" w:type="dxa"/>
            <w:tcBorders>
              <w:top w:val="single" w:sz="4" w:space="0" w:color="808080" w:themeColor="background1" w:themeShade="80"/>
              <w:bottom w:val="single" w:sz="4" w:space="0" w:color="808080" w:themeColor="background1" w:themeShade="80"/>
            </w:tcBorders>
            <w:shd w:val="clear" w:color="auto" w:fill="auto"/>
            <w:vAlign w:val="bottom"/>
          </w:tcPr>
          <w:p w14:paraId="3F5A7A87" w14:textId="4659F49A" w:rsidR="00194F30" w:rsidRPr="00345425" w:rsidRDefault="00194F30" w:rsidP="00194F30">
            <w:pPr>
              <w:pStyle w:val="TableTextRightAligned"/>
            </w:pPr>
            <w:r w:rsidRPr="00345425">
              <w:t>250 (16.3)</w:t>
            </w:r>
          </w:p>
        </w:tc>
      </w:tr>
      <w:tr w:rsidR="00194F30" w14:paraId="61D3BE7A" w14:textId="77777777" w:rsidTr="003E4D83">
        <w:trPr>
          <w:trHeight w:val="301"/>
        </w:trPr>
        <w:tc>
          <w:tcPr>
            <w:tcW w:w="3750" w:type="dxa"/>
            <w:tcBorders>
              <w:top w:val="single" w:sz="4" w:space="0" w:color="808080" w:themeColor="background1" w:themeShade="80"/>
              <w:bottom w:val="single" w:sz="4" w:space="0" w:color="808080" w:themeColor="background1" w:themeShade="80"/>
            </w:tcBorders>
            <w:shd w:val="clear" w:color="auto" w:fill="auto"/>
            <w:vAlign w:val="bottom"/>
          </w:tcPr>
          <w:p w14:paraId="07603740" w14:textId="29A2C821" w:rsidR="00194F30" w:rsidRDefault="00194F30" w:rsidP="00194F30">
            <w:pPr>
              <w:pStyle w:val="TableTextRightAligned"/>
              <w:jc w:val="left"/>
            </w:pPr>
            <w:r>
              <w:t>60-69 years old</w:t>
            </w:r>
          </w:p>
        </w:tc>
        <w:tc>
          <w:tcPr>
            <w:tcW w:w="1650" w:type="dxa"/>
            <w:tcBorders>
              <w:top w:val="single" w:sz="4" w:space="0" w:color="808080" w:themeColor="background1" w:themeShade="80"/>
              <w:bottom w:val="single" w:sz="4" w:space="0" w:color="808080" w:themeColor="background1" w:themeShade="80"/>
            </w:tcBorders>
            <w:vAlign w:val="bottom"/>
          </w:tcPr>
          <w:p w14:paraId="79B9601F" w14:textId="45670BB3" w:rsidR="00194F30" w:rsidRPr="00345425" w:rsidRDefault="00194F30" w:rsidP="00194F30">
            <w:pPr>
              <w:pStyle w:val="TableTextRightAligned"/>
            </w:pPr>
            <w:r w:rsidRPr="000C5A95">
              <w:rPr>
                <w:szCs w:val="20"/>
              </w:rPr>
              <w:t>348 (11.6)</w:t>
            </w:r>
          </w:p>
        </w:tc>
        <w:tc>
          <w:tcPr>
            <w:tcW w:w="1620" w:type="dxa"/>
            <w:tcBorders>
              <w:top w:val="single" w:sz="4" w:space="0" w:color="808080" w:themeColor="background1" w:themeShade="80"/>
              <w:bottom w:val="single" w:sz="4" w:space="0" w:color="808080" w:themeColor="background1" w:themeShade="80"/>
            </w:tcBorders>
            <w:shd w:val="clear" w:color="auto" w:fill="auto"/>
            <w:vAlign w:val="bottom"/>
          </w:tcPr>
          <w:p w14:paraId="11344AD3" w14:textId="0DEA89E9" w:rsidR="00194F30" w:rsidRPr="00345425" w:rsidRDefault="00194F30" w:rsidP="00194F30">
            <w:pPr>
              <w:pStyle w:val="TableTextRightAligned"/>
            </w:pPr>
            <w:r w:rsidRPr="00345425">
              <w:t>183 (12.4)</w:t>
            </w:r>
          </w:p>
        </w:tc>
        <w:tc>
          <w:tcPr>
            <w:tcW w:w="1396" w:type="dxa"/>
            <w:tcBorders>
              <w:top w:val="single" w:sz="4" w:space="0" w:color="808080" w:themeColor="background1" w:themeShade="80"/>
              <w:bottom w:val="single" w:sz="4" w:space="0" w:color="808080" w:themeColor="background1" w:themeShade="80"/>
            </w:tcBorders>
            <w:shd w:val="clear" w:color="auto" w:fill="auto"/>
            <w:vAlign w:val="bottom"/>
          </w:tcPr>
          <w:p w14:paraId="1E273973" w14:textId="00E7FE24" w:rsidR="00194F30" w:rsidRPr="00345425" w:rsidRDefault="00194F30" w:rsidP="00194F30">
            <w:pPr>
              <w:pStyle w:val="TableTextRightAligned"/>
            </w:pPr>
            <w:r w:rsidRPr="00345425">
              <w:t>165 (10.7)</w:t>
            </w:r>
          </w:p>
        </w:tc>
      </w:tr>
      <w:tr w:rsidR="00194F30" w14:paraId="5F89810B" w14:textId="77777777" w:rsidTr="003E4D83">
        <w:trPr>
          <w:trHeight w:val="301"/>
        </w:trPr>
        <w:tc>
          <w:tcPr>
            <w:tcW w:w="3750" w:type="dxa"/>
            <w:tcBorders>
              <w:top w:val="single" w:sz="4" w:space="0" w:color="808080" w:themeColor="background1" w:themeShade="80"/>
              <w:bottom w:val="single" w:sz="4" w:space="0" w:color="auto"/>
            </w:tcBorders>
            <w:shd w:val="clear" w:color="auto" w:fill="auto"/>
            <w:vAlign w:val="bottom"/>
          </w:tcPr>
          <w:p w14:paraId="75BA020F" w14:textId="64E45601" w:rsidR="00194F30" w:rsidRDefault="00194F30" w:rsidP="00194F30">
            <w:pPr>
              <w:pStyle w:val="TableTextRightAligned"/>
              <w:jc w:val="left"/>
            </w:pPr>
            <w:r>
              <w:t>70 or older</w:t>
            </w:r>
          </w:p>
        </w:tc>
        <w:tc>
          <w:tcPr>
            <w:tcW w:w="1650" w:type="dxa"/>
            <w:tcBorders>
              <w:top w:val="single" w:sz="4" w:space="0" w:color="808080" w:themeColor="background1" w:themeShade="80"/>
              <w:bottom w:val="single" w:sz="4" w:space="0" w:color="auto"/>
            </w:tcBorders>
            <w:vAlign w:val="bottom"/>
          </w:tcPr>
          <w:p w14:paraId="465AE107" w14:textId="704D7ED1" w:rsidR="00194F30" w:rsidRPr="00345425" w:rsidRDefault="00194F30" w:rsidP="00194F30">
            <w:pPr>
              <w:pStyle w:val="TableTextRightAligned"/>
            </w:pPr>
            <w:r w:rsidRPr="000C5A95">
              <w:rPr>
                <w:szCs w:val="20"/>
              </w:rPr>
              <w:t>9 (0.3)</w:t>
            </w:r>
          </w:p>
        </w:tc>
        <w:tc>
          <w:tcPr>
            <w:tcW w:w="1620" w:type="dxa"/>
            <w:tcBorders>
              <w:top w:val="single" w:sz="4" w:space="0" w:color="808080" w:themeColor="background1" w:themeShade="80"/>
              <w:bottom w:val="single" w:sz="4" w:space="0" w:color="auto"/>
            </w:tcBorders>
            <w:shd w:val="clear" w:color="auto" w:fill="auto"/>
            <w:vAlign w:val="bottom"/>
          </w:tcPr>
          <w:p w14:paraId="7BEDFA2C" w14:textId="2EE29AD6" w:rsidR="00194F30" w:rsidRPr="00345425" w:rsidRDefault="00194F30" w:rsidP="00194F30">
            <w:pPr>
              <w:pStyle w:val="TableTextRightAligned"/>
            </w:pPr>
            <w:r w:rsidRPr="00345425">
              <w:t>5 (0.3)</w:t>
            </w:r>
          </w:p>
        </w:tc>
        <w:tc>
          <w:tcPr>
            <w:tcW w:w="1396" w:type="dxa"/>
            <w:tcBorders>
              <w:top w:val="single" w:sz="4" w:space="0" w:color="808080" w:themeColor="background1" w:themeShade="80"/>
              <w:bottom w:val="single" w:sz="4" w:space="0" w:color="auto"/>
            </w:tcBorders>
            <w:shd w:val="clear" w:color="auto" w:fill="auto"/>
            <w:vAlign w:val="bottom"/>
          </w:tcPr>
          <w:p w14:paraId="73A36C95" w14:textId="1DA98E01" w:rsidR="00194F30" w:rsidRPr="00345425" w:rsidRDefault="00194F30" w:rsidP="00194F30">
            <w:pPr>
              <w:pStyle w:val="TableTextRightAligned"/>
            </w:pPr>
            <w:r w:rsidRPr="00345425">
              <w:t>4 (0.3)</w:t>
            </w:r>
          </w:p>
        </w:tc>
      </w:tr>
      <w:tr w:rsidR="00194F30" w14:paraId="15DA3339" w14:textId="77777777" w:rsidTr="003E4D83">
        <w:trPr>
          <w:trHeight w:val="301"/>
        </w:trPr>
        <w:tc>
          <w:tcPr>
            <w:tcW w:w="3750" w:type="dxa"/>
            <w:tcBorders>
              <w:top w:val="single" w:sz="4" w:space="0" w:color="auto"/>
              <w:bottom w:val="single" w:sz="4" w:space="0" w:color="808080" w:themeColor="background1" w:themeShade="80"/>
            </w:tcBorders>
            <w:shd w:val="clear" w:color="auto" w:fill="auto"/>
            <w:vAlign w:val="bottom"/>
          </w:tcPr>
          <w:p w14:paraId="60F60805" w14:textId="26C45129" w:rsidR="00194F30" w:rsidRDefault="00194F30" w:rsidP="00194F30">
            <w:pPr>
              <w:pStyle w:val="TableTextRightAligned"/>
              <w:jc w:val="left"/>
            </w:pPr>
            <w:r>
              <w:t>Has a university education</w:t>
            </w:r>
          </w:p>
        </w:tc>
        <w:tc>
          <w:tcPr>
            <w:tcW w:w="1650" w:type="dxa"/>
            <w:tcBorders>
              <w:top w:val="single" w:sz="4" w:space="0" w:color="auto"/>
              <w:bottom w:val="single" w:sz="4" w:space="0" w:color="808080" w:themeColor="background1" w:themeShade="80"/>
            </w:tcBorders>
            <w:vAlign w:val="bottom"/>
          </w:tcPr>
          <w:p w14:paraId="45B0DB51" w14:textId="444BC95B" w:rsidR="00194F30" w:rsidRPr="00345425" w:rsidRDefault="00194F30" w:rsidP="00194F30">
            <w:pPr>
              <w:pStyle w:val="TableTextRightAligned"/>
            </w:pPr>
            <w:r w:rsidRPr="00110668">
              <w:rPr>
                <w:szCs w:val="20"/>
              </w:rPr>
              <w:t>1520 (50.5)</w:t>
            </w:r>
          </w:p>
        </w:tc>
        <w:tc>
          <w:tcPr>
            <w:tcW w:w="1620" w:type="dxa"/>
            <w:tcBorders>
              <w:top w:val="single" w:sz="4" w:space="0" w:color="auto"/>
              <w:bottom w:val="single" w:sz="4" w:space="0" w:color="808080" w:themeColor="background1" w:themeShade="80"/>
            </w:tcBorders>
            <w:shd w:val="clear" w:color="auto" w:fill="auto"/>
            <w:vAlign w:val="bottom"/>
          </w:tcPr>
          <w:p w14:paraId="599E8626" w14:textId="689560D6" w:rsidR="00194F30" w:rsidRPr="00345425" w:rsidRDefault="00194F30" w:rsidP="00194F30">
            <w:pPr>
              <w:pStyle w:val="TableTextRightAligned"/>
            </w:pPr>
            <w:r w:rsidRPr="00345425">
              <w:t>735 (50</w:t>
            </w:r>
            <w:r>
              <w:t>.0</w:t>
            </w:r>
            <w:r w:rsidRPr="00345425">
              <w:t>)</w:t>
            </w:r>
          </w:p>
        </w:tc>
        <w:tc>
          <w:tcPr>
            <w:tcW w:w="1396" w:type="dxa"/>
            <w:tcBorders>
              <w:top w:val="single" w:sz="4" w:space="0" w:color="auto"/>
              <w:bottom w:val="single" w:sz="4" w:space="0" w:color="808080" w:themeColor="background1" w:themeShade="80"/>
            </w:tcBorders>
            <w:shd w:val="clear" w:color="auto" w:fill="auto"/>
            <w:vAlign w:val="bottom"/>
          </w:tcPr>
          <w:p w14:paraId="318D53F2" w14:textId="7CF8789D" w:rsidR="00194F30" w:rsidRPr="00345425" w:rsidRDefault="00194F30" w:rsidP="00194F30">
            <w:pPr>
              <w:pStyle w:val="TableTextRightAligned"/>
            </w:pPr>
            <w:r w:rsidRPr="00345425">
              <w:t>785 (51</w:t>
            </w:r>
            <w:r>
              <w:t>.0</w:t>
            </w:r>
            <w:r w:rsidRPr="00345425">
              <w:t>)</w:t>
            </w:r>
          </w:p>
        </w:tc>
      </w:tr>
      <w:tr w:rsidR="00194F30" w14:paraId="1068FB63" w14:textId="77777777" w:rsidTr="003E4D83">
        <w:trPr>
          <w:trHeight w:val="301"/>
        </w:trPr>
        <w:tc>
          <w:tcPr>
            <w:tcW w:w="3750" w:type="dxa"/>
            <w:tcBorders>
              <w:top w:val="single" w:sz="4" w:space="0" w:color="808080" w:themeColor="background1" w:themeShade="80"/>
              <w:bottom w:val="single" w:sz="4" w:space="0" w:color="auto"/>
            </w:tcBorders>
            <w:shd w:val="clear" w:color="auto" w:fill="auto"/>
            <w:vAlign w:val="bottom"/>
          </w:tcPr>
          <w:p w14:paraId="4ACE1ACA" w14:textId="546A61D8" w:rsidR="00194F30" w:rsidRDefault="00194F30" w:rsidP="00194F30">
            <w:pPr>
              <w:pStyle w:val="TableTextRightAligned"/>
              <w:jc w:val="left"/>
            </w:pPr>
            <w:r>
              <w:t>Does not have a university education</w:t>
            </w:r>
          </w:p>
        </w:tc>
        <w:tc>
          <w:tcPr>
            <w:tcW w:w="1650" w:type="dxa"/>
            <w:tcBorders>
              <w:top w:val="single" w:sz="4" w:space="0" w:color="808080" w:themeColor="background1" w:themeShade="80"/>
              <w:bottom w:val="single" w:sz="4" w:space="0" w:color="auto"/>
            </w:tcBorders>
            <w:vAlign w:val="bottom"/>
          </w:tcPr>
          <w:p w14:paraId="4CA421D5" w14:textId="7A977F73" w:rsidR="00194F30" w:rsidRPr="00345425" w:rsidRDefault="00194F30" w:rsidP="00194F30">
            <w:pPr>
              <w:pStyle w:val="TableTextRightAligned"/>
            </w:pPr>
            <w:r w:rsidRPr="00110668">
              <w:rPr>
                <w:szCs w:val="20"/>
              </w:rPr>
              <w:t>1488 (49.5)</w:t>
            </w:r>
          </w:p>
        </w:tc>
        <w:tc>
          <w:tcPr>
            <w:tcW w:w="1620" w:type="dxa"/>
            <w:tcBorders>
              <w:top w:val="single" w:sz="4" w:space="0" w:color="808080" w:themeColor="background1" w:themeShade="80"/>
              <w:bottom w:val="single" w:sz="4" w:space="0" w:color="auto"/>
            </w:tcBorders>
            <w:shd w:val="clear" w:color="auto" w:fill="auto"/>
            <w:vAlign w:val="bottom"/>
          </w:tcPr>
          <w:p w14:paraId="5FE6999D" w14:textId="4E166817" w:rsidR="00194F30" w:rsidRPr="00345425" w:rsidRDefault="00194F30" w:rsidP="00194F30">
            <w:pPr>
              <w:pStyle w:val="TableTextRightAligned"/>
            </w:pPr>
            <w:r w:rsidRPr="00345425">
              <w:t>735 (50</w:t>
            </w:r>
            <w:r>
              <w:t>.0</w:t>
            </w:r>
            <w:r w:rsidRPr="00345425">
              <w:t>)</w:t>
            </w:r>
          </w:p>
        </w:tc>
        <w:tc>
          <w:tcPr>
            <w:tcW w:w="1396" w:type="dxa"/>
            <w:tcBorders>
              <w:top w:val="single" w:sz="4" w:space="0" w:color="808080" w:themeColor="background1" w:themeShade="80"/>
              <w:bottom w:val="single" w:sz="4" w:space="0" w:color="auto"/>
            </w:tcBorders>
            <w:shd w:val="clear" w:color="auto" w:fill="auto"/>
            <w:vAlign w:val="bottom"/>
          </w:tcPr>
          <w:p w14:paraId="2C9FFAE5" w14:textId="445FE0B3" w:rsidR="00194F30" w:rsidRPr="00345425" w:rsidRDefault="00194F30" w:rsidP="00194F30">
            <w:pPr>
              <w:pStyle w:val="TableTextRightAligned"/>
            </w:pPr>
            <w:r w:rsidRPr="00345425">
              <w:t>753 (49</w:t>
            </w:r>
            <w:r>
              <w:t>.0</w:t>
            </w:r>
            <w:r w:rsidRPr="00345425">
              <w:t>)</w:t>
            </w:r>
          </w:p>
        </w:tc>
      </w:tr>
      <w:tr w:rsidR="00194F30" w14:paraId="71498AD3" w14:textId="77777777" w:rsidTr="003E4D83">
        <w:trPr>
          <w:trHeight w:val="301"/>
        </w:trPr>
        <w:tc>
          <w:tcPr>
            <w:tcW w:w="3750" w:type="dxa"/>
            <w:tcBorders>
              <w:top w:val="single" w:sz="4" w:space="0" w:color="auto"/>
              <w:bottom w:val="single" w:sz="4" w:space="0" w:color="808080" w:themeColor="background1" w:themeShade="80"/>
            </w:tcBorders>
            <w:shd w:val="clear" w:color="auto" w:fill="auto"/>
            <w:vAlign w:val="bottom"/>
          </w:tcPr>
          <w:p w14:paraId="1706981D" w14:textId="10386E0B" w:rsidR="00194F30" w:rsidRDefault="00194F30" w:rsidP="00194F30">
            <w:pPr>
              <w:pStyle w:val="TableTextRightAligned"/>
              <w:jc w:val="left"/>
            </w:pPr>
            <w:r>
              <w:t>Aboriginal and/or Torres Strait Islander</w:t>
            </w:r>
          </w:p>
        </w:tc>
        <w:tc>
          <w:tcPr>
            <w:tcW w:w="1650" w:type="dxa"/>
            <w:tcBorders>
              <w:top w:val="single" w:sz="4" w:space="0" w:color="auto"/>
              <w:bottom w:val="single" w:sz="4" w:space="0" w:color="808080" w:themeColor="background1" w:themeShade="80"/>
            </w:tcBorders>
            <w:vAlign w:val="bottom"/>
          </w:tcPr>
          <w:p w14:paraId="3C0206AD" w14:textId="21A2B59E" w:rsidR="00194F30" w:rsidRPr="00345425" w:rsidRDefault="00194F30" w:rsidP="00194F30">
            <w:pPr>
              <w:pStyle w:val="TableTextRightAligned"/>
            </w:pPr>
            <w:r>
              <w:rPr>
                <w:szCs w:val="20"/>
              </w:rPr>
              <w:t>55(1.8)</w:t>
            </w:r>
          </w:p>
        </w:tc>
        <w:tc>
          <w:tcPr>
            <w:tcW w:w="1620" w:type="dxa"/>
            <w:tcBorders>
              <w:top w:val="single" w:sz="4" w:space="0" w:color="auto"/>
              <w:bottom w:val="single" w:sz="4" w:space="0" w:color="808080" w:themeColor="background1" w:themeShade="80"/>
            </w:tcBorders>
            <w:shd w:val="clear" w:color="auto" w:fill="auto"/>
            <w:vAlign w:val="bottom"/>
          </w:tcPr>
          <w:p w14:paraId="73065577" w14:textId="5A9FB57B" w:rsidR="00194F30" w:rsidRPr="00345425" w:rsidRDefault="00194F30" w:rsidP="00194F30">
            <w:pPr>
              <w:pStyle w:val="TableTextRightAligned"/>
            </w:pPr>
            <w:r w:rsidRPr="00345425">
              <w:t>27(1.9)</w:t>
            </w:r>
          </w:p>
        </w:tc>
        <w:tc>
          <w:tcPr>
            <w:tcW w:w="1396" w:type="dxa"/>
            <w:tcBorders>
              <w:top w:val="single" w:sz="4" w:space="0" w:color="auto"/>
              <w:bottom w:val="single" w:sz="4" w:space="0" w:color="808080" w:themeColor="background1" w:themeShade="80"/>
            </w:tcBorders>
            <w:shd w:val="clear" w:color="auto" w:fill="auto"/>
            <w:vAlign w:val="bottom"/>
          </w:tcPr>
          <w:p w14:paraId="5509BAA1" w14:textId="69DAB1F0" w:rsidR="00194F30" w:rsidRPr="00345425" w:rsidRDefault="00194F30" w:rsidP="00194F30">
            <w:pPr>
              <w:pStyle w:val="TableTextRightAligned"/>
            </w:pPr>
            <w:r w:rsidRPr="00345425">
              <w:t>28(1.9)</w:t>
            </w:r>
          </w:p>
        </w:tc>
      </w:tr>
      <w:tr w:rsidR="00194F30" w14:paraId="2262715E" w14:textId="77777777" w:rsidTr="003E4D83">
        <w:trPr>
          <w:trHeight w:val="332"/>
        </w:trPr>
        <w:tc>
          <w:tcPr>
            <w:tcW w:w="3750" w:type="dxa"/>
            <w:tcBorders>
              <w:top w:val="single" w:sz="4" w:space="0" w:color="808080" w:themeColor="background1" w:themeShade="80"/>
              <w:bottom w:val="single" w:sz="18" w:space="0" w:color="142E3B" w:themeColor="accent6"/>
            </w:tcBorders>
            <w:shd w:val="clear" w:color="auto" w:fill="auto"/>
            <w:vAlign w:val="bottom"/>
          </w:tcPr>
          <w:p w14:paraId="103A88E8" w14:textId="7854A858" w:rsidR="00194F30" w:rsidRDefault="00194F30" w:rsidP="00194F30">
            <w:pPr>
              <w:pStyle w:val="TableTextRightAligned"/>
              <w:jc w:val="left"/>
            </w:pPr>
            <w:r>
              <w:t>Not Aboriginal nor Torres Strait Islander</w:t>
            </w:r>
          </w:p>
        </w:tc>
        <w:tc>
          <w:tcPr>
            <w:tcW w:w="1650" w:type="dxa"/>
            <w:tcBorders>
              <w:top w:val="single" w:sz="4" w:space="0" w:color="808080" w:themeColor="background1" w:themeShade="80"/>
              <w:bottom w:val="single" w:sz="18" w:space="0" w:color="142E3B" w:themeColor="accent6"/>
            </w:tcBorders>
            <w:vAlign w:val="bottom"/>
          </w:tcPr>
          <w:p w14:paraId="77B30712" w14:textId="52691B02" w:rsidR="00194F30" w:rsidRPr="00345425" w:rsidRDefault="00194F30" w:rsidP="00194F30">
            <w:pPr>
              <w:pStyle w:val="TableTextRightAligned"/>
            </w:pPr>
            <w:r w:rsidRPr="00A55D6D">
              <w:rPr>
                <w:szCs w:val="20"/>
              </w:rPr>
              <w:t>2929 (97.4)</w:t>
            </w:r>
          </w:p>
        </w:tc>
        <w:tc>
          <w:tcPr>
            <w:tcW w:w="1620" w:type="dxa"/>
            <w:tcBorders>
              <w:top w:val="single" w:sz="4" w:space="0" w:color="808080" w:themeColor="background1" w:themeShade="80"/>
              <w:bottom w:val="single" w:sz="18" w:space="0" w:color="142E3B" w:themeColor="accent6"/>
            </w:tcBorders>
            <w:shd w:val="clear" w:color="auto" w:fill="auto"/>
            <w:vAlign w:val="bottom"/>
          </w:tcPr>
          <w:p w14:paraId="30A2F796" w14:textId="3DC63383" w:rsidR="00194F30" w:rsidRPr="00345425" w:rsidRDefault="00194F30" w:rsidP="00194F30">
            <w:pPr>
              <w:pStyle w:val="TableTextRightAligned"/>
            </w:pPr>
            <w:r w:rsidRPr="00345425">
              <w:t>1431 (97.3)</w:t>
            </w:r>
          </w:p>
        </w:tc>
        <w:tc>
          <w:tcPr>
            <w:tcW w:w="1396" w:type="dxa"/>
            <w:tcBorders>
              <w:top w:val="single" w:sz="4" w:space="0" w:color="808080" w:themeColor="background1" w:themeShade="80"/>
              <w:bottom w:val="single" w:sz="18" w:space="0" w:color="142E3B" w:themeColor="accent6"/>
            </w:tcBorders>
            <w:shd w:val="clear" w:color="auto" w:fill="auto"/>
            <w:vAlign w:val="bottom"/>
          </w:tcPr>
          <w:p w14:paraId="7700FE05" w14:textId="33420D57" w:rsidR="00194F30" w:rsidRPr="00345425" w:rsidRDefault="00194F30" w:rsidP="00194F30">
            <w:pPr>
              <w:pStyle w:val="TableTextRightAligned"/>
            </w:pPr>
            <w:r w:rsidRPr="00345425">
              <w:t>1498 (97.4)</w:t>
            </w:r>
          </w:p>
        </w:tc>
      </w:tr>
    </w:tbl>
    <w:p w14:paraId="35A3F99E" w14:textId="7306F96A" w:rsidR="003B5AF3" w:rsidRDefault="0097158D" w:rsidP="007E3C25">
      <w:pPr>
        <w:pStyle w:val="SourceNotesText"/>
      </w:pPr>
      <w:r>
        <w:rPr>
          <w:rFonts w:ascii="High Tower Text" w:hAnsi="High Tower Text"/>
        </w:rPr>
        <w:t>•</w:t>
      </w:r>
      <w:r w:rsidR="00345425">
        <w:t xml:space="preserve">Not male group includes females, non-binary and third gender. </w:t>
      </w:r>
      <w:r w:rsidR="003B5AF3">
        <w:br w:type="page"/>
      </w:r>
    </w:p>
    <w:p w14:paraId="7E5E1CD9" w14:textId="04A662EA" w:rsidR="00B95465" w:rsidRDefault="00B95465" w:rsidP="00B95465">
      <w:pPr>
        <w:pStyle w:val="Heading3"/>
      </w:pPr>
      <w:r>
        <w:lastRenderedPageBreak/>
        <w:t xml:space="preserve">Missing </w:t>
      </w:r>
      <w:r w:rsidR="00197A94">
        <w:t>data analysis</w:t>
      </w:r>
    </w:p>
    <w:p w14:paraId="7B85B66D" w14:textId="2E9700D2" w:rsidR="00B95465" w:rsidRDefault="00B95465" w:rsidP="003E4D83">
      <w:r w:rsidRPr="00050CCE">
        <w:t xml:space="preserve">Based on our missing data analysis decision tree in the pre-analysis plan, we conducted complete case analyses. </w:t>
      </w:r>
      <w:r w:rsidR="00FA738F">
        <w:t xml:space="preserve">Overall 279 (9.3%) of respondents had missing data. This was below the 10% threshold stated in the pre-analysis plan. </w:t>
      </w:r>
      <w:r>
        <w:t>Data on both primary outcomes was missing for 154 (10%) respondents in the control condition and 125 (8.5%) of respondents in the treatment condition. There was no evidence for differential attrition between the treatment and control groups (Chi-square statistic 1.9, p = 0.17)</w:t>
      </w:r>
      <w:r w:rsidR="0040399B">
        <w:t>, indicati</w:t>
      </w:r>
      <w:r w:rsidR="00063948">
        <w:t>ng that complete case analysis wa</w:t>
      </w:r>
      <w:r w:rsidR="0040399B">
        <w:t>s appropriate</w:t>
      </w:r>
      <w:r>
        <w:t>.</w:t>
      </w:r>
    </w:p>
    <w:p w14:paraId="53B46EB4" w14:textId="1E87866C" w:rsidR="00B95465" w:rsidRPr="00703185" w:rsidRDefault="00B95465" w:rsidP="00B95465">
      <w:r>
        <w:t>We note that those with non-university level education were more likely to have missing primary outcome data, compared to those with university level education. There were also age differences. Older respondents were more likely to have missing primary outcome data. The mean age for those with no missing data was 40.7 compared to 43.1 among those with missing data.</w:t>
      </w:r>
    </w:p>
    <w:p w14:paraId="23131FBE" w14:textId="0498B575" w:rsidR="00F86C0B" w:rsidRDefault="00F86C0B" w:rsidP="00F86C0B">
      <w:pPr>
        <w:pStyle w:val="Heading3"/>
      </w:pPr>
      <w:r>
        <w:t xml:space="preserve">Method of </w:t>
      </w:r>
      <w:r w:rsidR="00050CCE">
        <w:t xml:space="preserve">data </w:t>
      </w:r>
      <w:r>
        <w:t>analysis</w:t>
      </w:r>
    </w:p>
    <w:p w14:paraId="2FB58142" w14:textId="087EE3C4" w:rsidR="00F86C0B" w:rsidRDefault="00F86C0B" w:rsidP="00F86C0B">
      <w:r>
        <w:t xml:space="preserve">The principal analysis of the effect of the intervention consisted </w:t>
      </w:r>
      <w:r w:rsidR="00EE6DCB">
        <w:t xml:space="preserve">of </w:t>
      </w:r>
      <w:r>
        <w:t xml:space="preserve">a covariate-adjusted comparison of our primary outcomes. This estimate, confidence intervals and p-values </w:t>
      </w:r>
      <w:r w:rsidR="00EE6DCB">
        <w:t>were</w:t>
      </w:r>
      <w:r>
        <w:t xml:space="preserve"> derived from a linear regression model using robust (HC2) standard errors and with the following specification:</w:t>
      </w:r>
    </w:p>
    <w:p w14:paraId="2A6237D0" w14:textId="52238889" w:rsidR="006F337A" w:rsidRDefault="006F337A" w:rsidP="007E3C25">
      <w:pPr>
        <w:jc w:val="center"/>
      </w:pPr>
      <w:r>
        <w:rPr>
          <w:noProof/>
        </w:rPr>
        <w:drawing>
          <wp:inline distT="0" distB="0" distL="0" distR="0" wp14:anchorId="3839C018" wp14:editId="51683837">
            <wp:extent cx="2591162" cy="447737"/>
            <wp:effectExtent l="0" t="0" r="0" b="0"/>
            <wp:docPr id="1050136868" name="Picture 2" descr="Y subscript i equals beta zero (intercept) plus beta one z subscript i plus beta two x subscript i plus beta three Z subscript i X subscript i plus epsilon, which is the error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36868" name="Picture 1050136868"/>
                    <pic:cNvPicPr/>
                  </pic:nvPicPr>
                  <pic:blipFill>
                    <a:blip r:embed="rId19">
                      <a:extLst>
                        <a:ext uri="{28A0092B-C50C-407E-A947-70E740481C1C}">
                          <a14:useLocalDpi xmlns:a14="http://schemas.microsoft.com/office/drawing/2010/main" val="0"/>
                        </a:ext>
                      </a:extLst>
                    </a:blip>
                    <a:stretch>
                      <a:fillRect/>
                    </a:stretch>
                  </pic:blipFill>
                  <pic:spPr>
                    <a:xfrm>
                      <a:off x="0" y="0"/>
                      <a:ext cx="2591162" cy="447737"/>
                    </a:xfrm>
                    <a:prstGeom prst="rect">
                      <a:avLst/>
                    </a:prstGeom>
                  </pic:spPr>
                </pic:pic>
              </a:graphicData>
            </a:graphic>
          </wp:inline>
        </w:drawing>
      </w:r>
    </w:p>
    <w:p w14:paraId="6B930833" w14:textId="503C8FCF" w:rsidR="007567D8" w:rsidRDefault="00F86C0B" w:rsidP="00F86C0B">
      <w:r>
        <w:t>Where</w:t>
      </w:r>
      <w:r w:rsidR="007567D8">
        <w:t>:</w:t>
      </w:r>
    </w:p>
    <w:p w14:paraId="7C552EED" w14:textId="6D3C70A4" w:rsidR="007567D8" w:rsidRDefault="00E036A1" w:rsidP="003E4D83">
      <w:pPr>
        <w:pStyle w:val="ListBullet"/>
      </w:pPr>
      <w:r w:rsidRPr="00CC6749">
        <w:rPr>
          <w:noProof/>
        </w:rPr>
        <w:drawing>
          <wp:inline distT="0" distB="0" distL="0" distR="0" wp14:anchorId="42BA2223" wp14:editId="79BC7B8B">
            <wp:extent cx="60325" cy="109682"/>
            <wp:effectExtent l="0" t="0" r="0" b="5080"/>
            <wp:docPr id="1050136866" name="Picture 1050136866" desc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155" cy="114828"/>
                    </a:xfrm>
                    <a:prstGeom prst="rect">
                      <a:avLst/>
                    </a:prstGeom>
                  </pic:spPr>
                </pic:pic>
              </a:graphicData>
            </a:graphic>
          </wp:inline>
        </w:drawing>
      </w:r>
      <w:r w:rsidR="00F86C0B">
        <w:t xml:space="preserve"> is an index for each individual in the </w:t>
      </w:r>
      <w:r w:rsidR="00A02EAE">
        <w:t>experiment</w:t>
      </w:r>
    </w:p>
    <w:p w14:paraId="2709A820" w14:textId="684F0BCF" w:rsidR="007567D8" w:rsidRDefault="00E036A1" w:rsidP="003E4D83">
      <w:pPr>
        <w:pStyle w:val="ListBullet"/>
      </w:pPr>
      <w:r w:rsidRPr="0099243E">
        <w:rPr>
          <w:noProof/>
        </w:rPr>
        <w:drawing>
          <wp:inline distT="0" distB="0" distL="0" distR="0" wp14:anchorId="3B84F92A" wp14:editId="7757887C">
            <wp:extent cx="82590" cy="121920"/>
            <wp:effectExtent l="0" t="0" r="0" b="0"/>
            <wp:docPr id="6" name="Picture 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082" cy="140361"/>
                    </a:xfrm>
                    <a:prstGeom prst="rect">
                      <a:avLst/>
                    </a:prstGeom>
                  </pic:spPr>
                </pic:pic>
              </a:graphicData>
            </a:graphic>
          </wp:inline>
        </w:drawing>
      </w:r>
      <w:r w:rsidR="00F86C0B">
        <w:t xml:space="preserve"> is the individual</w:t>
      </w:r>
      <w:r w:rsidR="00F51B80">
        <w:t>’</w:t>
      </w:r>
      <w:r w:rsidR="00F86C0B">
        <w:t>s score on the outcome measure</w:t>
      </w:r>
    </w:p>
    <w:p w14:paraId="499284B1" w14:textId="0CAD2D25" w:rsidR="007567D8" w:rsidRDefault="00D81652" w:rsidP="003E4D83">
      <w:pPr>
        <w:pStyle w:val="ListBullet"/>
      </w:pPr>
      <w:r>
        <w:rPr>
          <w:noProof/>
        </w:rPr>
        <w:drawing>
          <wp:inline distT="0" distB="0" distL="0" distR="0" wp14:anchorId="6AA9AB9F" wp14:editId="102DFEFE">
            <wp:extent cx="111760" cy="118110"/>
            <wp:effectExtent l="0" t="0" r="2540" b="0"/>
            <wp:docPr id="7" name="Picture 7" descr="Beta zero"/>
            <wp:cNvGraphicFramePr/>
            <a:graphic xmlns:a="http://schemas.openxmlformats.org/drawingml/2006/main">
              <a:graphicData uri="http://schemas.openxmlformats.org/drawingml/2006/picture">
                <pic:pic xmlns:pic="http://schemas.openxmlformats.org/drawingml/2006/picture">
                  <pic:nvPicPr>
                    <pic:cNvPr id="7" name="Picture 7" descr="Beta zero is the intercept"/>
                    <pic:cNvPicPr/>
                  </pic:nvPicPr>
                  <pic:blipFill>
                    <a:blip r:embed="rId22"/>
                    <a:stretch>
                      <a:fillRect/>
                    </a:stretch>
                  </pic:blipFill>
                  <pic:spPr>
                    <a:xfrm>
                      <a:off x="0" y="0"/>
                      <a:ext cx="111760" cy="118110"/>
                    </a:xfrm>
                    <a:prstGeom prst="rect">
                      <a:avLst/>
                    </a:prstGeom>
                  </pic:spPr>
                </pic:pic>
              </a:graphicData>
            </a:graphic>
          </wp:inline>
        </w:drawing>
      </w:r>
      <w:r w:rsidR="00F86C0B">
        <w:t xml:space="preserve"> is the intercept</w:t>
      </w:r>
    </w:p>
    <w:p w14:paraId="4537D371" w14:textId="07C24627" w:rsidR="007567D8" w:rsidRDefault="00E036A1" w:rsidP="003E4D83">
      <w:pPr>
        <w:pStyle w:val="ListBullet"/>
      </w:pPr>
      <w:r w:rsidRPr="0099243E">
        <w:rPr>
          <w:noProof/>
        </w:rPr>
        <w:drawing>
          <wp:inline distT="0" distB="0" distL="0" distR="0" wp14:anchorId="430A0050" wp14:editId="71BAD51A">
            <wp:extent cx="96520" cy="100381"/>
            <wp:effectExtent l="0" t="0" r="0" b="0"/>
            <wp:docPr id="1050136867" name="Picture 1050136867"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4911" cy="109107"/>
                    </a:xfrm>
                    <a:prstGeom prst="rect">
                      <a:avLst/>
                    </a:prstGeom>
                  </pic:spPr>
                </pic:pic>
              </a:graphicData>
            </a:graphic>
          </wp:inline>
        </w:drawing>
      </w:r>
      <w:r w:rsidR="00F86C0B">
        <w:t xml:space="preserve"> is a treatment assignment indicator</w:t>
      </w:r>
    </w:p>
    <w:p w14:paraId="5BA1AD55" w14:textId="34697AB4" w:rsidR="007567D8" w:rsidRDefault="00D81652" w:rsidP="003E4D83">
      <w:pPr>
        <w:pStyle w:val="ListBullet"/>
      </w:pPr>
      <w:r>
        <w:rPr>
          <w:noProof/>
        </w:rPr>
        <w:drawing>
          <wp:inline distT="0" distB="0" distL="0" distR="0" wp14:anchorId="4D951D49" wp14:editId="03E04F44">
            <wp:extent cx="92710" cy="104775"/>
            <wp:effectExtent l="0" t="0" r="2540" b="9525"/>
            <wp:docPr id="8" name="Picture 8" descr="Beta one"/>
            <wp:cNvGraphicFramePr/>
            <a:graphic xmlns:a="http://schemas.openxmlformats.org/drawingml/2006/main">
              <a:graphicData uri="http://schemas.openxmlformats.org/drawingml/2006/picture">
                <pic:pic xmlns:pic="http://schemas.openxmlformats.org/drawingml/2006/picture">
                  <pic:nvPicPr>
                    <pic:cNvPr id="9" name="Picture 9" descr="Beta one is the coefficient representing the average treatment effect for the intervention relative to control"/>
                    <pic:cNvPicPr/>
                  </pic:nvPicPr>
                  <pic:blipFill>
                    <a:blip r:embed="rId24"/>
                    <a:stretch>
                      <a:fillRect/>
                    </a:stretch>
                  </pic:blipFill>
                  <pic:spPr>
                    <a:xfrm>
                      <a:off x="0" y="0"/>
                      <a:ext cx="92710" cy="104775"/>
                    </a:xfrm>
                    <a:prstGeom prst="rect">
                      <a:avLst/>
                    </a:prstGeom>
                  </pic:spPr>
                </pic:pic>
              </a:graphicData>
            </a:graphic>
          </wp:inline>
        </w:drawing>
      </w:r>
      <w:r w:rsidR="00F86C0B">
        <w:t xml:space="preserve"> is a coefficient representing the average treatment effect for the intervention relative to control</w:t>
      </w:r>
    </w:p>
    <w:p w14:paraId="6AF7A7E0" w14:textId="4AC835A6" w:rsidR="007567D8" w:rsidRDefault="00E036A1" w:rsidP="003E4D83">
      <w:pPr>
        <w:pStyle w:val="ListBullet"/>
      </w:pPr>
      <w:r w:rsidRPr="0099243E">
        <w:rPr>
          <w:noProof/>
        </w:rPr>
        <w:drawing>
          <wp:inline distT="0" distB="0" distL="0" distR="0" wp14:anchorId="7DBEF718" wp14:editId="221A5319">
            <wp:extent cx="86656" cy="113030"/>
            <wp:effectExtent l="0" t="0" r="8890" b="1270"/>
            <wp:docPr id="1050136869" name="Picture 105013686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914" cy="119888"/>
                    </a:xfrm>
                    <a:prstGeom prst="rect">
                      <a:avLst/>
                    </a:prstGeom>
                  </pic:spPr>
                </pic:pic>
              </a:graphicData>
            </a:graphic>
          </wp:inline>
        </w:drawing>
      </w:r>
      <w:r w:rsidR="00F86C0B">
        <w:t xml:space="preserve"> is a vector of four mean centred covariates (see Covariates section below)</w:t>
      </w:r>
    </w:p>
    <w:p w14:paraId="4E1072C5" w14:textId="636328F4" w:rsidR="007567D8" w:rsidRDefault="00E036A1" w:rsidP="003E4D83">
      <w:pPr>
        <w:pStyle w:val="ListBullet"/>
      </w:pPr>
      <w:r w:rsidRPr="0099243E">
        <w:rPr>
          <w:noProof/>
        </w:rPr>
        <w:drawing>
          <wp:inline distT="0" distB="0" distL="0" distR="0" wp14:anchorId="6E26F879" wp14:editId="68172002">
            <wp:extent cx="140600" cy="111760"/>
            <wp:effectExtent l="0" t="0" r="0" b="2540"/>
            <wp:docPr id="1050136870" name="Picture 1050136870" descr="Zee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090" cy="126457"/>
                    </a:xfrm>
                    <a:prstGeom prst="rect">
                      <a:avLst/>
                    </a:prstGeom>
                  </pic:spPr>
                </pic:pic>
              </a:graphicData>
            </a:graphic>
          </wp:inline>
        </w:drawing>
      </w:r>
      <w:r w:rsidR="00F86C0B">
        <w:t xml:space="preserve"> is the interaction of the treatment indicator vector with the mean</w:t>
      </w:r>
      <w:r w:rsidR="00F51B80">
        <w:t>-</w:t>
      </w:r>
      <w:r w:rsidR="00F86C0B">
        <w:t>centred covariate indicator vector</w:t>
      </w:r>
    </w:p>
    <w:p w14:paraId="064AA077" w14:textId="4C3E9F5F" w:rsidR="00F86C0B" w:rsidRDefault="00D81652" w:rsidP="003E4D83">
      <w:pPr>
        <w:pStyle w:val="ListBullet"/>
      </w:pPr>
      <w:r>
        <w:rPr>
          <w:noProof/>
        </w:rPr>
        <w:drawing>
          <wp:inline distT="0" distB="0" distL="0" distR="0" wp14:anchorId="1974E198" wp14:editId="6A845107">
            <wp:extent cx="80010" cy="96520"/>
            <wp:effectExtent l="0" t="0" r="0" b="0"/>
            <wp:docPr id="10" name="Picture 10" descr="epsilon"/>
            <wp:cNvGraphicFramePr/>
            <a:graphic xmlns:a="http://schemas.openxmlformats.org/drawingml/2006/main">
              <a:graphicData uri="http://schemas.openxmlformats.org/drawingml/2006/picture">
                <pic:pic xmlns:pic="http://schemas.openxmlformats.org/drawingml/2006/picture">
                  <pic:nvPicPr>
                    <pic:cNvPr id="12" name="Picture 12" descr="epsilon is the individual error term"/>
                    <pic:cNvPicPr/>
                  </pic:nvPicPr>
                  <pic:blipFill>
                    <a:blip r:embed="rId27"/>
                    <a:stretch>
                      <a:fillRect/>
                    </a:stretch>
                  </pic:blipFill>
                  <pic:spPr>
                    <a:xfrm>
                      <a:off x="0" y="0"/>
                      <a:ext cx="80010" cy="96520"/>
                    </a:xfrm>
                    <a:prstGeom prst="rect">
                      <a:avLst/>
                    </a:prstGeom>
                  </pic:spPr>
                </pic:pic>
              </a:graphicData>
            </a:graphic>
          </wp:inline>
        </w:drawing>
      </w:r>
      <w:r w:rsidR="00F86C0B">
        <w:t xml:space="preserve"> is the individual error term.</w:t>
      </w:r>
    </w:p>
    <w:p w14:paraId="77FAA927" w14:textId="7E2EBB4F" w:rsidR="00F86C0B" w:rsidRDefault="00F86C0B" w:rsidP="00F86C0B">
      <w:r>
        <w:t xml:space="preserve">All outcomes have directional hypotheses so we undertook a one-sided test for all hypotheses. </w:t>
      </w:r>
      <w:r w:rsidR="00FF2ADF">
        <w:t xml:space="preserve">As there were </w:t>
      </w:r>
      <w:r w:rsidR="00A800EF">
        <w:t xml:space="preserve">two primary </w:t>
      </w:r>
      <w:r w:rsidR="00FF2ADF">
        <w:t>outcomes, we adjusted the p-values using the Holm method to maintain a family-wise error rate of 0.1</w:t>
      </w:r>
      <w:r w:rsidR="00531A0E">
        <w:t xml:space="preserve"> (Rubin 2021)</w:t>
      </w:r>
      <w:r w:rsidR="00FF2ADF">
        <w:t>.</w:t>
      </w:r>
      <w:r w:rsidR="00DB0AA0">
        <w:t xml:space="preserve"> This involves ordering </w:t>
      </w:r>
      <w:r w:rsidR="00DB0AA0" w:rsidRPr="3EC9E388">
        <w:rPr>
          <w:i/>
          <w:iCs/>
        </w:rPr>
        <w:t>m</w:t>
      </w:r>
      <w:r w:rsidR="00DB0AA0">
        <w:t xml:space="preserve"> p-values lowest to highest and evaluating them in a stepwise way. The first is multiplied by </w:t>
      </w:r>
      <w:r w:rsidR="00DB0AA0" w:rsidRPr="3EC9E388">
        <w:rPr>
          <w:i/>
          <w:iCs/>
        </w:rPr>
        <w:t xml:space="preserve">m </w:t>
      </w:r>
      <w:r w:rsidR="00DB0AA0">
        <w:t xml:space="preserve">and if </w:t>
      </w:r>
      <w:r w:rsidR="00DB0AA0" w:rsidRPr="3EC9E388">
        <w:rPr>
          <w:i/>
          <w:iCs/>
        </w:rPr>
        <w:t>adjusted</w:t>
      </w:r>
      <w:r w:rsidR="00DB0AA0">
        <w:t xml:space="preserve"> </w:t>
      </w:r>
      <w:r w:rsidR="00A41224">
        <w:rPr>
          <w:i/>
          <w:iCs/>
        </w:rPr>
        <w:t xml:space="preserve">p-value </w:t>
      </w:r>
      <w:r w:rsidR="00A41224" w:rsidRPr="00543062">
        <w:rPr>
          <w:noProof/>
        </w:rPr>
        <w:drawing>
          <wp:inline distT="0" distB="0" distL="0" distR="0" wp14:anchorId="6C5FD701" wp14:editId="33C827DE">
            <wp:extent cx="104790" cy="95263"/>
            <wp:effectExtent l="0" t="0" r="9525" b="0"/>
            <wp:docPr id="26" name="Picture 26" descr="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790" cy="95263"/>
                    </a:xfrm>
                    <a:prstGeom prst="rect">
                      <a:avLst/>
                    </a:prstGeom>
                  </pic:spPr>
                </pic:pic>
              </a:graphicData>
            </a:graphic>
          </wp:inline>
        </w:drawing>
      </w:r>
      <w:r w:rsidR="00DB0AA0" w:rsidRPr="3EC9E388">
        <w:rPr>
          <w:i/>
          <w:iCs/>
        </w:rPr>
        <w:t xml:space="preserve"> alpha</w:t>
      </w:r>
      <w:r w:rsidR="00DB0AA0">
        <w:t xml:space="preserve"> then no further comparisons are made. The second p-value is multiplied by </w:t>
      </w:r>
      <w:r w:rsidR="00DB0AA0" w:rsidRPr="3EC9E388">
        <w:rPr>
          <w:i/>
          <w:iCs/>
        </w:rPr>
        <w:t>m</w:t>
      </w:r>
      <w:r w:rsidR="00DB0AA0" w:rsidRPr="3EC9E388">
        <w:rPr>
          <w:rFonts w:cstheme="minorBidi"/>
          <w:i/>
          <w:iCs/>
        </w:rPr>
        <w:t>-</w:t>
      </w:r>
      <w:r w:rsidR="00DB0AA0" w:rsidRPr="3EC9E388">
        <w:rPr>
          <w:i/>
          <w:iCs/>
        </w:rPr>
        <w:t>1</w:t>
      </w:r>
      <w:r w:rsidR="00DB0AA0">
        <w:t xml:space="preserve"> and if</w:t>
      </w:r>
      <w:r w:rsidR="00DB0AA0" w:rsidRPr="3EC9E388">
        <w:rPr>
          <w:i/>
          <w:iCs/>
        </w:rPr>
        <w:t xml:space="preserve"> adjusted</w:t>
      </w:r>
      <w:r w:rsidR="00DB0AA0">
        <w:t xml:space="preserve"> </w:t>
      </w:r>
      <w:r w:rsidR="00A41224">
        <w:rPr>
          <w:i/>
          <w:iCs/>
        </w:rPr>
        <w:t xml:space="preserve">p-value </w:t>
      </w:r>
      <w:r w:rsidR="00A41224" w:rsidRPr="00543062">
        <w:rPr>
          <w:noProof/>
        </w:rPr>
        <w:drawing>
          <wp:inline distT="0" distB="0" distL="0" distR="0" wp14:anchorId="246255A6" wp14:editId="6B7C7CB8">
            <wp:extent cx="104790" cy="95263"/>
            <wp:effectExtent l="0" t="0" r="9525" b="0"/>
            <wp:docPr id="28" name="Picture 28" descr="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790" cy="95263"/>
                    </a:xfrm>
                    <a:prstGeom prst="rect">
                      <a:avLst/>
                    </a:prstGeom>
                  </pic:spPr>
                </pic:pic>
              </a:graphicData>
            </a:graphic>
          </wp:inline>
        </w:drawing>
      </w:r>
      <w:r w:rsidR="00DB0AA0" w:rsidRPr="3EC9E388">
        <w:rPr>
          <w:i/>
          <w:iCs/>
        </w:rPr>
        <w:t xml:space="preserve"> alpha</w:t>
      </w:r>
      <w:r w:rsidR="00DB0AA0">
        <w:t xml:space="preserve"> then no further comparisons are made. This continues until the last p-value is multiplied by 1. We chose to multiply p rather than divide alpha for simplicity of reporting.</w:t>
      </w:r>
    </w:p>
    <w:p w14:paraId="37EF5D35" w14:textId="3CEFA3F9" w:rsidR="06DA6DB6" w:rsidRDefault="77C9DC5D" w:rsidP="3EC9E388">
      <w:pPr>
        <w:pStyle w:val="Heading4"/>
      </w:pPr>
      <w:r>
        <w:lastRenderedPageBreak/>
        <w:t>Subgroup analyses</w:t>
      </w:r>
    </w:p>
    <w:p w14:paraId="663838A6" w14:textId="6ABAC0EF" w:rsidR="00F86C0B" w:rsidRDefault="00F86C0B" w:rsidP="00F86C0B">
      <w:r>
        <w:t>We undertook subgroup an</w:t>
      </w:r>
      <w:r w:rsidR="001A414B">
        <w:t>alysis by gendered industry (mal</w:t>
      </w:r>
      <w:r>
        <w:t>e</w:t>
      </w:r>
      <w:r w:rsidR="007567D8">
        <w:t>-</w:t>
      </w:r>
      <w:r>
        <w:t>dominated, female</w:t>
      </w:r>
      <w:r w:rsidR="007567D8">
        <w:t>-</w:t>
      </w:r>
      <w:r>
        <w:t xml:space="preserve">dominated and mixed). </w:t>
      </w:r>
      <w:r w:rsidR="00305725">
        <w:t>Th</w:t>
      </w:r>
      <w:r w:rsidR="001A414B">
        <w:t xml:space="preserve">e classification of industry by gender segregation was conducted </w:t>
      </w:r>
      <w:r w:rsidR="001A7876">
        <w:t>using data from</w:t>
      </w:r>
      <w:r w:rsidR="001A414B">
        <w:t xml:space="preserve"> a 2019 report on gender segregation in the </w:t>
      </w:r>
      <w:r w:rsidR="007567D8">
        <w:t>w</w:t>
      </w:r>
      <w:r w:rsidR="001A414B">
        <w:t>orkforce, published by the</w:t>
      </w:r>
      <w:r w:rsidR="001A7876">
        <w:t xml:space="preserve"> Workplace Gender Equality Agency (</w:t>
      </w:r>
      <w:r w:rsidR="001A414B">
        <w:t>WGEA)</w:t>
      </w:r>
      <w:r w:rsidR="007567D8">
        <w:t>:</w:t>
      </w:r>
    </w:p>
    <w:p w14:paraId="5D6D1E0A" w14:textId="78BC94F5" w:rsidR="00305725" w:rsidRDefault="00305725" w:rsidP="003E4D83">
      <w:pPr>
        <w:pStyle w:val="ListBullet"/>
      </w:pPr>
      <w:r>
        <w:t>Male dominated industries = ‘Agriculture, Forestry and Fishing’, ‘Manufacturing’, ‘Electricity, Gas, Water’, ‘Construction’, ‘Wholesale Trade’, Mining’, ‘Transport, Postal and Warehousing’</w:t>
      </w:r>
    </w:p>
    <w:p w14:paraId="4AFF1BE7" w14:textId="3707C917" w:rsidR="00305725" w:rsidRDefault="00305725" w:rsidP="003E4D83">
      <w:pPr>
        <w:pStyle w:val="ListBullet"/>
      </w:pPr>
      <w:r>
        <w:t>Female dominated industries = ‘Health Care and Social Assistance’, Education and Training’</w:t>
      </w:r>
    </w:p>
    <w:p w14:paraId="45E0E750" w14:textId="65EA8929" w:rsidR="00305725" w:rsidRDefault="00305725" w:rsidP="003E4D83">
      <w:pPr>
        <w:pStyle w:val="ListBullet"/>
      </w:pPr>
      <w:r>
        <w:t xml:space="preserve">Mixed industries = ‘Retail Trade’, Accommodation and Food Services’, Administrative and Supportive Services’, ‘Public Administration and Safety’, ‘Rental, Hiring and Real Estate Services’, ‘Financial and Insurance Services’, ‘Arts and Recreation Services’, ‘Other Services’, </w:t>
      </w:r>
      <w:r w:rsidR="0AD18943">
        <w:t>‘Professional, Scientific and Technical Services’, ‘Information, Media and Telecommunications’</w:t>
      </w:r>
    </w:p>
    <w:p w14:paraId="719CCC7F" w14:textId="0F2A4932" w:rsidR="00B94CAF" w:rsidRDefault="00B94CAF" w:rsidP="00F86C0B">
      <w:r>
        <w:t>Results of subgroup analyses are provided in Tables 6 to 9 in Appendix 1.</w:t>
      </w:r>
    </w:p>
    <w:p w14:paraId="15E21F55" w14:textId="77777777" w:rsidR="00F86C0B" w:rsidRDefault="00F86C0B" w:rsidP="00F86C0B">
      <w:pPr>
        <w:pStyle w:val="Heading4"/>
      </w:pPr>
      <w:r>
        <w:t>Covariates</w:t>
      </w:r>
    </w:p>
    <w:p w14:paraId="1ED8D05B" w14:textId="5928385C" w:rsidR="00F86C0B" w:rsidRDefault="00F86C0B" w:rsidP="00F86C0B">
      <w:r>
        <w:t>We adjusted for the following pre-randomisation variables (collected prior to randomisation) in our regression:</w:t>
      </w:r>
    </w:p>
    <w:p w14:paraId="7EBDE9AE" w14:textId="25CC1B41" w:rsidR="00F86C0B" w:rsidRDefault="00F86C0B" w:rsidP="003E4D83">
      <w:pPr>
        <w:pStyle w:val="ListBullet"/>
      </w:pPr>
      <w:r>
        <w:t>Male (binary variable, 1 = male, 0 = not male</w:t>
      </w:r>
      <w:r w:rsidR="00340C9F">
        <w:t xml:space="preserve"> (</w:t>
      </w:r>
      <w:r w:rsidR="007567D8">
        <w:t>that is,</w:t>
      </w:r>
      <w:r w:rsidR="00340C9F">
        <w:t xml:space="preserve"> female, binary</w:t>
      </w:r>
      <w:r w:rsidR="007567D8">
        <w:t xml:space="preserve"> and</w:t>
      </w:r>
      <w:r w:rsidR="00340C9F">
        <w:t xml:space="preserve"> third gender</w:t>
      </w:r>
      <w:r>
        <w:t>)</w:t>
      </w:r>
    </w:p>
    <w:p w14:paraId="56BAA202" w14:textId="77777777" w:rsidR="00F86C0B" w:rsidRDefault="00F86C0B" w:rsidP="003E4D83">
      <w:pPr>
        <w:pStyle w:val="ListBullet"/>
      </w:pPr>
      <w:r>
        <w:t>Education (binary variable, 1 = has tertiary education, 0 = does not have tertiary education)</w:t>
      </w:r>
    </w:p>
    <w:p w14:paraId="50E612D9" w14:textId="73B9EE90" w:rsidR="00F86C0B" w:rsidRDefault="00F86C0B" w:rsidP="003E4D83">
      <w:pPr>
        <w:pStyle w:val="ListBullet"/>
      </w:pPr>
      <w:r>
        <w:t>CALD (binary variable, 1 = born outside Australia</w:t>
      </w:r>
      <w:r w:rsidR="00FD6087">
        <w:t xml:space="preserve"> AND </w:t>
      </w:r>
      <w:r>
        <w:t xml:space="preserve">home language was a language other than English, 0 = born in Australia </w:t>
      </w:r>
      <w:r w:rsidR="00FD6087">
        <w:t>OR</w:t>
      </w:r>
      <w:r>
        <w:t xml:space="preserve"> home language was English)</w:t>
      </w:r>
    </w:p>
    <w:p w14:paraId="3A1E2CBD" w14:textId="223E4BEE" w:rsidR="00531A0E" w:rsidRDefault="00F86C0B" w:rsidP="00531A0E">
      <w:pPr>
        <w:pStyle w:val="ListBullet"/>
        <w:ind w:left="714" w:hanging="357"/>
      </w:pPr>
      <w:r>
        <w:t>Prior awareness of the new paid leave entitlement (binary variable, 1 = did NOT identify that there was a leave that casuals could access (NOT aware), 0 = identified that there was a leave that casuals could access (AWARE)</w:t>
      </w:r>
      <w:r w:rsidR="007567D8">
        <w:t>.</w:t>
      </w:r>
      <w:r w:rsidR="00531A0E">
        <w:br w:type="page"/>
      </w:r>
    </w:p>
    <w:p w14:paraId="16CA27E8" w14:textId="5DCD8504" w:rsidR="00081366" w:rsidRPr="0073375B" w:rsidRDefault="008D369B" w:rsidP="00191A5D">
      <w:pPr>
        <w:pStyle w:val="Heading2"/>
      </w:pPr>
      <w:bookmarkStart w:id="4" w:name="_Toc175061483"/>
      <w:r>
        <w:lastRenderedPageBreak/>
        <w:t>Results and discussion</w:t>
      </w:r>
      <w:bookmarkEnd w:id="4"/>
    </w:p>
    <w:p w14:paraId="6469AA9F" w14:textId="415A39D0" w:rsidR="003B4EE0" w:rsidRDefault="00D66AF7" w:rsidP="003B4EE0">
      <w:pPr>
        <w:pStyle w:val="Heading3"/>
      </w:pPr>
      <w:r>
        <w:t>Discrimination outcomes</w:t>
      </w:r>
    </w:p>
    <w:p w14:paraId="6B12E6D5" w14:textId="746DC27A" w:rsidR="00F86C0B" w:rsidRDefault="00D66AF7" w:rsidP="003E7ED7">
      <w:pPr>
        <w:pStyle w:val="Heading4"/>
      </w:pPr>
      <w:r>
        <w:t>Bonus</w:t>
      </w:r>
    </w:p>
    <w:p w14:paraId="577E024E" w14:textId="31CAB9C2" w:rsidR="00B94CAF" w:rsidRDefault="003E7ED7" w:rsidP="003E7ED7">
      <w:r w:rsidRPr="003E7ED7">
        <w:t xml:space="preserve">Our first primary hypothesis </w:t>
      </w:r>
      <w:r w:rsidR="00745998">
        <w:t>wa</w:t>
      </w:r>
      <w:r w:rsidRPr="003E7ED7">
        <w:t>s that the mean bonus amount given to the victim</w:t>
      </w:r>
      <w:r w:rsidR="00745998">
        <w:t>-</w:t>
      </w:r>
      <w:r w:rsidRPr="003E7ED7">
        <w:t>survivor in the vignette (Section B</w:t>
      </w:r>
      <w:r w:rsidR="007567D8">
        <w:t xml:space="preserve"> in Figure 1</w:t>
      </w:r>
      <w:r w:rsidRPr="003E7ED7">
        <w:t xml:space="preserve">) </w:t>
      </w:r>
      <w:r w:rsidR="00745998">
        <w:t>would</w:t>
      </w:r>
      <w:r w:rsidR="00745998" w:rsidRPr="003E7ED7">
        <w:t xml:space="preserve"> </w:t>
      </w:r>
      <w:r w:rsidRPr="003E7ED7">
        <w:t>be higher in the treatment group compared to the control group. Respondents could choose any amount from $0 to $1,000.</w:t>
      </w:r>
    </w:p>
    <w:p w14:paraId="02E7C577" w14:textId="49450FA2" w:rsidR="003E7ED7" w:rsidRPr="003E7ED7" w:rsidRDefault="003E7ED7" w:rsidP="003E7ED7">
      <w:r w:rsidRPr="003E7ED7">
        <w:t>This hypothe</w:t>
      </w:r>
      <w:r w:rsidR="00B94CAF">
        <w:t>sis was confirmed in</w:t>
      </w:r>
      <w:r w:rsidRPr="003E7ED7">
        <w:t xml:space="preserve"> the survey experiment. The mean bonus amount was significantly higher in the treatment group ($477.2) compared to the mean bonus amount in</w:t>
      </w:r>
      <w:r w:rsidR="00933978">
        <w:t xml:space="preserve"> the control group ($457.1, s</w:t>
      </w:r>
      <w:r w:rsidR="00B94CAF">
        <w:t>ee Figure 2)</w:t>
      </w:r>
      <w:r w:rsidRPr="003E7ED7">
        <w:t>. The effect size of the awareness</w:t>
      </w:r>
      <w:r w:rsidR="007567D8">
        <w:t xml:space="preserve"> and </w:t>
      </w:r>
      <w:r w:rsidRPr="003E7ED7">
        <w:t>understanding intervention on this bonus outcome measure was $20.1</w:t>
      </w:r>
      <w:r w:rsidR="00745998">
        <w:t>0.</w:t>
      </w:r>
    </w:p>
    <w:p w14:paraId="22E69D2A" w14:textId="3FD05559" w:rsidR="007567D8" w:rsidRDefault="00746ABF" w:rsidP="00746ABF">
      <w:pPr>
        <w:pStyle w:val="Caption"/>
      </w:pPr>
      <w:r>
        <w:t xml:space="preserve">Figure 2. </w:t>
      </w:r>
      <w:r w:rsidR="007567D8">
        <w:t xml:space="preserve">Mean bonus amount </w:t>
      </w:r>
      <w:r w:rsidR="00531A0E">
        <w:t xml:space="preserve">($) </w:t>
      </w:r>
      <w:r w:rsidR="007567D8">
        <w:t>provided to the fictional victim-survivor by respondents in the treatment and control group</w:t>
      </w:r>
    </w:p>
    <w:p w14:paraId="7F7AEE46" w14:textId="5C30ED74" w:rsidR="003E7ED7" w:rsidRPr="003E7ED7" w:rsidRDefault="00524A34" w:rsidP="003E7ED7">
      <w:r w:rsidRPr="00524A34">
        <w:rPr>
          <w:noProof/>
        </w:rPr>
        <w:drawing>
          <wp:inline distT="0" distB="0" distL="0" distR="0" wp14:anchorId="2D00FADA" wp14:editId="2FD12886">
            <wp:extent cx="5525754" cy="3406140"/>
            <wp:effectExtent l="0" t="0" r="0" b="3810"/>
            <wp:docPr id="19" name="Picture 19" descr="Figure 2 has two columns in the graph, one called control and one called treatment. The control has the number 457 attached to it, while the treatment has the number 477 attached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2995" cy="3429096"/>
                    </a:xfrm>
                    <a:prstGeom prst="rect">
                      <a:avLst/>
                    </a:prstGeom>
                  </pic:spPr>
                </pic:pic>
              </a:graphicData>
            </a:graphic>
          </wp:inline>
        </w:drawing>
      </w:r>
    </w:p>
    <w:p w14:paraId="6B97DEAD" w14:textId="1A7EB12A" w:rsidR="000A1193" w:rsidRDefault="00A36728" w:rsidP="000A1193">
      <w:pPr>
        <w:pStyle w:val="SourceNotesText"/>
      </w:pPr>
      <w:r>
        <w:t xml:space="preserve">N= 2720, </w:t>
      </w:r>
      <w:r w:rsidR="00CB0BD8">
        <w:t>p=0.</w:t>
      </w:r>
      <w:r w:rsidR="0063090C">
        <w:t xml:space="preserve">03 </w:t>
      </w:r>
      <w:r w:rsidR="00CB0BD8" w:rsidRPr="005E0FB3">
        <w:t>(Holm adjustment carried out)</w:t>
      </w:r>
    </w:p>
    <w:p w14:paraId="3766FB03" w14:textId="6D79B5FD" w:rsidR="008F3D9F" w:rsidRDefault="00D66AF7" w:rsidP="008F3D9F">
      <w:pPr>
        <w:pStyle w:val="Heading4"/>
      </w:pPr>
      <w:r>
        <w:t>Recommend for management</w:t>
      </w:r>
    </w:p>
    <w:p w14:paraId="45D4F6AD" w14:textId="7147AB69" w:rsidR="00B94CAF" w:rsidRDefault="008F3D9F" w:rsidP="008F3D9F">
      <w:r>
        <w:t xml:space="preserve">Our second primary hypothesis </w:t>
      </w:r>
      <w:r w:rsidR="00CA2437">
        <w:t>wa</w:t>
      </w:r>
      <w:r>
        <w:t xml:space="preserve">s that there </w:t>
      </w:r>
      <w:r w:rsidR="00CA2437">
        <w:t xml:space="preserve">would </w:t>
      </w:r>
      <w:r>
        <w:t xml:space="preserve">be a higher proportion of people recommending </w:t>
      </w:r>
      <w:r w:rsidR="00397A56">
        <w:t xml:space="preserve">a </w:t>
      </w:r>
      <w:r>
        <w:t xml:space="preserve">management position for the </w:t>
      </w:r>
      <w:r w:rsidR="00397A56">
        <w:t xml:space="preserve">fictional </w:t>
      </w:r>
      <w:r w:rsidR="00824134">
        <w:t>victim-survivor</w:t>
      </w:r>
      <w:r>
        <w:t xml:space="preserve"> in the treatment group compared to the control group.</w:t>
      </w:r>
    </w:p>
    <w:p w14:paraId="55DBFF4A" w14:textId="252DD727" w:rsidR="008F3D9F" w:rsidRDefault="008F3D9F" w:rsidP="008F3D9F">
      <w:r>
        <w:lastRenderedPageBreak/>
        <w:t xml:space="preserve">This hypothesis was also confirmed in the survey experiment. The proportion of respondents recommending the </w:t>
      </w:r>
      <w:r w:rsidR="00824134">
        <w:t>victim-survivor</w:t>
      </w:r>
      <w:r>
        <w:t xml:space="preserve"> in the vignette for a managerial position was significantly higher in the treatment group (44.3%) compared to the control group (34.8%)</w:t>
      </w:r>
      <w:r w:rsidR="00B94CAF">
        <w:t xml:space="preserve"> (Figure 3)</w:t>
      </w:r>
      <w:r>
        <w:t>. The effect size of the awareness</w:t>
      </w:r>
      <w:r w:rsidR="00531A0E">
        <w:t xml:space="preserve"> and </w:t>
      </w:r>
      <w:r>
        <w:t>understanding intervention on this outcome measure was 9.5%.</w:t>
      </w:r>
    </w:p>
    <w:p w14:paraId="4B548EEF" w14:textId="5F6DA0B2" w:rsidR="00531A0E" w:rsidRDefault="00746ABF" w:rsidP="00746ABF">
      <w:pPr>
        <w:pStyle w:val="Caption"/>
      </w:pPr>
      <w:r>
        <w:t xml:space="preserve">Figure 3. </w:t>
      </w:r>
      <w:r w:rsidR="00531A0E">
        <w:t>Percentage of respondents recommending the fictional victim-survivor for a managerial position by treatment and control group</w:t>
      </w:r>
    </w:p>
    <w:p w14:paraId="672D71F3" w14:textId="5DB1DB46" w:rsidR="00A8481E" w:rsidRDefault="00524A34" w:rsidP="003E4D83">
      <w:r w:rsidRPr="00524A34">
        <w:rPr>
          <w:noProof/>
        </w:rPr>
        <w:drawing>
          <wp:inline distT="0" distB="0" distL="0" distR="0" wp14:anchorId="4FA29AB1" wp14:editId="5BB4DB57">
            <wp:extent cx="5436653" cy="3276600"/>
            <wp:effectExtent l="0" t="0" r="0" b="0"/>
            <wp:docPr id="21" name="Picture 21" descr="Figure 3 has two columns in the graph, one called control and one called treatment. The control has the number 34.8 attached to it, while the treatment has the number 44.3 attach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8532" cy="3289786"/>
                    </a:xfrm>
                    <a:prstGeom prst="rect">
                      <a:avLst/>
                    </a:prstGeom>
                  </pic:spPr>
                </pic:pic>
              </a:graphicData>
            </a:graphic>
          </wp:inline>
        </w:drawing>
      </w:r>
    </w:p>
    <w:p w14:paraId="0D63BF59" w14:textId="5B504807" w:rsidR="00A8481E" w:rsidRDefault="00A36728" w:rsidP="00A8481E">
      <w:pPr>
        <w:pStyle w:val="SourceNotesText"/>
      </w:pPr>
      <w:r>
        <w:t xml:space="preserve">N= 2720, </w:t>
      </w:r>
      <w:r w:rsidR="00A8481E">
        <w:t xml:space="preserve">p=0.00 </w:t>
      </w:r>
      <w:r w:rsidR="00A8481E" w:rsidRPr="005E0FB3">
        <w:t>(Holm adjustment carried out)</w:t>
      </w:r>
    </w:p>
    <w:p w14:paraId="1B1D6385" w14:textId="6691FE3A" w:rsidR="00E527FD" w:rsidRDefault="003E43B1" w:rsidP="00E527FD">
      <w:r>
        <w:t xml:space="preserve">Based on the findings above, we conclude that raising awareness and understanding of FDV leave legislation and provisions </w:t>
      </w:r>
      <w:r w:rsidR="40BC3CF2">
        <w:t>resulted in more favourable workplace evaluations of a victim-survivor of FDV.</w:t>
      </w:r>
    </w:p>
    <w:p w14:paraId="266BDD0D" w14:textId="09D2F0FB" w:rsidR="00E527FD" w:rsidRDefault="00D66AF7" w:rsidP="003E43B1">
      <w:pPr>
        <w:pStyle w:val="Heading4"/>
      </w:pPr>
      <w:r>
        <w:t>Competence</w:t>
      </w:r>
    </w:p>
    <w:p w14:paraId="17D32124" w14:textId="5E3D0AB4" w:rsidR="00B94CAF" w:rsidRDefault="003E43B1" w:rsidP="00E527FD">
      <w:r w:rsidRPr="003E43B1">
        <w:t xml:space="preserve">The competence scale asked respondents to rate the </w:t>
      </w:r>
      <w:r w:rsidR="00824134">
        <w:t>victim-survivor</w:t>
      </w:r>
      <w:r w:rsidRPr="003E43B1">
        <w:t xml:space="preserve"> on 6 characteristics (</w:t>
      </w:r>
      <w:r w:rsidR="00531A0E">
        <w:t>such as</w:t>
      </w:r>
      <w:r w:rsidRPr="003E43B1">
        <w:t xml:space="preserve"> </w:t>
      </w:r>
      <w:r w:rsidR="00531A0E">
        <w:t>‘</w:t>
      </w:r>
      <w:r w:rsidRPr="003E43B1">
        <w:t>capable</w:t>
      </w:r>
      <w:r w:rsidR="00531A0E">
        <w:t>’</w:t>
      </w:r>
      <w:r w:rsidRPr="003E43B1">
        <w:t xml:space="preserve">) on a six-point </w:t>
      </w:r>
      <w:r w:rsidR="00833A18" w:rsidRPr="003E43B1">
        <w:t>Likert</w:t>
      </w:r>
      <w:r w:rsidRPr="003E43B1">
        <w:t xml:space="preserve"> scale </w:t>
      </w:r>
      <w:r w:rsidR="00531A0E">
        <w:t>(</w:t>
      </w:r>
      <w:r w:rsidRPr="003E43B1">
        <w:t xml:space="preserve">not at all </w:t>
      </w:r>
      <w:r w:rsidR="00531A0E">
        <w:t>[</w:t>
      </w:r>
      <w:r w:rsidRPr="003E43B1">
        <w:t>1</w:t>
      </w:r>
      <w:r w:rsidR="00531A0E">
        <w:t>]</w:t>
      </w:r>
      <w:r w:rsidRPr="003E43B1">
        <w:t xml:space="preserve"> to extremely </w:t>
      </w:r>
      <w:r w:rsidR="00531A0E">
        <w:t>[</w:t>
      </w:r>
      <w:r w:rsidRPr="003E43B1">
        <w:t>6</w:t>
      </w:r>
      <w:r w:rsidR="00531A0E">
        <w:t>])</w:t>
      </w:r>
      <w:r w:rsidRPr="003E43B1">
        <w:t>. Higher scores indicate higher competence.</w:t>
      </w:r>
    </w:p>
    <w:p w14:paraId="11CBE75C" w14:textId="645130BA" w:rsidR="00C07BD8" w:rsidRDefault="003E43B1" w:rsidP="00524A34">
      <w:r w:rsidRPr="003E43B1">
        <w:t xml:space="preserve">We hypothesised that the mean competence score </w:t>
      </w:r>
      <w:r w:rsidR="008F18F2">
        <w:t>would</w:t>
      </w:r>
      <w:r w:rsidR="008F18F2" w:rsidRPr="003E43B1">
        <w:t xml:space="preserve"> </w:t>
      </w:r>
      <w:r w:rsidRPr="003E43B1">
        <w:t xml:space="preserve">be higher in the treatment group compared to the control group. This hypothesis was confirmed. </w:t>
      </w:r>
      <w:r w:rsidR="00B94CAF">
        <w:t>As shown in Figure 4, t</w:t>
      </w:r>
      <w:r w:rsidRPr="003E43B1">
        <w:t>he mean competence score was significantly higher in the treatment group (4.13) compared to the control group (4.06)</w:t>
      </w:r>
      <w:r w:rsidR="008F18F2">
        <w:t>, a difference of 0.07 points</w:t>
      </w:r>
      <w:r w:rsidRPr="003E43B1">
        <w:t>.</w:t>
      </w:r>
    </w:p>
    <w:p w14:paraId="19C74955" w14:textId="629E8CE0" w:rsidR="00E2074D" w:rsidRDefault="00E2074D" w:rsidP="00E2074D">
      <w:pPr>
        <w:spacing w:after="0" w:line="240" w:lineRule="auto"/>
      </w:pPr>
      <w:r>
        <w:br w:type="page"/>
      </w:r>
    </w:p>
    <w:p w14:paraId="5D9D7264" w14:textId="235B872B" w:rsidR="00531A0E" w:rsidRDefault="00746ABF" w:rsidP="00746ABF">
      <w:pPr>
        <w:pStyle w:val="Caption"/>
      </w:pPr>
      <w:r>
        <w:lastRenderedPageBreak/>
        <w:t xml:space="preserve">Figure 4. </w:t>
      </w:r>
      <w:r w:rsidR="00531A0E">
        <w:t>Mean competence rating of the fictional victim-survivor by respondents in the treatment and control groups</w:t>
      </w:r>
    </w:p>
    <w:p w14:paraId="61E554C2" w14:textId="0A37C61D" w:rsidR="003E43B1" w:rsidRDefault="00524A34" w:rsidP="00E527FD">
      <w:r w:rsidRPr="00524A34">
        <w:rPr>
          <w:noProof/>
        </w:rPr>
        <w:drawing>
          <wp:inline distT="0" distB="0" distL="0" distR="0" wp14:anchorId="77A3AB97" wp14:editId="4AB1D9B9">
            <wp:extent cx="5185946" cy="3093720"/>
            <wp:effectExtent l="0" t="0" r="0" b="0"/>
            <wp:docPr id="22" name="Picture 22" descr="Figure 4 has two columns in the graph, one called control and one called treatment. The control has the number 4.06 attached to it, while the treatment has the number 4.13 attach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9041" cy="3095567"/>
                    </a:xfrm>
                    <a:prstGeom prst="rect">
                      <a:avLst/>
                    </a:prstGeom>
                  </pic:spPr>
                </pic:pic>
              </a:graphicData>
            </a:graphic>
          </wp:inline>
        </w:drawing>
      </w:r>
    </w:p>
    <w:p w14:paraId="640A3906" w14:textId="0059480B" w:rsidR="003E43B1" w:rsidRDefault="00A36728" w:rsidP="003E43B1">
      <w:pPr>
        <w:pStyle w:val="SourceNotesText"/>
      </w:pPr>
      <w:r>
        <w:t xml:space="preserve">N= 2720, </w:t>
      </w:r>
      <w:r w:rsidR="003E43B1">
        <w:t>p=0.02</w:t>
      </w:r>
    </w:p>
    <w:p w14:paraId="7A503EBD" w14:textId="6748EF94" w:rsidR="003E43B1" w:rsidRDefault="00D66AF7" w:rsidP="003E43B1">
      <w:pPr>
        <w:pStyle w:val="Heading3"/>
      </w:pPr>
      <w:r>
        <w:t>Attitude outcomes</w:t>
      </w:r>
    </w:p>
    <w:p w14:paraId="05311233" w14:textId="560E6CD0" w:rsidR="003E43B1" w:rsidRDefault="003E43B1" w:rsidP="003E43B1">
      <w:pPr>
        <w:pStyle w:val="Heading4"/>
      </w:pPr>
      <w:r>
        <w:t>Attitudes towards domestic violence (AVAWS scale)</w:t>
      </w:r>
    </w:p>
    <w:p w14:paraId="36F8C20D" w14:textId="7F032DE1" w:rsidR="003E43B1" w:rsidRDefault="003E43B1" w:rsidP="003E43B1">
      <w:r>
        <w:t xml:space="preserve">This scale contains 12 statements on domestic violence and respondents were asked to rate their level of agreement on a four-point scale </w:t>
      </w:r>
      <w:r w:rsidR="00531A0E">
        <w:t>(‘</w:t>
      </w:r>
      <w:r>
        <w:t>Strongly disagree</w:t>
      </w:r>
      <w:r w:rsidR="00933978">
        <w:t>’</w:t>
      </w:r>
      <w:r>
        <w:t xml:space="preserve"> </w:t>
      </w:r>
      <w:r w:rsidR="00531A0E">
        <w:t>[1]</w:t>
      </w:r>
      <w:r>
        <w:t xml:space="preserve"> to </w:t>
      </w:r>
      <w:r w:rsidR="00933978">
        <w:t>‘</w:t>
      </w:r>
      <w:r>
        <w:t>Strongly agree</w:t>
      </w:r>
      <w:r w:rsidR="00933978">
        <w:t>’</w:t>
      </w:r>
      <w:r>
        <w:t xml:space="preserve"> </w:t>
      </w:r>
      <w:r w:rsidR="00531A0E">
        <w:t>[4])</w:t>
      </w:r>
      <w:r>
        <w:t>. For this scale, higher score</w:t>
      </w:r>
      <w:r w:rsidR="002716D5">
        <w:t>s represent</w:t>
      </w:r>
      <w:r w:rsidR="00CD321D">
        <w:t xml:space="preserve"> attitudes that condone, excuse or dismiss</w:t>
      </w:r>
      <w:r>
        <w:t xml:space="preserve"> domestic violence.</w:t>
      </w:r>
    </w:p>
    <w:p w14:paraId="003945E4" w14:textId="10E22A17" w:rsidR="003E43B1" w:rsidRDefault="003E43B1" w:rsidP="003E43B1">
      <w:r>
        <w:t xml:space="preserve">We hypothesised that mean AVAWS score </w:t>
      </w:r>
      <w:r w:rsidR="00531A0E">
        <w:t xml:space="preserve">would </w:t>
      </w:r>
      <w:r>
        <w:t>be lower in the treatment group compared to the control group (</w:t>
      </w:r>
      <w:r w:rsidR="00531A0E">
        <w:t>that is, there would be an</w:t>
      </w:r>
      <w:r>
        <w:t xml:space="preserve"> improvement in attitudes towards domestic violence in the treatment group). This hypothesis was not confirmed. The mean score in the treatment group (1.70) was not significantly lower than the mean score in the control group (1.63</w:t>
      </w:r>
      <w:r w:rsidR="009A6442">
        <w:t xml:space="preserve">, p = </w:t>
      </w:r>
      <w:r w:rsidR="00AB05C9">
        <w:t>1.00</w:t>
      </w:r>
      <w:r>
        <w:t>).</w:t>
      </w:r>
    </w:p>
    <w:p w14:paraId="423B26EE" w14:textId="2FBE011E" w:rsidR="003E43B1" w:rsidRDefault="00731409" w:rsidP="00731409">
      <w:pPr>
        <w:pStyle w:val="Heading4"/>
      </w:pPr>
      <w:r>
        <w:t>Attitudes towards gender equality (AGIS scale)</w:t>
      </w:r>
    </w:p>
    <w:p w14:paraId="19D96F77" w14:textId="52825424" w:rsidR="00731409" w:rsidRDefault="00731409" w:rsidP="00731409">
      <w:r>
        <w:t xml:space="preserve">The scale contains five statements on gender equality and respondents were asked to rate their level of agreement to these statements on a four-point scale </w:t>
      </w:r>
      <w:r w:rsidR="00531A0E">
        <w:t>(</w:t>
      </w:r>
      <w:r w:rsidR="00933978">
        <w:t>‘</w:t>
      </w:r>
      <w:r>
        <w:t>Strongly disagree</w:t>
      </w:r>
      <w:r w:rsidR="00933978">
        <w:t>’</w:t>
      </w:r>
      <w:r>
        <w:t xml:space="preserve"> </w:t>
      </w:r>
      <w:r w:rsidR="00531A0E">
        <w:t>[1]</w:t>
      </w:r>
      <w:r>
        <w:t xml:space="preserve"> to </w:t>
      </w:r>
      <w:r w:rsidR="00933978">
        <w:t>‘</w:t>
      </w:r>
      <w:r>
        <w:t>Strongly agree</w:t>
      </w:r>
      <w:r w:rsidR="00933978">
        <w:t>’</w:t>
      </w:r>
      <w:r>
        <w:t xml:space="preserve"> </w:t>
      </w:r>
      <w:r w:rsidR="00531A0E">
        <w:t>[4])</w:t>
      </w:r>
      <w:r>
        <w:t>. Higher scores indicate</w:t>
      </w:r>
      <w:r w:rsidR="00CD321D">
        <w:t xml:space="preserve"> misogynistic</w:t>
      </w:r>
      <w:r>
        <w:t xml:space="preserve"> </w:t>
      </w:r>
      <w:r w:rsidR="00CD321D">
        <w:t>attitudes.</w:t>
      </w:r>
    </w:p>
    <w:p w14:paraId="4595E167" w14:textId="56225797" w:rsidR="00731409" w:rsidRDefault="00731409" w:rsidP="00731409">
      <w:r>
        <w:t xml:space="preserve">We hypothesised that the mean AGIS score </w:t>
      </w:r>
      <w:r w:rsidR="00531A0E">
        <w:t xml:space="preserve">would </w:t>
      </w:r>
      <w:r>
        <w:t>be lower in the treatment group compared to the control group (</w:t>
      </w:r>
      <w:r w:rsidR="00531A0E">
        <w:t>that is, there would be a</w:t>
      </w:r>
      <w:r>
        <w:t xml:space="preserve"> better attitude towards gender equality in the treatment group). This hypothesis was not confirmed. The mean AGIS score in the treatment group (1.82) was not significantly lower than the mean AGIS score in the control group (1.79</w:t>
      </w:r>
      <w:r w:rsidR="009A6442">
        <w:t xml:space="preserve">, p = </w:t>
      </w:r>
      <w:r w:rsidR="00AB05C9">
        <w:t>0.87</w:t>
      </w:r>
      <w:r>
        <w:t>).</w:t>
      </w:r>
    </w:p>
    <w:p w14:paraId="1FDF7F2A" w14:textId="37789A69" w:rsidR="000C1224" w:rsidRDefault="002D34B2" w:rsidP="00D6782C">
      <w:pPr>
        <w:pStyle w:val="Heading3"/>
      </w:pPr>
      <w:r>
        <w:lastRenderedPageBreak/>
        <w:t>E</w:t>
      </w:r>
      <w:r w:rsidR="000C1224">
        <w:t>xploratory analyses</w:t>
      </w:r>
    </w:p>
    <w:p w14:paraId="01CBAF5E" w14:textId="53E8A3EB" w:rsidR="00731409" w:rsidRPr="003E43B1" w:rsidRDefault="00DF635E" w:rsidP="000C1224">
      <w:pPr>
        <w:pStyle w:val="Heading4"/>
      </w:pPr>
      <w:r>
        <w:t>Employment in</w:t>
      </w:r>
      <w:r w:rsidR="00D6782C">
        <w:t xml:space="preserve"> gender-dominated industries</w:t>
      </w:r>
    </w:p>
    <w:p w14:paraId="13861E33" w14:textId="3D7E2D5B" w:rsidR="003E43B1" w:rsidRPr="003E43B1" w:rsidRDefault="00D6782C" w:rsidP="003E43B1">
      <w:r>
        <w:t xml:space="preserve">There </w:t>
      </w:r>
      <w:r w:rsidR="00DF635E">
        <w:t>were</w:t>
      </w:r>
      <w:r>
        <w:t xml:space="preserve"> no significant </w:t>
      </w:r>
      <w:r w:rsidR="00DF635E">
        <w:t>main effects</w:t>
      </w:r>
      <w:r>
        <w:t xml:space="preserve"> </w:t>
      </w:r>
      <w:r w:rsidR="00DF635E">
        <w:t>on any of</w:t>
      </w:r>
      <w:r>
        <w:t xml:space="preserve"> the primary outcome measures based on whether respondents </w:t>
      </w:r>
      <w:r w:rsidR="00DF635E">
        <w:t>were employed</w:t>
      </w:r>
      <w:r>
        <w:t xml:space="preserve"> in either male</w:t>
      </w:r>
      <w:r w:rsidR="00925C3F">
        <w:t>-</w:t>
      </w:r>
      <w:r>
        <w:t>dominated</w:t>
      </w:r>
      <w:r w:rsidR="00925C3F">
        <w:t>,</w:t>
      </w:r>
      <w:r>
        <w:t xml:space="preserve"> female</w:t>
      </w:r>
      <w:r w:rsidR="00925C3F">
        <w:t>-</w:t>
      </w:r>
      <w:r>
        <w:t>dominated</w:t>
      </w:r>
      <w:r w:rsidR="00777580">
        <w:t>,</w:t>
      </w:r>
      <w:r w:rsidR="00925C3F">
        <w:t xml:space="preserve"> or mixed</w:t>
      </w:r>
      <w:r w:rsidR="00DF635E">
        <w:t>-gender</w:t>
      </w:r>
      <w:r w:rsidR="002D5F42">
        <w:t>ed</w:t>
      </w:r>
      <w:r>
        <w:t xml:space="preserve"> industries. </w:t>
      </w:r>
      <w:r w:rsidR="00AC11EC">
        <w:t xml:space="preserve">Neither were there any significant </w:t>
      </w:r>
      <w:r w:rsidR="00126283">
        <w:t>interaction effects with treatment condition.</w:t>
      </w:r>
      <w:r w:rsidR="00C47BD5">
        <w:t xml:space="preserve"> See Appendix 1 for more detail on these analyses.</w:t>
      </w:r>
    </w:p>
    <w:p w14:paraId="0F49FBAC" w14:textId="56A8E237" w:rsidR="00B85446" w:rsidRPr="0050783B" w:rsidRDefault="00B85446" w:rsidP="003E4D83">
      <w:pPr>
        <w:pStyle w:val="Heading3"/>
      </w:pPr>
      <w:r>
        <w:t>Discussion and conclusion</w:t>
      </w:r>
    </w:p>
    <w:p w14:paraId="311A9E93" w14:textId="0978B79E" w:rsidR="68599940" w:rsidRDefault="45AA2B91" w:rsidP="64A51960">
      <w:pPr>
        <w:rPr>
          <w:rFonts w:ascii="Helvetica" w:eastAsia="Helvetica" w:hAnsi="Helvetica" w:cs="Helvetica"/>
          <w:szCs w:val="20"/>
        </w:rPr>
      </w:pPr>
      <w:r w:rsidRPr="64A51960">
        <w:rPr>
          <w:rFonts w:ascii="Helvetica" w:eastAsia="Helvetica" w:hAnsi="Helvetica" w:cs="Helvetica"/>
          <w:szCs w:val="20"/>
        </w:rPr>
        <w:t>We found that raising awareness of the legislation result</w:t>
      </w:r>
      <w:r w:rsidR="0074492D">
        <w:rPr>
          <w:rFonts w:ascii="Helvetica" w:eastAsia="Helvetica" w:hAnsi="Helvetica" w:cs="Helvetica"/>
          <w:szCs w:val="20"/>
        </w:rPr>
        <w:t>ed</w:t>
      </w:r>
      <w:r w:rsidRPr="64A51960">
        <w:rPr>
          <w:rFonts w:ascii="Helvetica" w:eastAsia="Helvetica" w:hAnsi="Helvetica" w:cs="Helvetica"/>
          <w:szCs w:val="20"/>
        </w:rPr>
        <w:t xml:space="preserve"> in more favourable workplace evaluations of a fictional FDV victim-survivor but did not reduce more generalised stigmati</w:t>
      </w:r>
      <w:r w:rsidR="008D369B">
        <w:rPr>
          <w:rFonts w:ascii="Helvetica" w:eastAsia="Helvetica" w:hAnsi="Helvetica" w:cs="Helvetica"/>
          <w:szCs w:val="20"/>
        </w:rPr>
        <w:t>s</w:t>
      </w:r>
      <w:r w:rsidRPr="64A51960">
        <w:rPr>
          <w:rFonts w:ascii="Helvetica" w:eastAsia="Helvetica" w:hAnsi="Helvetica" w:cs="Helvetica"/>
          <w:szCs w:val="20"/>
        </w:rPr>
        <w:t>ing beliefs as measured by the AVAWS or AGIS questions. Given that prior research has revealed that many FDV victim-survivors perceive or experience negative effects of stigma and discrimination in the workplace (e.g. Fitz-Gibbon et al 2023; Smith and Orchiston 2012), our findings suggest that the paid FDV leave may function as a potential mechanism to reduce stigma and discrimination within the workplace.</w:t>
      </w:r>
    </w:p>
    <w:p w14:paraId="04ADD85F" w14:textId="145679AB" w:rsidR="00340C9F" w:rsidRDefault="3ACEDFFD" w:rsidP="00340C9F">
      <w:pPr>
        <w:pStyle w:val="Heading3"/>
      </w:pPr>
      <w:r>
        <w:t>Limitations</w:t>
      </w:r>
    </w:p>
    <w:p w14:paraId="020044EC" w14:textId="17D6D3D0" w:rsidR="00537CEC" w:rsidRDefault="00531A0E" w:rsidP="003E4D83">
      <w:pPr>
        <w:rPr>
          <w:rFonts w:asciiTheme="majorHAnsi" w:hAnsiTheme="majorHAnsi"/>
          <w:b/>
          <w:sz w:val="72"/>
          <w:szCs w:val="44"/>
        </w:rPr>
      </w:pPr>
      <w:r>
        <w:t>The experiment artificially increased knowledge of the relevant legislation and its provisions. In a field setting it would be extremely difficult to achieve this level of engagement. However, the aim was to assess whether there could be a reduction in stigmatising attitudes over time, as knowledge of the provisions in the legislation become more widely known. This experiment does not provide direct evidence for the magnitude of such a reduction due to its artificial setting.</w:t>
      </w:r>
      <w:r w:rsidR="00537CEC">
        <w:br w:type="page"/>
      </w:r>
    </w:p>
    <w:p w14:paraId="5F60CA4E" w14:textId="7F99CF8E" w:rsidR="00081366" w:rsidRDefault="00382705" w:rsidP="00191A5D">
      <w:pPr>
        <w:pStyle w:val="Heading2"/>
      </w:pPr>
      <w:bookmarkStart w:id="5" w:name="_Toc175061484"/>
      <w:r>
        <w:lastRenderedPageBreak/>
        <w:t>Appendix 1</w:t>
      </w:r>
      <w:r w:rsidR="00531A0E">
        <w:t>:</w:t>
      </w:r>
      <w:r>
        <w:t xml:space="preserve"> Statistical tables</w:t>
      </w:r>
      <w:bookmarkEnd w:id="5"/>
    </w:p>
    <w:p w14:paraId="6DA3B895" w14:textId="1978BAE6" w:rsidR="00772D16" w:rsidRDefault="008A3290" w:rsidP="008A3290">
      <w:pPr>
        <w:pStyle w:val="Heading3"/>
      </w:pPr>
      <w:r>
        <w:t>Primary outcomes</w:t>
      </w:r>
    </w:p>
    <w:p w14:paraId="27BF049C" w14:textId="3D93F420" w:rsidR="008A3290" w:rsidRDefault="008A3290" w:rsidP="008A3290">
      <w:r>
        <w:t xml:space="preserve">The two primary outcomes </w:t>
      </w:r>
      <w:r w:rsidR="00531A0E">
        <w:t xml:space="preserve">were </w:t>
      </w:r>
      <w:r>
        <w:t xml:space="preserve">the mean amount of bonus recommended for the fictional </w:t>
      </w:r>
      <w:r w:rsidR="007A49E3">
        <w:t>employee</w:t>
      </w:r>
      <w:r>
        <w:t xml:space="preserve"> and percentage recommending the </w:t>
      </w:r>
      <w:r w:rsidR="007A49E3">
        <w:t>fictional employee</w:t>
      </w:r>
      <w:r>
        <w:t xml:space="preserve"> for a managerial position.</w:t>
      </w:r>
    </w:p>
    <w:p w14:paraId="2BE723FC" w14:textId="5B1DA35F" w:rsidR="008A3290" w:rsidRPr="009F3C0D" w:rsidRDefault="00746ABF" w:rsidP="00746ABF">
      <w:pPr>
        <w:pStyle w:val="Caption"/>
      </w:pPr>
      <w:r>
        <w:t xml:space="preserve">Table 2. </w:t>
      </w:r>
      <w:r w:rsidR="008A3290">
        <w:t xml:space="preserve">Hypothesis 1: </w:t>
      </w:r>
      <w:r w:rsidR="004B4E59">
        <w:t>Mean bonus amount will be higher in the treatment group as compared with the control group</w:t>
      </w:r>
    </w:p>
    <w:tbl>
      <w:tblPr>
        <w:tblStyle w:val="TableGrid"/>
        <w:tblW w:w="907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Hypothesis 1: The ‘Make it easy’ email group will have a higher percentage of people declaring disability or other diversity status compared to the ‘Attention control’ email group."/>
        <w:tblDescription w:val="Table shows that significantly more people who recieved the Easy email declared having disability or other diversity statistics, compared to those who recieved the attention control email. "/>
      </w:tblPr>
      <w:tblGrid>
        <w:gridCol w:w="2454"/>
        <w:gridCol w:w="953"/>
        <w:gridCol w:w="1090"/>
        <w:gridCol w:w="1226"/>
        <w:gridCol w:w="1362"/>
        <w:gridCol w:w="845"/>
        <w:gridCol w:w="1147"/>
      </w:tblGrid>
      <w:tr w:rsidR="004B4E59" w:rsidRPr="00531A0E" w14:paraId="024CC990" w14:textId="77777777" w:rsidTr="005149DB">
        <w:trPr>
          <w:trHeight w:val="932"/>
          <w:tblHeader/>
        </w:trPr>
        <w:tc>
          <w:tcPr>
            <w:tcW w:w="2454" w:type="dxa"/>
            <w:tcBorders>
              <w:top w:val="nil"/>
              <w:bottom w:val="single" w:sz="18" w:space="0" w:color="auto"/>
            </w:tcBorders>
            <w:shd w:val="clear" w:color="auto" w:fill="20B9A3" w:themeFill="accent1"/>
          </w:tcPr>
          <w:p w14:paraId="6789C030" w14:textId="77777777" w:rsidR="004B4E59" w:rsidRPr="003E4D83" w:rsidRDefault="004B4E59" w:rsidP="005149DB">
            <w:pPr>
              <w:pStyle w:val="TableHeading"/>
              <w:spacing w:after="0"/>
              <w:rPr>
                <w:rFonts w:cstheme="majorHAnsi"/>
                <w:b/>
                <w:sz w:val="20"/>
                <w:szCs w:val="20"/>
              </w:rPr>
            </w:pPr>
            <w:r w:rsidRPr="003E4D83">
              <w:rPr>
                <w:rFonts w:cstheme="majorHAnsi"/>
                <w:b/>
                <w:sz w:val="20"/>
                <w:szCs w:val="20"/>
              </w:rPr>
              <w:t>Condition</w:t>
            </w:r>
          </w:p>
        </w:tc>
        <w:tc>
          <w:tcPr>
            <w:tcW w:w="953" w:type="dxa"/>
            <w:tcBorders>
              <w:top w:val="nil"/>
              <w:bottom w:val="single" w:sz="18" w:space="0" w:color="auto"/>
            </w:tcBorders>
            <w:shd w:val="clear" w:color="auto" w:fill="20B9A3" w:themeFill="accent1"/>
          </w:tcPr>
          <w:p w14:paraId="2A9EE7C1" w14:textId="77777777" w:rsidR="004B4E59" w:rsidRPr="003E4D83" w:rsidRDefault="004B4E59" w:rsidP="005149DB">
            <w:pPr>
              <w:pStyle w:val="TableHeading"/>
              <w:spacing w:after="0"/>
              <w:jc w:val="right"/>
              <w:rPr>
                <w:rFonts w:cstheme="majorHAnsi"/>
                <w:b/>
                <w:sz w:val="20"/>
                <w:szCs w:val="20"/>
              </w:rPr>
            </w:pPr>
            <w:r w:rsidRPr="003E4D83">
              <w:rPr>
                <w:rFonts w:cstheme="majorHAnsi"/>
                <w:b/>
                <w:sz w:val="20"/>
                <w:szCs w:val="20"/>
              </w:rPr>
              <w:t>Means (per cent)</w:t>
            </w:r>
          </w:p>
        </w:tc>
        <w:tc>
          <w:tcPr>
            <w:tcW w:w="1090" w:type="dxa"/>
            <w:tcBorders>
              <w:top w:val="nil"/>
              <w:bottom w:val="single" w:sz="18" w:space="0" w:color="auto"/>
            </w:tcBorders>
            <w:shd w:val="clear" w:color="auto" w:fill="20B9A3" w:themeFill="accent1"/>
          </w:tcPr>
          <w:p w14:paraId="2D2D8EC9" w14:textId="77777777" w:rsidR="004B4E59" w:rsidRPr="003E4D83" w:rsidRDefault="004B4E59" w:rsidP="005149DB">
            <w:pPr>
              <w:pStyle w:val="TableHeading"/>
              <w:spacing w:after="0"/>
              <w:jc w:val="right"/>
              <w:rPr>
                <w:rFonts w:cstheme="majorHAnsi"/>
                <w:b/>
                <w:sz w:val="20"/>
                <w:szCs w:val="20"/>
              </w:rPr>
            </w:pPr>
            <w:r w:rsidRPr="003E4D83">
              <w:rPr>
                <w:rFonts w:cstheme="majorHAnsi"/>
                <w:b/>
                <w:sz w:val="20"/>
                <w:szCs w:val="20"/>
              </w:rPr>
              <w:t>Estimate (pp)</w:t>
            </w:r>
          </w:p>
        </w:tc>
        <w:tc>
          <w:tcPr>
            <w:tcW w:w="1226" w:type="dxa"/>
            <w:tcBorders>
              <w:top w:val="nil"/>
              <w:bottom w:val="single" w:sz="18" w:space="0" w:color="auto"/>
            </w:tcBorders>
            <w:shd w:val="clear" w:color="auto" w:fill="20B9A3" w:themeFill="accent1"/>
          </w:tcPr>
          <w:p w14:paraId="47CB8D49" w14:textId="77777777" w:rsidR="004B4E59" w:rsidRPr="003E4D83" w:rsidRDefault="004B4E59" w:rsidP="005149DB">
            <w:pPr>
              <w:pStyle w:val="TableHeading"/>
              <w:spacing w:after="0"/>
              <w:jc w:val="right"/>
              <w:rPr>
                <w:rFonts w:cstheme="majorHAnsi"/>
                <w:b/>
                <w:sz w:val="20"/>
                <w:szCs w:val="20"/>
              </w:rPr>
            </w:pPr>
            <w:r w:rsidRPr="003E4D83">
              <w:rPr>
                <w:rFonts w:cstheme="majorHAnsi"/>
                <w:b/>
                <w:sz w:val="20"/>
                <w:szCs w:val="20"/>
              </w:rPr>
              <w:t>Standard error (pp)</w:t>
            </w:r>
          </w:p>
        </w:tc>
        <w:tc>
          <w:tcPr>
            <w:tcW w:w="1362" w:type="dxa"/>
            <w:tcBorders>
              <w:top w:val="nil"/>
              <w:bottom w:val="single" w:sz="18" w:space="0" w:color="auto"/>
            </w:tcBorders>
            <w:shd w:val="clear" w:color="auto" w:fill="20B9A3" w:themeFill="accent1"/>
          </w:tcPr>
          <w:p w14:paraId="66F8024F" w14:textId="77777777" w:rsidR="004B4E59" w:rsidRPr="003E4D83" w:rsidRDefault="004B4E59" w:rsidP="005149DB">
            <w:pPr>
              <w:pStyle w:val="TableHeading"/>
              <w:spacing w:after="0"/>
              <w:jc w:val="right"/>
              <w:rPr>
                <w:rFonts w:cstheme="majorHAnsi"/>
                <w:b/>
                <w:sz w:val="20"/>
                <w:szCs w:val="20"/>
              </w:rPr>
            </w:pPr>
            <w:r w:rsidRPr="003E4D83">
              <w:rPr>
                <w:rFonts w:cstheme="majorHAnsi"/>
                <w:b/>
                <w:sz w:val="20"/>
                <w:szCs w:val="20"/>
              </w:rPr>
              <w:t>95% Confidence Interval (pp)</w:t>
            </w:r>
          </w:p>
        </w:tc>
        <w:tc>
          <w:tcPr>
            <w:tcW w:w="845" w:type="dxa"/>
            <w:tcBorders>
              <w:top w:val="nil"/>
              <w:bottom w:val="single" w:sz="18" w:space="0" w:color="auto"/>
            </w:tcBorders>
            <w:shd w:val="clear" w:color="auto" w:fill="20B9A3" w:themeFill="accent1"/>
          </w:tcPr>
          <w:p w14:paraId="537D73E7" w14:textId="77777777" w:rsidR="004B4E59" w:rsidRPr="003E4D83" w:rsidRDefault="004B4E59" w:rsidP="005149DB">
            <w:pPr>
              <w:pStyle w:val="TableHeading"/>
              <w:spacing w:after="0"/>
              <w:jc w:val="right"/>
              <w:rPr>
                <w:rFonts w:cstheme="majorHAnsi"/>
                <w:b/>
                <w:sz w:val="20"/>
                <w:szCs w:val="20"/>
              </w:rPr>
            </w:pPr>
            <w:r w:rsidRPr="003E4D83">
              <w:rPr>
                <w:rFonts w:cstheme="majorHAnsi"/>
                <w:b/>
                <w:sz w:val="20"/>
                <w:szCs w:val="20"/>
              </w:rPr>
              <w:t>p-value</w:t>
            </w:r>
          </w:p>
        </w:tc>
        <w:tc>
          <w:tcPr>
            <w:tcW w:w="1147" w:type="dxa"/>
            <w:tcBorders>
              <w:top w:val="nil"/>
              <w:bottom w:val="single" w:sz="18" w:space="0" w:color="auto"/>
            </w:tcBorders>
            <w:shd w:val="clear" w:color="auto" w:fill="20B9A3" w:themeFill="accent1"/>
          </w:tcPr>
          <w:p w14:paraId="0ED451A4" w14:textId="70094364" w:rsidR="004B4E59" w:rsidRPr="003E4D83" w:rsidRDefault="004B4E59" w:rsidP="00531A0E">
            <w:pPr>
              <w:pStyle w:val="TableHeading"/>
              <w:spacing w:after="0"/>
              <w:jc w:val="right"/>
              <w:rPr>
                <w:rFonts w:cstheme="majorHAnsi"/>
                <w:b/>
                <w:sz w:val="20"/>
                <w:szCs w:val="20"/>
              </w:rPr>
            </w:pPr>
            <w:r w:rsidRPr="003E4D83">
              <w:rPr>
                <w:rFonts w:cstheme="majorHAnsi"/>
                <w:b/>
                <w:sz w:val="20"/>
                <w:szCs w:val="20"/>
              </w:rPr>
              <w:t>Holm-adjusted p-value</w:t>
            </w:r>
          </w:p>
        </w:tc>
      </w:tr>
      <w:tr w:rsidR="004B4E59" w:rsidRPr="001E79BC" w14:paraId="7A5DDBBB" w14:textId="77777777" w:rsidTr="005149DB">
        <w:trPr>
          <w:trHeight w:val="397"/>
        </w:trPr>
        <w:tc>
          <w:tcPr>
            <w:tcW w:w="2454" w:type="dxa"/>
            <w:tcBorders>
              <w:top w:val="single" w:sz="8" w:space="0" w:color="auto"/>
              <w:bottom w:val="single" w:sz="4" w:space="0" w:color="auto"/>
            </w:tcBorders>
            <w:vAlign w:val="bottom"/>
          </w:tcPr>
          <w:p w14:paraId="56DD49A4" w14:textId="260C781C" w:rsidR="004B4E59" w:rsidRPr="004B4E59" w:rsidRDefault="004B4E59" w:rsidP="005149DB">
            <w:r>
              <w:t>Control group</w:t>
            </w:r>
          </w:p>
        </w:tc>
        <w:tc>
          <w:tcPr>
            <w:tcW w:w="953" w:type="dxa"/>
            <w:tcBorders>
              <w:top w:val="single" w:sz="8" w:space="0" w:color="auto"/>
              <w:bottom w:val="single" w:sz="4" w:space="0" w:color="auto"/>
            </w:tcBorders>
          </w:tcPr>
          <w:p w14:paraId="025EF87E" w14:textId="75CF1AFC" w:rsidR="004B4E59" w:rsidRPr="00010126" w:rsidRDefault="004B4E59" w:rsidP="004B4E59">
            <w:pPr>
              <w:jc w:val="right"/>
            </w:pPr>
            <w:r w:rsidRPr="004B4E59">
              <w:t>457.10</w:t>
            </w:r>
          </w:p>
        </w:tc>
        <w:tc>
          <w:tcPr>
            <w:tcW w:w="1090" w:type="dxa"/>
            <w:tcBorders>
              <w:top w:val="single" w:sz="8" w:space="0" w:color="auto"/>
              <w:bottom w:val="single" w:sz="4" w:space="0" w:color="auto"/>
            </w:tcBorders>
          </w:tcPr>
          <w:p w14:paraId="106FB113" w14:textId="77777777" w:rsidR="004B4E59" w:rsidRPr="004B4E59" w:rsidRDefault="004B4E59" w:rsidP="004B4E59">
            <w:pPr>
              <w:jc w:val="right"/>
            </w:pPr>
            <w:r w:rsidRPr="004B4E59">
              <w:t>n/a</w:t>
            </w:r>
          </w:p>
        </w:tc>
        <w:tc>
          <w:tcPr>
            <w:tcW w:w="1226" w:type="dxa"/>
            <w:tcBorders>
              <w:top w:val="single" w:sz="8" w:space="0" w:color="auto"/>
              <w:bottom w:val="single" w:sz="4" w:space="0" w:color="auto"/>
            </w:tcBorders>
          </w:tcPr>
          <w:p w14:paraId="27E8DB55" w14:textId="77777777" w:rsidR="004B4E59" w:rsidRPr="004B4E59" w:rsidRDefault="004B4E59" w:rsidP="004B4E59">
            <w:pPr>
              <w:jc w:val="right"/>
            </w:pPr>
            <w:r w:rsidRPr="004B4E59">
              <w:t>n/a</w:t>
            </w:r>
          </w:p>
        </w:tc>
        <w:tc>
          <w:tcPr>
            <w:tcW w:w="1362" w:type="dxa"/>
            <w:tcBorders>
              <w:top w:val="single" w:sz="8" w:space="0" w:color="auto"/>
              <w:bottom w:val="single" w:sz="4" w:space="0" w:color="auto"/>
            </w:tcBorders>
          </w:tcPr>
          <w:p w14:paraId="2B33038D" w14:textId="77777777" w:rsidR="004B4E59" w:rsidRPr="004B4E59" w:rsidRDefault="004B4E59" w:rsidP="004B4E59">
            <w:pPr>
              <w:jc w:val="right"/>
            </w:pPr>
            <w:r w:rsidRPr="004B4E59">
              <w:t>n/a</w:t>
            </w:r>
          </w:p>
        </w:tc>
        <w:tc>
          <w:tcPr>
            <w:tcW w:w="845" w:type="dxa"/>
            <w:tcBorders>
              <w:top w:val="single" w:sz="8" w:space="0" w:color="auto"/>
              <w:bottom w:val="single" w:sz="4" w:space="0" w:color="auto"/>
            </w:tcBorders>
          </w:tcPr>
          <w:p w14:paraId="5F1C107D" w14:textId="77777777" w:rsidR="004B4E59" w:rsidRPr="004B4E59" w:rsidRDefault="004B4E59" w:rsidP="004B4E59">
            <w:pPr>
              <w:jc w:val="right"/>
            </w:pPr>
            <w:r w:rsidRPr="004B4E59">
              <w:t>n/a</w:t>
            </w:r>
          </w:p>
        </w:tc>
        <w:tc>
          <w:tcPr>
            <w:tcW w:w="1147" w:type="dxa"/>
            <w:tcBorders>
              <w:top w:val="single" w:sz="8" w:space="0" w:color="auto"/>
              <w:bottom w:val="single" w:sz="4" w:space="0" w:color="auto"/>
            </w:tcBorders>
          </w:tcPr>
          <w:p w14:paraId="52B16433" w14:textId="3373A008" w:rsidR="004B4E59" w:rsidRPr="004B4E59" w:rsidRDefault="004B4E59" w:rsidP="004B4E59">
            <w:pPr>
              <w:jc w:val="right"/>
            </w:pPr>
            <w:r w:rsidRPr="004B4E59">
              <w:t>n/a</w:t>
            </w:r>
          </w:p>
        </w:tc>
      </w:tr>
      <w:tr w:rsidR="004B4E59" w:rsidRPr="001E79BC" w14:paraId="40A939BD" w14:textId="77777777" w:rsidTr="005149DB">
        <w:trPr>
          <w:trHeight w:val="409"/>
        </w:trPr>
        <w:tc>
          <w:tcPr>
            <w:tcW w:w="2454" w:type="dxa"/>
            <w:tcBorders>
              <w:top w:val="single" w:sz="4" w:space="0" w:color="auto"/>
              <w:bottom w:val="single" w:sz="12" w:space="0" w:color="000000"/>
            </w:tcBorders>
            <w:vAlign w:val="bottom"/>
          </w:tcPr>
          <w:p w14:paraId="7DC381A7" w14:textId="4802C15F" w:rsidR="004B4E59" w:rsidRPr="001E79BC" w:rsidRDefault="004B4E59" w:rsidP="004B4E59">
            <w:pPr>
              <w:rPr>
                <w:rFonts w:cstheme="minorHAnsi"/>
                <w:szCs w:val="20"/>
              </w:rPr>
            </w:pPr>
            <w:r>
              <w:t>Treatment group</w:t>
            </w:r>
          </w:p>
        </w:tc>
        <w:tc>
          <w:tcPr>
            <w:tcW w:w="953" w:type="dxa"/>
            <w:tcBorders>
              <w:top w:val="single" w:sz="4" w:space="0" w:color="auto"/>
              <w:bottom w:val="single" w:sz="12" w:space="0" w:color="000000"/>
            </w:tcBorders>
            <w:vAlign w:val="bottom"/>
          </w:tcPr>
          <w:p w14:paraId="5051D316" w14:textId="7F1A69C0" w:rsidR="004B4E59" w:rsidRPr="00010126" w:rsidRDefault="004B4E59" w:rsidP="004B4E59">
            <w:pPr>
              <w:jc w:val="right"/>
            </w:pPr>
            <w:r w:rsidRPr="004B4E59">
              <w:t>477.20</w:t>
            </w:r>
          </w:p>
        </w:tc>
        <w:tc>
          <w:tcPr>
            <w:tcW w:w="1090" w:type="dxa"/>
            <w:tcBorders>
              <w:top w:val="single" w:sz="4" w:space="0" w:color="auto"/>
              <w:bottom w:val="single" w:sz="12" w:space="0" w:color="000000"/>
            </w:tcBorders>
            <w:vAlign w:val="bottom"/>
          </w:tcPr>
          <w:p w14:paraId="6E1BD0BA" w14:textId="506CF27C" w:rsidR="004B4E59" w:rsidRPr="00010126" w:rsidRDefault="004B4E59" w:rsidP="004B4E59">
            <w:pPr>
              <w:jc w:val="right"/>
            </w:pPr>
            <w:r w:rsidRPr="004B4E59">
              <w:t>20.10</w:t>
            </w:r>
          </w:p>
        </w:tc>
        <w:tc>
          <w:tcPr>
            <w:tcW w:w="1226" w:type="dxa"/>
            <w:tcBorders>
              <w:top w:val="single" w:sz="4" w:space="0" w:color="auto"/>
              <w:bottom w:val="single" w:sz="12" w:space="0" w:color="000000"/>
            </w:tcBorders>
            <w:vAlign w:val="bottom"/>
          </w:tcPr>
          <w:p w14:paraId="3C235254" w14:textId="448BD255" w:rsidR="004B4E59" w:rsidRPr="00010126" w:rsidRDefault="004B4E59" w:rsidP="004B4E59">
            <w:pPr>
              <w:jc w:val="right"/>
            </w:pPr>
            <w:r w:rsidRPr="004B4E59">
              <w:t>10.45</w:t>
            </w:r>
          </w:p>
        </w:tc>
        <w:tc>
          <w:tcPr>
            <w:tcW w:w="1362" w:type="dxa"/>
            <w:tcBorders>
              <w:top w:val="single" w:sz="4" w:space="0" w:color="auto"/>
              <w:bottom w:val="single" w:sz="12" w:space="0" w:color="000000"/>
            </w:tcBorders>
            <w:vAlign w:val="bottom"/>
          </w:tcPr>
          <w:p w14:paraId="321A2394" w14:textId="78EE8B7F" w:rsidR="004B4E59" w:rsidRPr="00010126" w:rsidRDefault="004B4E59" w:rsidP="004B4E59">
            <w:pPr>
              <w:jc w:val="right"/>
            </w:pPr>
            <w:r w:rsidRPr="004B4E59">
              <w:t>(2.91 - Inf)</w:t>
            </w:r>
          </w:p>
        </w:tc>
        <w:tc>
          <w:tcPr>
            <w:tcW w:w="845" w:type="dxa"/>
            <w:tcBorders>
              <w:top w:val="single" w:sz="4" w:space="0" w:color="auto"/>
              <w:bottom w:val="single" w:sz="12" w:space="0" w:color="000000"/>
            </w:tcBorders>
            <w:vAlign w:val="bottom"/>
          </w:tcPr>
          <w:p w14:paraId="2FD3AE0C" w14:textId="7AA07451" w:rsidR="004B4E59" w:rsidRPr="001A5D85" w:rsidRDefault="004B4E59" w:rsidP="004B4E59">
            <w:pPr>
              <w:jc w:val="right"/>
            </w:pPr>
            <w:r w:rsidRPr="004B4E59">
              <w:t>0.03</w:t>
            </w:r>
          </w:p>
        </w:tc>
        <w:tc>
          <w:tcPr>
            <w:tcW w:w="1147" w:type="dxa"/>
            <w:tcBorders>
              <w:top w:val="single" w:sz="4" w:space="0" w:color="auto"/>
              <w:bottom w:val="single" w:sz="12" w:space="0" w:color="000000"/>
            </w:tcBorders>
            <w:vAlign w:val="bottom"/>
          </w:tcPr>
          <w:p w14:paraId="66C8CE8F" w14:textId="6A634427" w:rsidR="004B4E59" w:rsidRPr="001A5D85" w:rsidRDefault="004B4E59" w:rsidP="0052101A">
            <w:pPr>
              <w:jc w:val="right"/>
            </w:pPr>
            <w:r>
              <w:t>0.</w:t>
            </w:r>
            <w:r w:rsidR="0063090C">
              <w:t>03</w:t>
            </w:r>
          </w:p>
        </w:tc>
      </w:tr>
    </w:tbl>
    <w:p w14:paraId="4FD8A9D3" w14:textId="1664BD5C" w:rsidR="004B4E59" w:rsidRDefault="004B4E59" w:rsidP="004B4E59">
      <w:pPr>
        <w:pStyle w:val="SourceNotesText"/>
      </w:pPr>
      <w:r>
        <w:t>OLS model adjusted for gender, education, CALD status and awareness of FDVL legislation with HC2 robust standard errors. N = 2720</w:t>
      </w:r>
      <w:r w:rsidR="00FB190C">
        <w:t>.</w:t>
      </w:r>
    </w:p>
    <w:p w14:paraId="523FDE3F" w14:textId="112E5740" w:rsidR="004B4E59" w:rsidRPr="009F3C0D" w:rsidRDefault="00746ABF" w:rsidP="00746ABF">
      <w:pPr>
        <w:pStyle w:val="Caption"/>
      </w:pPr>
      <w:r>
        <w:t xml:space="preserve">Table 3. </w:t>
      </w:r>
      <w:r w:rsidR="004B4E59">
        <w:t>Hypothesis 2: There will be a higher proportion of people recommending assessment for management for the fictional employee in the treatment group as compared with the control group</w:t>
      </w:r>
    </w:p>
    <w:tbl>
      <w:tblPr>
        <w:tblStyle w:val="TableGrid"/>
        <w:tblW w:w="907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Hypothesis 1: The ‘Make it easy’ email group will have a higher percentage of people declaring disability or other diversity status compared to the ‘Attention control’ email group."/>
        <w:tblDescription w:val="Table shows that significantly more people who recieved the Easy email declared having disability or other diversity statistics, compared to those who recieved the attention control email. "/>
      </w:tblPr>
      <w:tblGrid>
        <w:gridCol w:w="2454"/>
        <w:gridCol w:w="953"/>
        <w:gridCol w:w="1090"/>
        <w:gridCol w:w="1226"/>
        <w:gridCol w:w="1362"/>
        <w:gridCol w:w="845"/>
        <w:gridCol w:w="1147"/>
      </w:tblGrid>
      <w:tr w:rsidR="004B4E59" w:rsidRPr="00531A0E" w14:paraId="67203C81" w14:textId="77777777" w:rsidTr="005149DB">
        <w:trPr>
          <w:trHeight w:val="932"/>
          <w:tblHeader/>
        </w:trPr>
        <w:tc>
          <w:tcPr>
            <w:tcW w:w="2454" w:type="dxa"/>
            <w:tcBorders>
              <w:top w:val="nil"/>
              <w:bottom w:val="single" w:sz="18" w:space="0" w:color="auto"/>
            </w:tcBorders>
            <w:shd w:val="clear" w:color="auto" w:fill="20B9A3" w:themeFill="accent1"/>
          </w:tcPr>
          <w:p w14:paraId="773DF12C" w14:textId="77777777" w:rsidR="004B4E59" w:rsidRPr="003E4D83" w:rsidRDefault="004B4E59" w:rsidP="005149DB">
            <w:pPr>
              <w:pStyle w:val="TableHeading"/>
              <w:spacing w:after="0"/>
              <w:rPr>
                <w:rFonts w:cstheme="majorHAnsi"/>
                <w:b/>
                <w:sz w:val="20"/>
                <w:szCs w:val="20"/>
              </w:rPr>
            </w:pPr>
            <w:r w:rsidRPr="003E4D83">
              <w:rPr>
                <w:rFonts w:cstheme="majorHAnsi"/>
                <w:b/>
                <w:sz w:val="20"/>
                <w:szCs w:val="20"/>
              </w:rPr>
              <w:t>Condition</w:t>
            </w:r>
          </w:p>
        </w:tc>
        <w:tc>
          <w:tcPr>
            <w:tcW w:w="953" w:type="dxa"/>
            <w:tcBorders>
              <w:top w:val="nil"/>
              <w:bottom w:val="single" w:sz="18" w:space="0" w:color="auto"/>
            </w:tcBorders>
            <w:shd w:val="clear" w:color="auto" w:fill="20B9A3" w:themeFill="accent1"/>
          </w:tcPr>
          <w:p w14:paraId="1E5A2078" w14:textId="77777777" w:rsidR="004B4E59" w:rsidRPr="003E4D83" w:rsidRDefault="004B4E59" w:rsidP="005149DB">
            <w:pPr>
              <w:pStyle w:val="TableHeading"/>
              <w:spacing w:after="0"/>
              <w:jc w:val="right"/>
              <w:rPr>
                <w:rFonts w:cstheme="majorHAnsi"/>
                <w:b/>
                <w:sz w:val="20"/>
                <w:szCs w:val="20"/>
              </w:rPr>
            </w:pPr>
            <w:r w:rsidRPr="003E4D83">
              <w:rPr>
                <w:rFonts w:cstheme="majorHAnsi"/>
                <w:b/>
                <w:sz w:val="20"/>
                <w:szCs w:val="20"/>
              </w:rPr>
              <w:t>Means (per cent)</w:t>
            </w:r>
          </w:p>
        </w:tc>
        <w:tc>
          <w:tcPr>
            <w:tcW w:w="1090" w:type="dxa"/>
            <w:tcBorders>
              <w:top w:val="nil"/>
              <w:bottom w:val="single" w:sz="18" w:space="0" w:color="auto"/>
            </w:tcBorders>
            <w:shd w:val="clear" w:color="auto" w:fill="20B9A3" w:themeFill="accent1"/>
          </w:tcPr>
          <w:p w14:paraId="029C5C43" w14:textId="77777777" w:rsidR="004B4E59" w:rsidRPr="003E4D83" w:rsidRDefault="004B4E59" w:rsidP="005149DB">
            <w:pPr>
              <w:pStyle w:val="TableHeading"/>
              <w:spacing w:after="0"/>
              <w:jc w:val="right"/>
              <w:rPr>
                <w:rFonts w:cstheme="majorHAnsi"/>
                <w:b/>
                <w:sz w:val="20"/>
                <w:szCs w:val="20"/>
              </w:rPr>
            </w:pPr>
            <w:r w:rsidRPr="003E4D83">
              <w:rPr>
                <w:rFonts w:cstheme="majorHAnsi"/>
                <w:b/>
                <w:sz w:val="20"/>
                <w:szCs w:val="20"/>
              </w:rPr>
              <w:t>Estimate (pp)</w:t>
            </w:r>
          </w:p>
        </w:tc>
        <w:tc>
          <w:tcPr>
            <w:tcW w:w="1226" w:type="dxa"/>
            <w:tcBorders>
              <w:top w:val="nil"/>
              <w:bottom w:val="single" w:sz="18" w:space="0" w:color="auto"/>
            </w:tcBorders>
            <w:shd w:val="clear" w:color="auto" w:fill="20B9A3" w:themeFill="accent1"/>
          </w:tcPr>
          <w:p w14:paraId="438C2073" w14:textId="77777777" w:rsidR="004B4E59" w:rsidRPr="003E4D83" w:rsidRDefault="004B4E59" w:rsidP="005149DB">
            <w:pPr>
              <w:pStyle w:val="TableHeading"/>
              <w:spacing w:after="0"/>
              <w:jc w:val="right"/>
              <w:rPr>
                <w:rFonts w:cstheme="majorHAnsi"/>
                <w:b/>
                <w:sz w:val="20"/>
                <w:szCs w:val="20"/>
              </w:rPr>
            </w:pPr>
            <w:r w:rsidRPr="003E4D83">
              <w:rPr>
                <w:rFonts w:cstheme="majorHAnsi"/>
                <w:b/>
                <w:sz w:val="20"/>
                <w:szCs w:val="20"/>
              </w:rPr>
              <w:t>Standard error (pp)</w:t>
            </w:r>
          </w:p>
        </w:tc>
        <w:tc>
          <w:tcPr>
            <w:tcW w:w="1362" w:type="dxa"/>
            <w:tcBorders>
              <w:top w:val="nil"/>
              <w:bottom w:val="single" w:sz="18" w:space="0" w:color="auto"/>
            </w:tcBorders>
            <w:shd w:val="clear" w:color="auto" w:fill="20B9A3" w:themeFill="accent1"/>
          </w:tcPr>
          <w:p w14:paraId="71C5B8C3" w14:textId="77777777" w:rsidR="004B4E59" w:rsidRPr="003E4D83" w:rsidRDefault="004B4E59" w:rsidP="005149DB">
            <w:pPr>
              <w:pStyle w:val="TableHeading"/>
              <w:spacing w:after="0"/>
              <w:jc w:val="right"/>
              <w:rPr>
                <w:rFonts w:cstheme="majorHAnsi"/>
                <w:b/>
                <w:sz w:val="20"/>
                <w:szCs w:val="20"/>
              </w:rPr>
            </w:pPr>
            <w:r w:rsidRPr="003E4D83">
              <w:rPr>
                <w:rFonts w:cstheme="majorHAnsi"/>
                <w:b/>
                <w:sz w:val="20"/>
                <w:szCs w:val="20"/>
              </w:rPr>
              <w:t>95% Confidence Interval (pp)</w:t>
            </w:r>
          </w:p>
        </w:tc>
        <w:tc>
          <w:tcPr>
            <w:tcW w:w="845" w:type="dxa"/>
            <w:tcBorders>
              <w:top w:val="nil"/>
              <w:bottom w:val="single" w:sz="18" w:space="0" w:color="auto"/>
            </w:tcBorders>
            <w:shd w:val="clear" w:color="auto" w:fill="20B9A3" w:themeFill="accent1"/>
          </w:tcPr>
          <w:p w14:paraId="494E11A4" w14:textId="77777777" w:rsidR="004B4E59" w:rsidRPr="003E4D83" w:rsidRDefault="004B4E59" w:rsidP="005149DB">
            <w:pPr>
              <w:pStyle w:val="TableHeading"/>
              <w:spacing w:after="0"/>
              <w:jc w:val="right"/>
              <w:rPr>
                <w:rFonts w:cstheme="majorHAnsi"/>
                <w:b/>
                <w:sz w:val="20"/>
                <w:szCs w:val="20"/>
              </w:rPr>
            </w:pPr>
            <w:r w:rsidRPr="003E4D83">
              <w:rPr>
                <w:rFonts w:cstheme="majorHAnsi"/>
                <w:b/>
                <w:sz w:val="20"/>
                <w:szCs w:val="20"/>
              </w:rPr>
              <w:t>p-value</w:t>
            </w:r>
          </w:p>
        </w:tc>
        <w:tc>
          <w:tcPr>
            <w:tcW w:w="1147" w:type="dxa"/>
            <w:tcBorders>
              <w:top w:val="nil"/>
              <w:bottom w:val="single" w:sz="18" w:space="0" w:color="auto"/>
            </w:tcBorders>
            <w:shd w:val="clear" w:color="auto" w:fill="20B9A3" w:themeFill="accent1"/>
          </w:tcPr>
          <w:p w14:paraId="5307A3B5" w14:textId="2E6B5661" w:rsidR="004B4E59" w:rsidRPr="003E4D83" w:rsidRDefault="004B4E59" w:rsidP="00531A0E">
            <w:pPr>
              <w:pStyle w:val="TableHeading"/>
              <w:spacing w:after="0"/>
              <w:jc w:val="right"/>
              <w:rPr>
                <w:rFonts w:cstheme="majorHAnsi"/>
                <w:b/>
                <w:sz w:val="20"/>
                <w:szCs w:val="20"/>
              </w:rPr>
            </w:pPr>
            <w:r w:rsidRPr="003E4D83">
              <w:rPr>
                <w:rFonts w:cstheme="majorHAnsi"/>
                <w:b/>
                <w:sz w:val="20"/>
                <w:szCs w:val="20"/>
              </w:rPr>
              <w:t>Holm-adjusted p-value</w:t>
            </w:r>
          </w:p>
        </w:tc>
      </w:tr>
      <w:tr w:rsidR="004B4E59" w:rsidRPr="001E79BC" w14:paraId="6446C62B" w14:textId="77777777" w:rsidTr="005149DB">
        <w:trPr>
          <w:trHeight w:val="397"/>
        </w:trPr>
        <w:tc>
          <w:tcPr>
            <w:tcW w:w="2454" w:type="dxa"/>
            <w:tcBorders>
              <w:top w:val="single" w:sz="8" w:space="0" w:color="auto"/>
              <w:bottom w:val="single" w:sz="4" w:space="0" w:color="auto"/>
            </w:tcBorders>
            <w:vAlign w:val="bottom"/>
          </w:tcPr>
          <w:p w14:paraId="5ABE1454" w14:textId="77777777" w:rsidR="004B4E59" w:rsidRPr="004B4E59" w:rsidRDefault="004B4E59" w:rsidP="005149DB">
            <w:r>
              <w:t>Control group</w:t>
            </w:r>
          </w:p>
        </w:tc>
        <w:tc>
          <w:tcPr>
            <w:tcW w:w="953" w:type="dxa"/>
            <w:tcBorders>
              <w:top w:val="single" w:sz="8" w:space="0" w:color="auto"/>
              <w:bottom w:val="single" w:sz="4" w:space="0" w:color="auto"/>
            </w:tcBorders>
          </w:tcPr>
          <w:p w14:paraId="491EB0D5" w14:textId="138C15CA" w:rsidR="004B4E59" w:rsidRPr="00010126" w:rsidRDefault="004B4E59" w:rsidP="005149DB">
            <w:pPr>
              <w:spacing w:after="0" w:line="240" w:lineRule="auto"/>
              <w:jc w:val="right"/>
            </w:pPr>
            <w:r>
              <w:t>34.80</w:t>
            </w:r>
          </w:p>
        </w:tc>
        <w:tc>
          <w:tcPr>
            <w:tcW w:w="1090" w:type="dxa"/>
            <w:tcBorders>
              <w:top w:val="single" w:sz="8" w:space="0" w:color="auto"/>
              <w:bottom w:val="single" w:sz="4" w:space="0" w:color="auto"/>
            </w:tcBorders>
          </w:tcPr>
          <w:p w14:paraId="3972BECF" w14:textId="77777777" w:rsidR="004B4E59" w:rsidRPr="001E79BC" w:rsidRDefault="004B4E59" w:rsidP="005149DB">
            <w:pPr>
              <w:jc w:val="right"/>
              <w:rPr>
                <w:rFonts w:cstheme="minorHAnsi"/>
                <w:szCs w:val="20"/>
              </w:rPr>
            </w:pPr>
            <w:r>
              <w:rPr>
                <w:rFonts w:cstheme="minorHAnsi"/>
                <w:szCs w:val="20"/>
              </w:rPr>
              <w:t>n/a</w:t>
            </w:r>
          </w:p>
        </w:tc>
        <w:tc>
          <w:tcPr>
            <w:tcW w:w="1226" w:type="dxa"/>
            <w:tcBorders>
              <w:top w:val="single" w:sz="8" w:space="0" w:color="auto"/>
              <w:bottom w:val="single" w:sz="4" w:space="0" w:color="auto"/>
            </w:tcBorders>
          </w:tcPr>
          <w:p w14:paraId="020EE677" w14:textId="77777777" w:rsidR="004B4E59" w:rsidRPr="001E79BC" w:rsidRDefault="004B4E59" w:rsidP="005149DB">
            <w:pPr>
              <w:jc w:val="right"/>
              <w:rPr>
                <w:rFonts w:cstheme="minorHAnsi"/>
                <w:szCs w:val="20"/>
              </w:rPr>
            </w:pPr>
            <w:r>
              <w:rPr>
                <w:rFonts w:cstheme="minorHAnsi"/>
                <w:szCs w:val="20"/>
              </w:rPr>
              <w:t>n/a</w:t>
            </w:r>
          </w:p>
        </w:tc>
        <w:tc>
          <w:tcPr>
            <w:tcW w:w="1362" w:type="dxa"/>
            <w:tcBorders>
              <w:top w:val="single" w:sz="8" w:space="0" w:color="auto"/>
              <w:bottom w:val="single" w:sz="4" w:space="0" w:color="auto"/>
            </w:tcBorders>
          </w:tcPr>
          <w:p w14:paraId="10AC1FDA" w14:textId="77777777" w:rsidR="004B4E59" w:rsidRPr="001E79BC" w:rsidRDefault="004B4E59" w:rsidP="005149DB">
            <w:pPr>
              <w:jc w:val="right"/>
              <w:rPr>
                <w:rFonts w:cstheme="minorHAnsi"/>
                <w:szCs w:val="20"/>
              </w:rPr>
            </w:pPr>
            <w:r>
              <w:rPr>
                <w:rFonts w:cstheme="minorHAnsi"/>
                <w:szCs w:val="20"/>
              </w:rPr>
              <w:t>n/a</w:t>
            </w:r>
          </w:p>
        </w:tc>
        <w:tc>
          <w:tcPr>
            <w:tcW w:w="845" w:type="dxa"/>
            <w:tcBorders>
              <w:top w:val="single" w:sz="8" w:space="0" w:color="auto"/>
              <w:bottom w:val="single" w:sz="4" w:space="0" w:color="auto"/>
            </w:tcBorders>
          </w:tcPr>
          <w:p w14:paraId="364E9FA7" w14:textId="77777777" w:rsidR="004B4E59" w:rsidRPr="001E79BC" w:rsidRDefault="004B4E59" w:rsidP="005149DB">
            <w:pPr>
              <w:jc w:val="right"/>
              <w:rPr>
                <w:rFonts w:cstheme="minorHAnsi"/>
                <w:szCs w:val="20"/>
              </w:rPr>
            </w:pPr>
            <w:r>
              <w:rPr>
                <w:rFonts w:cstheme="minorHAnsi"/>
                <w:szCs w:val="20"/>
              </w:rPr>
              <w:t>n/a</w:t>
            </w:r>
          </w:p>
        </w:tc>
        <w:tc>
          <w:tcPr>
            <w:tcW w:w="1147" w:type="dxa"/>
            <w:tcBorders>
              <w:top w:val="single" w:sz="8" w:space="0" w:color="auto"/>
              <w:bottom w:val="single" w:sz="4" w:space="0" w:color="auto"/>
            </w:tcBorders>
          </w:tcPr>
          <w:p w14:paraId="014F8FA8" w14:textId="77777777" w:rsidR="004B4E59" w:rsidRPr="001E79BC" w:rsidRDefault="004B4E59" w:rsidP="005149DB">
            <w:pPr>
              <w:jc w:val="right"/>
              <w:rPr>
                <w:rFonts w:cstheme="minorHAnsi"/>
                <w:szCs w:val="20"/>
              </w:rPr>
            </w:pPr>
            <w:r>
              <w:rPr>
                <w:rFonts w:cstheme="minorHAnsi"/>
                <w:szCs w:val="20"/>
              </w:rPr>
              <w:t>n/a</w:t>
            </w:r>
          </w:p>
        </w:tc>
      </w:tr>
      <w:tr w:rsidR="004B4E59" w:rsidRPr="001E79BC" w14:paraId="260C88CD" w14:textId="77777777" w:rsidTr="005149DB">
        <w:trPr>
          <w:trHeight w:val="409"/>
        </w:trPr>
        <w:tc>
          <w:tcPr>
            <w:tcW w:w="2454" w:type="dxa"/>
            <w:tcBorders>
              <w:top w:val="single" w:sz="4" w:space="0" w:color="auto"/>
              <w:bottom w:val="single" w:sz="12" w:space="0" w:color="000000"/>
            </w:tcBorders>
            <w:vAlign w:val="bottom"/>
          </w:tcPr>
          <w:p w14:paraId="0A2D4AEC" w14:textId="77777777" w:rsidR="004B4E59" w:rsidRPr="001E79BC" w:rsidRDefault="004B4E59" w:rsidP="004B4E59">
            <w:pPr>
              <w:rPr>
                <w:rFonts w:cstheme="minorHAnsi"/>
                <w:szCs w:val="20"/>
              </w:rPr>
            </w:pPr>
            <w:r>
              <w:t>Treatment group</w:t>
            </w:r>
          </w:p>
        </w:tc>
        <w:tc>
          <w:tcPr>
            <w:tcW w:w="953" w:type="dxa"/>
            <w:tcBorders>
              <w:top w:val="single" w:sz="4" w:space="0" w:color="auto"/>
              <w:bottom w:val="single" w:sz="12" w:space="0" w:color="000000"/>
            </w:tcBorders>
          </w:tcPr>
          <w:p w14:paraId="06A002E0" w14:textId="6670F974" w:rsidR="004B4E59" w:rsidRPr="00010126" w:rsidRDefault="004B4E59" w:rsidP="004B4E59">
            <w:pPr>
              <w:jc w:val="right"/>
            </w:pPr>
            <w:r w:rsidRPr="000277E8">
              <w:t>44.30</w:t>
            </w:r>
          </w:p>
        </w:tc>
        <w:tc>
          <w:tcPr>
            <w:tcW w:w="1090" w:type="dxa"/>
            <w:tcBorders>
              <w:top w:val="single" w:sz="4" w:space="0" w:color="auto"/>
              <w:bottom w:val="single" w:sz="12" w:space="0" w:color="000000"/>
            </w:tcBorders>
          </w:tcPr>
          <w:p w14:paraId="439AF543" w14:textId="171EB3AE" w:rsidR="004B4E59" w:rsidRPr="00010126" w:rsidRDefault="004B4E59" w:rsidP="004B4E59">
            <w:pPr>
              <w:jc w:val="right"/>
            </w:pPr>
            <w:r w:rsidRPr="000277E8">
              <w:t>9.49</w:t>
            </w:r>
          </w:p>
        </w:tc>
        <w:tc>
          <w:tcPr>
            <w:tcW w:w="1226" w:type="dxa"/>
            <w:tcBorders>
              <w:top w:val="single" w:sz="4" w:space="0" w:color="auto"/>
              <w:bottom w:val="single" w:sz="12" w:space="0" w:color="000000"/>
            </w:tcBorders>
          </w:tcPr>
          <w:p w14:paraId="2ABFD36C" w14:textId="0FDFDA34" w:rsidR="004B4E59" w:rsidRPr="00010126" w:rsidRDefault="004B4E59" w:rsidP="004B4E59">
            <w:pPr>
              <w:jc w:val="right"/>
            </w:pPr>
            <w:r w:rsidRPr="000277E8">
              <w:t>1.86</w:t>
            </w:r>
          </w:p>
        </w:tc>
        <w:tc>
          <w:tcPr>
            <w:tcW w:w="1362" w:type="dxa"/>
            <w:tcBorders>
              <w:top w:val="single" w:sz="4" w:space="0" w:color="auto"/>
              <w:bottom w:val="single" w:sz="12" w:space="0" w:color="000000"/>
            </w:tcBorders>
          </w:tcPr>
          <w:p w14:paraId="1C1EA609" w14:textId="19C2B504" w:rsidR="004B4E59" w:rsidRPr="00010126" w:rsidRDefault="004B4E59" w:rsidP="004B4E59">
            <w:pPr>
              <w:jc w:val="right"/>
            </w:pPr>
            <w:r w:rsidRPr="000277E8">
              <w:t>(6.44 - Inf)</w:t>
            </w:r>
          </w:p>
        </w:tc>
        <w:tc>
          <w:tcPr>
            <w:tcW w:w="845" w:type="dxa"/>
            <w:tcBorders>
              <w:top w:val="single" w:sz="4" w:space="0" w:color="auto"/>
              <w:bottom w:val="single" w:sz="12" w:space="0" w:color="000000"/>
            </w:tcBorders>
          </w:tcPr>
          <w:p w14:paraId="5ED46BE7" w14:textId="5DA70FCD" w:rsidR="004B4E59" w:rsidRPr="001A5D85" w:rsidRDefault="004B4E59" w:rsidP="004B4E59">
            <w:pPr>
              <w:jc w:val="right"/>
            </w:pPr>
            <w:r w:rsidRPr="000277E8">
              <w:t>0.00</w:t>
            </w:r>
          </w:p>
        </w:tc>
        <w:tc>
          <w:tcPr>
            <w:tcW w:w="1147" w:type="dxa"/>
            <w:tcBorders>
              <w:top w:val="single" w:sz="4" w:space="0" w:color="auto"/>
              <w:bottom w:val="single" w:sz="12" w:space="0" w:color="000000"/>
            </w:tcBorders>
            <w:vAlign w:val="bottom"/>
          </w:tcPr>
          <w:p w14:paraId="163C6572" w14:textId="0C323EC1" w:rsidR="004B4E59" w:rsidRPr="001A5D85" w:rsidRDefault="004B4E59" w:rsidP="004B4E59">
            <w:pPr>
              <w:jc w:val="right"/>
            </w:pPr>
            <w:r>
              <w:t>0.00</w:t>
            </w:r>
          </w:p>
        </w:tc>
      </w:tr>
    </w:tbl>
    <w:p w14:paraId="7C350185" w14:textId="49343C63" w:rsidR="00FB190C" w:rsidRDefault="004B4E59" w:rsidP="00FB190C">
      <w:pPr>
        <w:pStyle w:val="SourceNotesText"/>
      </w:pPr>
      <w:r>
        <w:t>OLS model adjusted for gender, education, CALD status and awareness of FDVL legislation with HC2 robust standard errors. N = 2720</w:t>
      </w:r>
      <w:r w:rsidR="008F5B85">
        <w:t>.</w:t>
      </w:r>
    </w:p>
    <w:p w14:paraId="7E34A9CF" w14:textId="77777777" w:rsidR="004B4E59" w:rsidRDefault="004B4E59">
      <w:pPr>
        <w:spacing w:after="0" w:line="240" w:lineRule="auto"/>
        <w:rPr>
          <w:rFonts w:asciiTheme="majorHAnsi" w:hAnsiTheme="majorHAnsi"/>
          <w:b/>
          <w:color w:val="117479" w:themeColor="accent2"/>
          <w:sz w:val="24"/>
          <w:szCs w:val="44"/>
        </w:rPr>
      </w:pPr>
      <w:r>
        <w:br w:type="page"/>
      </w:r>
    </w:p>
    <w:p w14:paraId="52B44C4F" w14:textId="1CBC4876" w:rsidR="008A3290" w:rsidRDefault="004B4E59" w:rsidP="004B4E59">
      <w:pPr>
        <w:pStyle w:val="Heading3"/>
      </w:pPr>
      <w:r>
        <w:lastRenderedPageBreak/>
        <w:t>Secondary outcomes</w:t>
      </w:r>
    </w:p>
    <w:p w14:paraId="653A433B" w14:textId="7D066963" w:rsidR="004B4E59" w:rsidRPr="009F3C0D" w:rsidRDefault="00746ABF" w:rsidP="00746ABF">
      <w:pPr>
        <w:pStyle w:val="Caption"/>
      </w:pPr>
      <w:r>
        <w:t xml:space="preserve">Table 4. </w:t>
      </w:r>
      <w:r w:rsidR="00096E14">
        <w:t xml:space="preserve">Mean competence scores will be higher in </w:t>
      </w:r>
      <w:r w:rsidR="004B4E59">
        <w:t>the treatment group as compared with the control group</w:t>
      </w:r>
    </w:p>
    <w:tbl>
      <w:tblPr>
        <w:tblStyle w:val="TableGrid"/>
        <w:tblW w:w="793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Hypothesis 1: The ‘Make it easy’ email group will have a higher percentage of people declaring disability or other diversity status compared to the ‘Attention control’ email group."/>
        <w:tblDescription w:val="Table shows that significantly more people who recieved the Easy email declared having disability or other diversity statistics, compared to those who recieved the attention control email. "/>
      </w:tblPr>
      <w:tblGrid>
        <w:gridCol w:w="2454"/>
        <w:gridCol w:w="953"/>
        <w:gridCol w:w="1090"/>
        <w:gridCol w:w="1226"/>
        <w:gridCol w:w="1362"/>
        <w:gridCol w:w="845"/>
      </w:tblGrid>
      <w:tr w:rsidR="00096E14" w:rsidRPr="00531A0E" w14:paraId="0F990ADC" w14:textId="77777777" w:rsidTr="00096E14">
        <w:trPr>
          <w:trHeight w:val="932"/>
          <w:tblHeader/>
        </w:trPr>
        <w:tc>
          <w:tcPr>
            <w:tcW w:w="2454" w:type="dxa"/>
            <w:tcBorders>
              <w:top w:val="nil"/>
              <w:bottom w:val="single" w:sz="18" w:space="0" w:color="auto"/>
            </w:tcBorders>
            <w:shd w:val="clear" w:color="auto" w:fill="20B9A3" w:themeFill="accent1"/>
          </w:tcPr>
          <w:p w14:paraId="073209DA" w14:textId="77777777" w:rsidR="00096E14" w:rsidRPr="003E4D83" w:rsidRDefault="00096E14" w:rsidP="005149DB">
            <w:pPr>
              <w:pStyle w:val="TableHeading"/>
              <w:spacing w:after="0"/>
              <w:rPr>
                <w:rFonts w:cstheme="majorHAnsi"/>
                <w:b/>
                <w:sz w:val="20"/>
                <w:szCs w:val="20"/>
              </w:rPr>
            </w:pPr>
            <w:r w:rsidRPr="003E4D83">
              <w:rPr>
                <w:rFonts w:cstheme="majorHAnsi"/>
                <w:b/>
                <w:sz w:val="20"/>
                <w:szCs w:val="20"/>
              </w:rPr>
              <w:t>Condition</w:t>
            </w:r>
          </w:p>
        </w:tc>
        <w:tc>
          <w:tcPr>
            <w:tcW w:w="953" w:type="dxa"/>
            <w:tcBorders>
              <w:top w:val="nil"/>
              <w:bottom w:val="single" w:sz="18" w:space="0" w:color="auto"/>
            </w:tcBorders>
            <w:shd w:val="clear" w:color="auto" w:fill="20B9A3" w:themeFill="accent1"/>
          </w:tcPr>
          <w:p w14:paraId="25B09463"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Means (per cent)</w:t>
            </w:r>
          </w:p>
        </w:tc>
        <w:tc>
          <w:tcPr>
            <w:tcW w:w="1090" w:type="dxa"/>
            <w:tcBorders>
              <w:top w:val="nil"/>
              <w:bottom w:val="single" w:sz="18" w:space="0" w:color="auto"/>
            </w:tcBorders>
            <w:shd w:val="clear" w:color="auto" w:fill="20B9A3" w:themeFill="accent1"/>
          </w:tcPr>
          <w:p w14:paraId="0239698B"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Estimate (pp)</w:t>
            </w:r>
          </w:p>
        </w:tc>
        <w:tc>
          <w:tcPr>
            <w:tcW w:w="1226" w:type="dxa"/>
            <w:tcBorders>
              <w:top w:val="nil"/>
              <w:bottom w:val="single" w:sz="18" w:space="0" w:color="auto"/>
            </w:tcBorders>
            <w:shd w:val="clear" w:color="auto" w:fill="20B9A3" w:themeFill="accent1"/>
          </w:tcPr>
          <w:p w14:paraId="6F92A939"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Standard error (pp)</w:t>
            </w:r>
          </w:p>
        </w:tc>
        <w:tc>
          <w:tcPr>
            <w:tcW w:w="1362" w:type="dxa"/>
            <w:tcBorders>
              <w:top w:val="nil"/>
              <w:bottom w:val="single" w:sz="18" w:space="0" w:color="auto"/>
            </w:tcBorders>
            <w:shd w:val="clear" w:color="auto" w:fill="20B9A3" w:themeFill="accent1"/>
          </w:tcPr>
          <w:p w14:paraId="6872E498"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95% Confidence Interval (pp)</w:t>
            </w:r>
          </w:p>
        </w:tc>
        <w:tc>
          <w:tcPr>
            <w:tcW w:w="845" w:type="dxa"/>
            <w:tcBorders>
              <w:top w:val="nil"/>
              <w:bottom w:val="single" w:sz="18" w:space="0" w:color="auto"/>
            </w:tcBorders>
            <w:shd w:val="clear" w:color="auto" w:fill="20B9A3" w:themeFill="accent1"/>
          </w:tcPr>
          <w:p w14:paraId="1AB899ED"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p-value</w:t>
            </w:r>
          </w:p>
        </w:tc>
      </w:tr>
      <w:tr w:rsidR="00096E14" w:rsidRPr="001E79BC" w14:paraId="25938812" w14:textId="77777777" w:rsidTr="00096E14">
        <w:trPr>
          <w:trHeight w:val="397"/>
        </w:trPr>
        <w:tc>
          <w:tcPr>
            <w:tcW w:w="2454" w:type="dxa"/>
            <w:tcBorders>
              <w:top w:val="single" w:sz="8" w:space="0" w:color="auto"/>
              <w:bottom w:val="single" w:sz="4" w:space="0" w:color="auto"/>
            </w:tcBorders>
            <w:vAlign w:val="bottom"/>
          </w:tcPr>
          <w:p w14:paraId="7D4260A7" w14:textId="77777777" w:rsidR="00096E14" w:rsidRPr="004B4E59" w:rsidRDefault="00096E14" w:rsidP="005149DB">
            <w:r>
              <w:t>Control group</w:t>
            </w:r>
          </w:p>
        </w:tc>
        <w:tc>
          <w:tcPr>
            <w:tcW w:w="953" w:type="dxa"/>
            <w:tcBorders>
              <w:top w:val="single" w:sz="8" w:space="0" w:color="auto"/>
              <w:bottom w:val="single" w:sz="4" w:space="0" w:color="auto"/>
            </w:tcBorders>
          </w:tcPr>
          <w:p w14:paraId="7682D27D" w14:textId="353FB8A6" w:rsidR="00096E14" w:rsidRPr="00010126" w:rsidRDefault="00096E14" w:rsidP="00096E14">
            <w:pPr>
              <w:jc w:val="right"/>
            </w:pPr>
            <w:r>
              <w:t>4.06</w:t>
            </w:r>
          </w:p>
        </w:tc>
        <w:tc>
          <w:tcPr>
            <w:tcW w:w="1090" w:type="dxa"/>
            <w:tcBorders>
              <w:top w:val="single" w:sz="8" w:space="0" w:color="auto"/>
              <w:bottom w:val="single" w:sz="4" w:space="0" w:color="auto"/>
            </w:tcBorders>
          </w:tcPr>
          <w:p w14:paraId="13D1EDF0" w14:textId="77777777" w:rsidR="00096E14" w:rsidRPr="00096E14" w:rsidRDefault="00096E14" w:rsidP="00096E14">
            <w:pPr>
              <w:jc w:val="right"/>
            </w:pPr>
            <w:r w:rsidRPr="00096E14">
              <w:t>n/a</w:t>
            </w:r>
          </w:p>
        </w:tc>
        <w:tc>
          <w:tcPr>
            <w:tcW w:w="1226" w:type="dxa"/>
            <w:tcBorders>
              <w:top w:val="single" w:sz="8" w:space="0" w:color="auto"/>
              <w:bottom w:val="single" w:sz="4" w:space="0" w:color="auto"/>
            </w:tcBorders>
          </w:tcPr>
          <w:p w14:paraId="77A1D2A5" w14:textId="77777777" w:rsidR="00096E14" w:rsidRPr="00096E14" w:rsidRDefault="00096E14" w:rsidP="00096E14">
            <w:pPr>
              <w:jc w:val="right"/>
            </w:pPr>
            <w:r w:rsidRPr="00096E14">
              <w:t>n/a</w:t>
            </w:r>
          </w:p>
        </w:tc>
        <w:tc>
          <w:tcPr>
            <w:tcW w:w="1362" w:type="dxa"/>
            <w:tcBorders>
              <w:top w:val="single" w:sz="8" w:space="0" w:color="auto"/>
              <w:bottom w:val="single" w:sz="4" w:space="0" w:color="auto"/>
            </w:tcBorders>
          </w:tcPr>
          <w:p w14:paraId="161B0891" w14:textId="77777777" w:rsidR="00096E14" w:rsidRPr="00096E14" w:rsidRDefault="00096E14" w:rsidP="00096E14">
            <w:pPr>
              <w:jc w:val="right"/>
            </w:pPr>
            <w:r w:rsidRPr="00096E14">
              <w:t>n/a</w:t>
            </w:r>
          </w:p>
        </w:tc>
        <w:tc>
          <w:tcPr>
            <w:tcW w:w="845" w:type="dxa"/>
            <w:tcBorders>
              <w:top w:val="single" w:sz="8" w:space="0" w:color="auto"/>
              <w:bottom w:val="single" w:sz="4" w:space="0" w:color="auto"/>
            </w:tcBorders>
          </w:tcPr>
          <w:p w14:paraId="262469A3" w14:textId="77777777" w:rsidR="00096E14" w:rsidRPr="00096E14" w:rsidRDefault="00096E14" w:rsidP="00096E14">
            <w:pPr>
              <w:jc w:val="right"/>
            </w:pPr>
            <w:r w:rsidRPr="00096E14">
              <w:t>n/a</w:t>
            </w:r>
          </w:p>
        </w:tc>
      </w:tr>
      <w:tr w:rsidR="00096E14" w:rsidRPr="001E79BC" w14:paraId="57A00B94" w14:textId="77777777" w:rsidTr="00096E14">
        <w:trPr>
          <w:trHeight w:val="409"/>
        </w:trPr>
        <w:tc>
          <w:tcPr>
            <w:tcW w:w="2454" w:type="dxa"/>
            <w:tcBorders>
              <w:top w:val="single" w:sz="4" w:space="0" w:color="auto"/>
              <w:bottom w:val="single" w:sz="12" w:space="0" w:color="000000"/>
            </w:tcBorders>
            <w:vAlign w:val="bottom"/>
          </w:tcPr>
          <w:p w14:paraId="27D7D715" w14:textId="77777777" w:rsidR="00096E14" w:rsidRPr="001E79BC" w:rsidRDefault="00096E14" w:rsidP="00096E14">
            <w:pPr>
              <w:rPr>
                <w:rFonts w:cstheme="minorHAnsi"/>
                <w:szCs w:val="20"/>
              </w:rPr>
            </w:pPr>
            <w:r>
              <w:t>Treatment group</w:t>
            </w:r>
          </w:p>
        </w:tc>
        <w:tc>
          <w:tcPr>
            <w:tcW w:w="953" w:type="dxa"/>
            <w:tcBorders>
              <w:top w:val="single" w:sz="4" w:space="0" w:color="auto"/>
              <w:bottom w:val="single" w:sz="12" w:space="0" w:color="000000"/>
            </w:tcBorders>
          </w:tcPr>
          <w:p w14:paraId="1E63117B" w14:textId="4BA6424E" w:rsidR="00096E14" w:rsidRPr="00010126" w:rsidRDefault="00096E14" w:rsidP="00096E14">
            <w:pPr>
              <w:jc w:val="right"/>
            </w:pPr>
            <w:r>
              <w:t>4.13</w:t>
            </w:r>
          </w:p>
        </w:tc>
        <w:tc>
          <w:tcPr>
            <w:tcW w:w="1090" w:type="dxa"/>
            <w:tcBorders>
              <w:top w:val="single" w:sz="4" w:space="0" w:color="auto"/>
              <w:bottom w:val="single" w:sz="12" w:space="0" w:color="000000"/>
            </w:tcBorders>
            <w:vAlign w:val="bottom"/>
          </w:tcPr>
          <w:p w14:paraId="59A24EC9" w14:textId="7A5B76D3" w:rsidR="00096E14" w:rsidRPr="00010126" w:rsidRDefault="00096E14" w:rsidP="00096E14">
            <w:pPr>
              <w:jc w:val="right"/>
            </w:pPr>
            <w:r w:rsidRPr="00096E14">
              <w:t>0.07</w:t>
            </w:r>
          </w:p>
        </w:tc>
        <w:tc>
          <w:tcPr>
            <w:tcW w:w="1226" w:type="dxa"/>
            <w:tcBorders>
              <w:top w:val="single" w:sz="4" w:space="0" w:color="auto"/>
              <w:bottom w:val="single" w:sz="12" w:space="0" w:color="000000"/>
            </w:tcBorders>
            <w:vAlign w:val="bottom"/>
          </w:tcPr>
          <w:p w14:paraId="42B54A37" w14:textId="21EA70A5" w:rsidR="00096E14" w:rsidRPr="00010126" w:rsidRDefault="00096E14" w:rsidP="00096E14">
            <w:pPr>
              <w:jc w:val="right"/>
            </w:pPr>
            <w:r w:rsidRPr="00096E14">
              <w:t>0.03</w:t>
            </w:r>
          </w:p>
        </w:tc>
        <w:tc>
          <w:tcPr>
            <w:tcW w:w="1362" w:type="dxa"/>
            <w:tcBorders>
              <w:top w:val="single" w:sz="4" w:space="0" w:color="auto"/>
              <w:bottom w:val="single" w:sz="12" w:space="0" w:color="000000"/>
            </w:tcBorders>
            <w:vAlign w:val="bottom"/>
          </w:tcPr>
          <w:p w14:paraId="3FECE79D" w14:textId="39F02450" w:rsidR="00096E14" w:rsidRPr="00010126" w:rsidRDefault="00096E14" w:rsidP="00096E14">
            <w:pPr>
              <w:jc w:val="right"/>
            </w:pPr>
            <w:r w:rsidRPr="00096E14">
              <w:t>(0.02 - Inf)</w:t>
            </w:r>
          </w:p>
        </w:tc>
        <w:tc>
          <w:tcPr>
            <w:tcW w:w="845" w:type="dxa"/>
            <w:tcBorders>
              <w:top w:val="single" w:sz="4" w:space="0" w:color="auto"/>
              <w:bottom w:val="single" w:sz="12" w:space="0" w:color="000000"/>
            </w:tcBorders>
            <w:vAlign w:val="bottom"/>
          </w:tcPr>
          <w:p w14:paraId="7E7E3E62" w14:textId="4CADD7A5" w:rsidR="00096E14" w:rsidRPr="001A5D85" w:rsidRDefault="00096E14" w:rsidP="00096E14">
            <w:pPr>
              <w:jc w:val="right"/>
            </w:pPr>
            <w:r w:rsidRPr="00096E14">
              <w:t>0.02</w:t>
            </w:r>
          </w:p>
        </w:tc>
      </w:tr>
    </w:tbl>
    <w:p w14:paraId="31E91238" w14:textId="77777777" w:rsidR="004B4E59" w:rsidRDefault="004B4E59" w:rsidP="004B4E59">
      <w:pPr>
        <w:pStyle w:val="SourceNotesText"/>
      </w:pPr>
      <w:r>
        <w:t>OLS model adjusted for gender, education, CALD status and awareness of FDVL legislation with HC2 robust standard errors. N = 2720</w:t>
      </w:r>
    </w:p>
    <w:p w14:paraId="66B13F9D" w14:textId="77777777" w:rsidR="00096E14" w:rsidRDefault="00096E14" w:rsidP="004B4E59">
      <w:pPr>
        <w:pStyle w:val="SourceNotesText"/>
      </w:pPr>
    </w:p>
    <w:p w14:paraId="055BF7AF" w14:textId="5A3A7400" w:rsidR="00096E14" w:rsidRPr="009F3C0D" w:rsidRDefault="00746ABF" w:rsidP="00746ABF">
      <w:pPr>
        <w:pStyle w:val="Caption"/>
      </w:pPr>
      <w:r>
        <w:t xml:space="preserve">Table 5. </w:t>
      </w:r>
      <w:r w:rsidR="00096E14">
        <w:t>Mean AVAWS (attitude towards domestic violence) scores will be lower in the treatment group as compared with the control group</w:t>
      </w:r>
    </w:p>
    <w:tbl>
      <w:tblPr>
        <w:tblStyle w:val="TableGrid"/>
        <w:tblW w:w="793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Hypothesis 1: The ‘Make it easy’ email group will have a higher percentage of people declaring disability or other diversity status compared to the ‘Attention control’ email group."/>
        <w:tblDescription w:val="Table shows that significantly more people who recieved the Easy email declared having disability or other diversity statistics, compared to those who recieved the attention control email. "/>
      </w:tblPr>
      <w:tblGrid>
        <w:gridCol w:w="2454"/>
        <w:gridCol w:w="953"/>
        <w:gridCol w:w="1090"/>
        <w:gridCol w:w="1226"/>
        <w:gridCol w:w="1362"/>
        <w:gridCol w:w="845"/>
      </w:tblGrid>
      <w:tr w:rsidR="00096E14" w:rsidRPr="00531A0E" w14:paraId="04A31FCB" w14:textId="77777777" w:rsidTr="005149DB">
        <w:trPr>
          <w:trHeight w:val="932"/>
          <w:tblHeader/>
        </w:trPr>
        <w:tc>
          <w:tcPr>
            <w:tcW w:w="2454" w:type="dxa"/>
            <w:tcBorders>
              <w:top w:val="nil"/>
              <w:bottom w:val="single" w:sz="18" w:space="0" w:color="auto"/>
            </w:tcBorders>
            <w:shd w:val="clear" w:color="auto" w:fill="20B9A3" w:themeFill="accent1"/>
          </w:tcPr>
          <w:p w14:paraId="3439B6BD" w14:textId="77777777" w:rsidR="00096E14" w:rsidRPr="003E4D83" w:rsidRDefault="00096E14" w:rsidP="005149DB">
            <w:pPr>
              <w:pStyle w:val="TableHeading"/>
              <w:spacing w:after="0"/>
              <w:rPr>
                <w:rFonts w:cstheme="majorHAnsi"/>
                <w:b/>
                <w:sz w:val="20"/>
                <w:szCs w:val="20"/>
              </w:rPr>
            </w:pPr>
            <w:r w:rsidRPr="003E4D83">
              <w:rPr>
                <w:rFonts w:cstheme="majorHAnsi"/>
                <w:b/>
                <w:sz w:val="20"/>
                <w:szCs w:val="20"/>
              </w:rPr>
              <w:t>Condition</w:t>
            </w:r>
          </w:p>
        </w:tc>
        <w:tc>
          <w:tcPr>
            <w:tcW w:w="953" w:type="dxa"/>
            <w:tcBorders>
              <w:top w:val="nil"/>
              <w:bottom w:val="single" w:sz="18" w:space="0" w:color="auto"/>
            </w:tcBorders>
            <w:shd w:val="clear" w:color="auto" w:fill="20B9A3" w:themeFill="accent1"/>
          </w:tcPr>
          <w:p w14:paraId="2524330C"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Means (per cent)</w:t>
            </w:r>
          </w:p>
        </w:tc>
        <w:tc>
          <w:tcPr>
            <w:tcW w:w="1090" w:type="dxa"/>
            <w:tcBorders>
              <w:top w:val="nil"/>
              <w:bottom w:val="single" w:sz="18" w:space="0" w:color="auto"/>
            </w:tcBorders>
            <w:shd w:val="clear" w:color="auto" w:fill="20B9A3" w:themeFill="accent1"/>
          </w:tcPr>
          <w:p w14:paraId="78C72AA6"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Estimate (pp)</w:t>
            </w:r>
          </w:p>
        </w:tc>
        <w:tc>
          <w:tcPr>
            <w:tcW w:w="1226" w:type="dxa"/>
            <w:tcBorders>
              <w:top w:val="nil"/>
              <w:bottom w:val="single" w:sz="18" w:space="0" w:color="auto"/>
            </w:tcBorders>
            <w:shd w:val="clear" w:color="auto" w:fill="20B9A3" w:themeFill="accent1"/>
          </w:tcPr>
          <w:p w14:paraId="0BBC139A"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Standard error (pp)</w:t>
            </w:r>
          </w:p>
        </w:tc>
        <w:tc>
          <w:tcPr>
            <w:tcW w:w="1362" w:type="dxa"/>
            <w:tcBorders>
              <w:top w:val="nil"/>
              <w:bottom w:val="single" w:sz="18" w:space="0" w:color="auto"/>
            </w:tcBorders>
            <w:shd w:val="clear" w:color="auto" w:fill="20B9A3" w:themeFill="accent1"/>
          </w:tcPr>
          <w:p w14:paraId="4948A0A2"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95% Confidence Interval (pp)</w:t>
            </w:r>
          </w:p>
        </w:tc>
        <w:tc>
          <w:tcPr>
            <w:tcW w:w="845" w:type="dxa"/>
            <w:tcBorders>
              <w:top w:val="nil"/>
              <w:bottom w:val="single" w:sz="18" w:space="0" w:color="auto"/>
            </w:tcBorders>
            <w:shd w:val="clear" w:color="auto" w:fill="20B9A3" w:themeFill="accent1"/>
          </w:tcPr>
          <w:p w14:paraId="02474EB5"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p-value</w:t>
            </w:r>
          </w:p>
        </w:tc>
      </w:tr>
      <w:tr w:rsidR="00096E14" w:rsidRPr="001E79BC" w14:paraId="4741F0FB" w14:textId="77777777" w:rsidTr="005149DB">
        <w:trPr>
          <w:trHeight w:val="397"/>
        </w:trPr>
        <w:tc>
          <w:tcPr>
            <w:tcW w:w="2454" w:type="dxa"/>
            <w:tcBorders>
              <w:top w:val="single" w:sz="8" w:space="0" w:color="auto"/>
              <w:bottom w:val="single" w:sz="4" w:space="0" w:color="auto"/>
            </w:tcBorders>
            <w:vAlign w:val="bottom"/>
          </w:tcPr>
          <w:p w14:paraId="01075E68" w14:textId="77777777" w:rsidR="00096E14" w:rsidRPr="004B4E59" w:rsidRDefault="00096E14" w:rsidP="005149DB">
            <w:r>
              <w:t>Control group</w:t>
            </w:r>
          </w:p>
        </w:tc>
        <w:tc>
          <w:tcPr>
            <w:tcW w:w="953" w:type="dxa"/>
            <w:tcBorders>
              <w:top w:val="single" w:sz="8" w:space="0" w:color="auto"/>
              <w:bottom w:val="single" w:sz="4" w:space="0" w:color="auto"/>
            </w:tcBorders>
          </w:tcPr>
          <w:p w14:paraId="12BD73F9" w14:textId="5289169B" w:rsidR="00096E14" w:rsidRPr="00010126" w:rsidRDefault="00096E14" w:rsidP="005149DB">
            <w:pPr>
              <w:jc w:val="right"/>
            </w:pPr>
            <w:r>
              <w:t>1.63</w:t>
            </w:r>
          </w:p>
        </w:tc>
        <w:tc>
          <w:tcPr>
            <w:tcW w:w="1090" w:type="dxa"/>
            <w:tcBorders>
              <w:top w:val="single" w:sz="8" w:space="0" w:color="auto"/>
              <w:bottom w:val="single" w:sz="4" w:space="0" w:color="auto"/>
            </w:tcBorders>
          </w:tcPr>
          <w:p w14:paraId="0916C486" w14:textId="77777777" w:rsidR="00096E14" w:rsidRPr="00096E14" w:rsidRDefault="00096E14" w:rsidP="005149DB">
            <w:pPr>
              <w:jc w:val="right"/>
            </w:pPr>
            <w:r w:rsidRPr="00096E14">
              <w:t>n/a</w:t>
            </w:r>
          </w:p>
        </w:tc>
        <w:tc>
          <w:tcPr>
            <w:tcW w:w="1226" w:type="dxa"/>
            <w:tcBorders>
              <w:top w:val="single" w:sz="8" w:space="0" w:color="auto"/>
              <w:bottom w:val="single" w:sz="4" w:space="0" w:color="auto"/>
            </w:tcBorders>
          </w:tcPr>
          <w:p w14:paraId="497DEF10" w14:textId="77777777" w:rsidR="00096E14" w:rsidRPr="00096E14" w:rsidRDefault="00096E14" w:rsidP="005149DB">
            <w:pPr>
              <w:jc w:val="right"/>
            </w:pPr>
            <w:r w:rsidRPr="00096E14">
              <w:t>n/a</w:t>
            </w:r>
          </w:p>
        </w:tc>
        <w:tc>
          <w:tcPr>
            <w:tcW w:w="1362" w:type="dxa"/>
            <w:tcBorders>
              <w:top w:val="single" w:sz="8" w:space="0" w:color="auto"/>
              <w:bottom w:val="single" w:sz="4" w:space="0" w:color="auto"/>
            </w:tcBorders>
          </w:tcPr>
          <w:p w14:paraId="7F490ACD" w14:textId="77777777" w:rsidR="00096E14" w:rsidRPr="00096E14" w:rsidRDefault="00096E14" w:rsidP="005149DB">
            <w:pPr>
              <w:jc w:val="right"/>
            </w:pPr>
            <w:r w:rsidRPr="00096E14">
              <w:t>n/a</w:t>
            </w:r>
          </w:p>
        </w:tc>
        <w:tc>
          <w:tcPr>
            <w:tcW w:w="845" w:type="dxa"/>
            <w:tcBorders>
              <w:top w:val="single" w:sz="8" w:space="0" w:color="auto"/>
              <w:bottom w:val="single" w:sz="4" w:space="0" w:color="auto"/>
            </w:tcBorders>
          </w:tcPr>
          <w:p w14:paraId="303047DF" w14:textId="77777777" w:rsidR="00096E14" w:rsidRPr="00096E14" w:rsidRDefault="00096E14" w:rsidP="005149DB">
            <w:pPr>
              <w:jc w:val="right"/>
            </w:pPr>
            <w:r w:rsidRPr="00096E14">
              <w:t>n/a</w:t>
            </w:r>
          </w:p>
        </w:tc>
      </w:tr>
      <w:tr w:rsidR="00096E14" w:rsidRPr="001E79BC" w14:paraId="1F05740C" w14:textId="77777777" w:rsidTr="005149DB">
        <w:trPr>
          <w:trHeight w:val="409"/>
        </w:trPr>
        <w:tc>
          <w:tcPr>
            <w:tcW w:w="2454" w:type="dxa"/>
            <w:tcBorders>
              <w:top w:val="single" w:sz="4" w:space="0" w:color="auto"/>
              <w:bottom w:val="single" w:sz="12" w:space="0" w:color="000000"/>
            </w:tcBorders>
            <w:vAlign w:val="bottom"/>
          </w:tcPr>
          <w:p w14:paraId="47C6A526" w14:textId="77777777" w:rsidR="00096E14" w:rsidRPr="001E79BC" w:rsidRDefault="00096E14" w:rsidP="00096E14">
            <w:pPr>
              <w:rPr>
                <w:rFonts w:cstheme="minorHAnsi"/>
                <w:szCs w:val="20"/>
              </w:rPr>
            </w:pPr>
            <w:r>
              <w:t>Treatment group</w:t>
            </w:r>
          </w:p>
        </w:tc>
        <w:tc>
          <w:tcPr>
            <w:tcW w:w="953" w:type="dxa"/>
            <w:tcBorders>
              <w:top w:val="single" w:sz="4" w:space="0" w:color="auto"/>
              <w:bottom w:val="single" w:sz="12" w:space="0" w:color="000000"/>
            </w:tcBorders>
          </w:tcPr>
          <w:p w14:paraId="2ABA8616" w14:textId="3E87932B" w:rsidR="00096E14" w:rsidRPr="00010126" w:rsidRDefault="00096E14" w:rsidP="00096E14">
            <w:pPr>
              <w:jc w:val="right"/>
            </w:pPr>
            <w:r w:rsidRPr="00882CC2">
              <w:t>1.7</w:t>
            </w:r>
            <w:r>
              <w:t>1</w:t>
            </w:r>
          </w:p>
        </w:tc>
        <w:tc>
          <w:tcPr>
            <w:tcW w:w="1090" w:type="dxa"/>
            <w:tcBorders>
              <w:top w:val="single" w:sz="4" w:space="0" w:color="auto"/>
              <w:bottom w:val="single" w:sz="12" w:space="0" w:color="000000"/>
            </w:tcBorders>
          </w:tcPr>
          <w:p w14:paraId="50B6C751" w14:textId="2F4607B5" w:rsidR="00096E14" w:rsidRPr="00010126" w:rsidRDefault="00096E14" w:rsidP="00096E14">
            <w:pPr>
              <w:jc w:val="right"/>
            </w:pPr>
            <w:r w:rsidRPr="00882CC2">
              <w:t>0.08</w:t>
            </w:r>
          </w:p>
        </w:tc>
        <w:tc>
          <w:tcPr>
            <w:tcW w:w="1226" w:type="dxa"/>
            <w:tcBorders>
              <w:top w:val="single" w:sz="4" w:space="0" w:color="auto"/>
              <w:bottom w:val="single" w:sz="12" w:space="0" w:color="000000"/>
            </w:tcBorders>
          </w:tcPr>
          <w:p w14:paraId="0F0959A7" w14:textId="722188C0" w:rsidR="00096E14" w:rsidRPr="00010126" w:rsidRDefault="00096E14" w:rsidP="00096E14">
            <w:pPr>
              <w:jc w:val="right"/>
            </w:pPr>
            <w:r w:rsidRPr="00882CC2">
              <w:t>0.02</w:t>
            </w:r>
          </w:p>
        </w:tc>
        <w:tc>
          <w:tcPr>
            <w:tcW w:w="1362" w:type="dxa"/>
            <w:tcBorders>
              <w:top w:val="single" w:sz="4" w:space="0" w:color="auto"/>
              <w:bottom w:val="single" w:sz="12" w:space="0" w:color="000000"/>
            </w:tcBorders>
          </w:tcPr>
          <w:p w14:paraId="74C10C5E" w14:textId="7FC29921" w:rsidR="00096E14" w:rsidRPr="00010126" w:rsidRDefault="00096E14" w:rsidP="00096E14">
            <w:pPr>
              <w:jc w:val="right"/>
            </w:pPr>
            <w:r w:rsidRPr="00882CC2">
              <w:t>(-Inf - 0.11)</w:t>
            </w:r>
          </w:p>
        </w:tc>
        <w:tc>
          <w:tcPr>
            <w:tcW w:w="845" w:type="dxa"/>
            <w:tcBorders>
              <w:top w:val="single" w:sz="4" w:space="0" w:color="auto"/>
              <w:bottom w:val="single" w:sz="12" w:space="0" w:color="000000"/>
            </w:tcBorders>
          </w:tcPr>
          <w:p w14:paraId="2D0474E6" w14:textId="3B8F1C9F" w:rsidR="00096E14" w:rsidRPr="001A5D85" w:rsidRDefault="00096E14" w:rsidP="00096E14">
            <w:pPr>
              <w:jc w:val="right"/>
            </w:pPr>
            <w:r w:rsidRPr="00882CC2">
              <w:t>1.00</w:t>
            </w:r>
          </w:p>
        </w:tc>
      </w:tr>
    </w:tbl>
    <w:p w14:paraId="2F41B7B1" w14:textId="3BEBD3CC" w:rsidR="00096E14" w:rsidRDefault="00096E14" w:rsidP="00096E14">
      <w:pPr>
        <w:pStyle w:val="SourceNotesText"/>
      </w:pPr>
      <w:r>
        <w:t>OLS model adjusted for gender, education, CALD status and awareness of FDVL legislation with HC2 robust standard errors. N = 2702</w:t>
      </w:r>
    </w:p>
    <w:p w14:paraId="5E69367B" w14:textId="77777777" w:rsidR="00096E14" w:rsidRDefault="00096E14" w:rsidP="004B4E59">
      <w:pPr>
        <w:pStyle w:val="SourceNotesText"/>
      </w:pPr>
    </w:p>
    <w:p w14:paraId="06AFE65D" w14:textId="71F0923F" w:rsidR="00096E14" w:rsidRPr="009F3C0D" w:rsidRDefault="00746ABF" w:rsidP="00746ABF">
      <w:pPr>
        <w:pStyle w:val="Caption"/>
      </w:pPr>
      <w:r>
        <w:t xml:space="preserve">Table 6. </w:t>
      </w:r>
      <w:r w:rsidR="00096E14">
        <w:t>Mean AGIS (attitude towards gender equality) scores will be lower in the treatment group as compared with the control group</w:t>
      </w:r>
    </w:p>
    <w:tbl>
      <w:tblPr>
        <w:tblStyle w:val="TableGrid"/>
        <w:tblW w:w="793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Hypothesis 1: The ‘Make it easy’ email group will have a higher percentage of people declaring disability or other diversity status compared to the ‘Attention control’ email group."/>
        <w:tblDescription w:val="Table shows that significantly more people who recieved the Easy email declared having disability or other diversity statistics, compared to those who recieved the attention control email. "/>
      </w:tblPr>
      <w:tblGrid>
        <w:gridCol w:w="2454"/>
        <w:gridCol w:w="953"/>
        <w:gridCol w:w="1090"/>
        <w:gridCol w:w="1226"/>
        <w:gridCol w:w="1362"/>
        <w:gridCol w:w="845"/>
      </w:tblGrid>
      <w:tr w:rsidR="00096E14" w:rsidRPr="00531A0E" w14:paraId="1EACC6DD" w14:textId="77777777" w:rsidTr="005149DB">
        <w:trPr>
          <w:trHeight w:val="932"/>
          <w:tblHeader/>
        </w:trPr>
        <w:tc>
          <w:tcPr>
            <w:tcW w:w="2454" w:type="dxa"/>
            <w:tcBorders>
              <w:top w:val="nil"/>
              <w:bottom w:val="single" w:sz="18" w:space="0" w:color="auto"/>
            </w:tcBorders>
            <w:shd w:val="clear" w:color="auto" w:fill="20B9A3" w:themeFill="accent1"/>
          </w:tcPr>
          <w:p w14:paraId="25254066" w14:textId="77777777" w:rsidR="00096E14" w:rsidRPr="003E4D83" w:rsidRDefault="00096E14" w:rsidP="005149DB">
            <w:pPr>
              <w:pStyle w:val="TableHeading"/>
              <w:spacing w:after="0"/>
              <w:rPr>
                <w:rFonts w:cstheme="majorHAnsi"/>
                <w:b/>
                <w:sz w:val="20"/>
                <w:szCs w:val="20"/>
              </w:rPr>
            </w:pPr>
            <w:r w:rsidRPr="003E4D83">
              <w:rPr>
                <w:rFonts w:cstheme="majorHAnsi"/>
                <w:b/>
                <w:sz w:val="20"/>
                <w:szCs w:val="20"/>
              </w:rPr>
              <w:t>Condition</w:t>
            </w:r>
          </w:p>
        </w:tc>
        <w:tc>
          <w:tcPr>
            <w:tcW w:w="953" w:type="dxa"/>
            <w:tcBorders>
              <w:top w:val="nil"/>
              <w:bottom w:val="single" w:sz="18" w:space="0" w:color="auto"/>
            </w:tcBorders>
            <w:shd w:val="clear" w:color="auto" w:fill="20B9A3" w:themeFill="accent1"/>
          </w:tcPr>
          <w:p w14:paraId="21244EE4"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Means (per cent)</w:t>
            </w:r>
          </w:p>
        </w:tc>
        <w:tc>
          <w:tcPr>
            <w:tcW w:w="1090" w:type="dxa"/>
            <w:tcBorders>
              <w:top w:val="nil"/>
              <w:bottom w:val="single" w:sz="18" w:space="0" w:color="auto"/>
            </w:tcBorders>
            <w:shd w:val="clear" w:color="auto" w:fill="20B9A3" w:themeFill="accent1"/>
          </w:tcPr>
          <w:p w14:paraId="08F33F66"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Estimate (pp)</w:t>
            </w:r>
          </w:p>
        </w:tc>
        <w:tc>
          <w:tcPr>
            <w:tcW w:w="1226" w:type="dxa"/>
            <w:tcBorders>
              <w:top w:val="nil"/>
              <w:bottom w:val="single" w:sz="18" w:space="0" w:color="auto"/>
            </w:tcBorders>
            <w:shd w:val="clear" w:color="auto" w:fill="20B9A3" w:themeFill="accent1"/>
          </w:tcPr>
          <w:p w14:paraId="76D3D2DD"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Standard error (pp)</w:t>
            </w:r>
          </w:p>
        </w:tc>
        <w:tc>
          <w:tcPr>
            <w:tcW w:w="1362" w:type="dxa"/>
            <w:tcBorders>
              <w:top w:val="nil"/>
              <w:bottom w:val="single" w:sz="18" w:space="0" w:color="auto"/>
            </w:tcBorders>
            <w:shd w:val="clear" w:color="auto" w:fill="20B9A3" w:themeFill="accent1"/>
          </w:tcPr>
          <w:p w14:paraId="374D6BEF"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95% Confidence Interval (pp)</w:t>
            </w:r>
          </w:p>
        </w:tc>
        <w:tc>
          <w:tcPr>
            <w:tcW w:w="845" w:type="dxa"/>
            <w:tcBorders>
              <w:top w:val="nil"/>
              <w:bottom w:val="single" w:sz="18" w:space="0" w:color="auto"/>
            </w:tcBorders>
            <w:shd w:val="clear" w:color="auto" w:fill="20B9A3" w:themeFill="accent1"/>
          </w:tcPr>
          <w:p w14:paraId="30328F36" w14:textId="77777777" w:rsidR="00096E14" w:rsidRPr="003E4D83" w:rsidRDefault="00096E14" w:rsidP="005149DB">
            <w:pPr>
              <w:pStyle w:val="TableHeading"/>
              <w:spacing w:after="0"/>
              <w:jc w:val="right"/>
              <w:rPr>
                <w:rFonts w:cstheme="majorHAnsi"/>
                <w:b/>
                <w:sz w:val="20"/>
                <w:szCs w:val="20"/>
              </w:rPr>
            </w:pPr>
            <w:r w:rsidRPr="003E4D83">
              <w:rPr>
                <w:rFonts w:cstheme="majorHAnsi"/>
                <w:b/>
                <w:sz w:val="20"/>
                <w:szCs w:val="20"/>
              </w:rPr>
              <w:t>p-value</w:t>
            </w:r>
          </w:p>
        </w:tc>
      </w:tr>
      <w:tr w:rsidR="00096E14" w:rsidRPr="001E79BC" w14:paraId="5EEF3561" w14:textId="77777777" w:rsidTr="005149DB">
        <w:trPr>
          <w:trHeight w:val="397"/>
        </w:trPr>
        <w:tc>
          <w:tcPr>
            <w:tcW w:w="2454" w:type="dxa"/>
            <w:tcBorders>
              <w:top w:val="single" w:sz="8" w:space="0" w:color="auto"/>
              <w:bottom w:val="single" w:sz="4" w:space="0" w:color="auto"/>
            </w:tcBorders>
            <w:vAlign w:val="bottom"/>
          </w:tcPr>
          <w:p w14:paraId="6555C142" w14:textId="77777777" w:rsidR="00096E14" w:rsidRPr="004B4E59" w:rsidRDefault="00096E14" w:rsidP="005149DB">
            <w:r>
              <w:t>Control group</w:t>
            </w:r>
          </w:p>
        </w:tc>
        <w:tc>
          <w:tcPr>
            <w:tcW w:w="953" w:type="dxa"/>
            <w:tcBorders>
              <w:top w:val="single" w:sz="8" w:space="0" w:color="auto"/>
              <w:bottom w:val="single" w:sz="4" w:space="0" w:color="auto"/>
            </w:tcBorders>
          </w:tcPr>
          <w:p w14:paraId="25E3EAED" w14:textId="4811F706" w:rsidR="00096E14" w:rsidRPr="00010126" w:rsidRDefault="00096E14" w:rsidP="005149DB">
            <w:pPr>
              <w:jc w:val="right"/>
            </w:pPr>
            <w:r>
              <w:t>1.79</w:t>
            </w:r>
          </w:p>
        </w:tc>
        <w:tc>
          <w:tcPr>
            <w:tcW w:w="1090" w:type="dxa"/>
            <w:tcBorders>
              <w:top w:val="single" w:sz="8" w:space="0" w:color="auto"/>
              <w:bottom w:val="single" w:sz="4" w:space="0" w:color="auto"/>
            </w:tcBorders>
          </w:tcPr>
          <w:p w14:paraId="33B859CB" w14:textId="77777777" w:rsidR="00096E14" w:rsidRPr="00096E14" w:rsidRDefault="00096E14" w:rsidP="005149DB">
            <w:pPr>
              <w:jc w:val="right"/>
            </w:pPr>
            <w:r w:rsidRPr="00096E14">
              <w:t>n/a</w:t>
            </w:r>
          </w:p>
        </w:tc>
        <w:tc>
          <w:tcPr>
            <w:tcW w:w="1226" w:type="dxa"/>
            <w:tcBorders>
              <w:top w:val="single" w:sz="8" w:space="0" w:color="auto"/>
              <w:bottom w:val="single" w:sz="4" w:space="0" w:color="auto"/>
            </w:tcBorders>
          </w:tcPr>
          <w:p w14:paraId="42599677" w14:textId="77777777" w:rsidR="00096E14" w:rsidRPr="00096E14" w:rsidRDefault="00096E14" w:rsidP="005149DB">
            <w:pPr>
              <w:jc w:val="right"/>
            </w:pPr>
            <w:r w:rsidRPr="00096E14">
              <w:t>n/a</w:t>
            </w:r>
          </w:p>
        </w:tc>
        <w:tc>
          <w:tcPr>
            <w:tcW w:w="1362" w:type="dxa"/>
            <w:tcBorders>
              <w:top w:val="single" w:sz="8" w:space="0" w:color="auto"/>
              <w:bottom w:val="single" w:sz="4" w:space="0" w:color="auto"/>
            </w:tcBorders>
          </w:tcPr>
          <w:p w14:paraId="01EE2548" w14:textId="77777777" w:rsidR="00096E14" w:rsidRPr="00096E14" w:rsidRDefault="00096E14" w:rsidP="005149DB">
            <w:pPr>
              <w:jc w:val="right"/>
            </w:pPr>
            <w:r w:rsidRPr="00096E14">
              <w:t>n/a</w:t>
            </w:r>
          </w:p>
        </w:tc>
        <w:tc>
          <w:tcPr>
            <w:tcW w:w="845" w:type="dxa"/>
            <w:tcBorders>
              <w:top w:val="single" w:sz="8" w:space="0" w:color="auto"/>
              <w:bottom w:val="single" w:sz="4" w:space="0" w:color="auto"/>
            </w:tcBorders>
          </w:tcPr>
          <w:p w14:paraId="2818EAAA" w14:textId="77777777" w:rsidR="00096E14" w:rsidRPr="00096E14" w:rsidRDefault="00096E14" w:rsidP="005149DB">
            <w:pPr>
              <w:jc w:val="right"/>
            </w:pPr>
            <w:r w:rsidRPr="00096E14">
              <w:t>n/a</w:t>
            </w:r>
          </w:p>
        </w:tc>
      </w:tr>
      <w:tr w:rsidR="00096E14" w:rsidRPr="001E79BC" w14:paraId="520A6471" w14:textId="77777777" w:rsidTr="005149DB">
        <w:trPr>
          <w:trHeight w:val="409"/>
        </w:trPr>
        <w:tc>
          <w:tcPr>
            <w:tcW w:w="2454" w:type="dxa"/>
            <w:tcBorders>
              <w:top w:val="single" w:sz="4" w:space="0" w:color="auto"/>
              <w:bottom w:val="single" w:sz="12" w:space="0" w:color="000000"/>
            </w:tcBorders>
            <w:vAlign w:val="bottom"/>
          </w:tcPr>
          <w:p w14:paraId="19DFAEDF" w14:textId="77777777" w:rsidR="00096E14" w:rsidRPr="001E79BC" w:rsidRDefault="00096E14" w:rsidP="00096E14">
            <w:pPr>
              <w:rPr>
                <w:rFonts w:cstheme="minorHAnsi"/>
                <w:szCs w:val="20"/>
              </w:rPr>
            </w:pPr>
            <w:r>
              <w:t>Treatment group</w:t>
            </w:r>
          </w:p>
        </w:tc>
        <w:tc>
          <w:tcPr>
            <w:tcW w:w="953" w:type="dxa"/>
            <w:tcBorders>
              <w:top w:val="single" w:sz="4" w:space="0" w:color="auto"/>
              <w:bottom w:val="single" w:sz="12" w:space="0" w:color="000000"/>
            </w:tcBorders>
          </w:tcPr>
          <w:p w14:paraId="35445251" w14:textId="1CAEB8BB" w:rsidR="00096E14" w:rsidRPr="00010126" w:rsidRDefault="00096E14" w:rsidP="00096E14">
            <w:pPr>
              <w:jc w:val="right"/>
            </w:pPr>
            <w:r w:rsidRPr="006970C7">
              <w:t>1.8</w:t>
            </w:r>
            <w:r>
              <w:t>2</w:t>
            </w:r>
          </w:p>
        </w:tc>
        <w:tc>
          <w:tcPr>
            <w:tcW w:w="1090" w:type="dxa"/>
            <w:tcBorders>
              <w:top w:val="single" w:sz="4" w:space="0" w:color="auto"/>
              <w:bottom w:val="single" w:sz="12" w:space="0" w:color="000000"/>
            </w:tcBorders>
          </w:tcPr>
          <w:p w14:paraId="1916B4D6" w14:textId="75C539DE" w:rsidR="00096E14" w:rsidRPr="00010126" w:rsidRDefault="00096E14" w:rsidP="00096E14">
            <w:pPr>
              <w:jc w:val="right"/>
            </w:pPr>
            <w:r w:rsidRPr="006970C7">
              <w:t>0.03</w:t>
            </w:r>
          </w:p>
        </w:tc>
        <w:tc>
          <w:tcPr>
            <w:tcW w:w="1226" w:type="dxa"/>
            <w:tcBorders>
              <w:top w:val="single" w:sz="4" w:space="0" w:color="auto"/>
              <w:bottom w:val="single" w:sz="12" w:space="0" w:color="000000"/>
            </w:tcBorders>
          </w:tcPr>
          <w:p w14:paraId="17242D31" w14:textId="6F039FFB" w:rsidR="00096E14" w:rsidRPr="00010126" w:rsidRDefault="00096E14" w:rsidP="00096E14">
            <w:pPr>
              <w:jc w:val="right"/>
            </w:pPr>
            <w:r w:rsidRPr="006970C7">
              <w:t>0.02</w:t>
            </w:r>
          </w:p>
        </w:tc>
        <w:tc>
          <w:tcPr>
            <w:tcW w:w="1362" w:type="dxa"/>
            <w:tcBorders>
              <w:top w:val="single" w:sz="4" w:space="0" w:color="auto"/>
              <w:bottom w:val="single" w:sz="12" w:space="0" w:color="000000"/>
            </w:tcBorders>
          </w:tcPr>
          <w:p w14:paraId="61E67429" w14:textId="73A64EB6" w:rsidR="00096E14" w:rsidRPr="00010126" w:rsidRDefault="00096E14" w:rsidP="00096E14">
            <w:pPr>
              <w:jc w:val="right"/>
            </w:pPr>
            <w:r w:rsidRPr="006970C7">
              <w:t>(-Inf - 0.06)</w:t>
            </w:r>
          </w:p>
        </w:tc>
        <w:tc>
          <w:tcPr>
            <w:tcW w:w="845" w:type="dxa"/>
            <w:tcBorders>
              <w:top w:val="single" w:sz="4" w:space="0" w:color="auto"/>
              <w:bottom w:val="single" w:sz="12" w:space="0" w:color="000000"/>
            </w:tcBorders>
          </w:tcPr>
          <w:p w14:paraId="61032E0C" w14:textId="387BDC3B" w:rsidR="00096E14" w:rsidRPr="001A5D85" w:rsidRDefault="00096E14" w:rsidP="00096E14">
            <w:pPr>
              <w:jc w:val="right"/>
            </w:pPr>
            <w:r w:rsidRPr="006970C7">
              <w:t>0.87</w:t>
            </w:r>
          </w:p>
        </w:tc>
      </w:tr>
    </w:tbl>
    <w:p w14:paraId="73BC13F8" w14:textId="77777777" w:rsidR="00096E14" w:rsidRDefault="00096E14" w:rsidP="00096E14">
      <w:pPr>
        <w:pStyle w:val="SourceNotesText"/>
      </w:pPr>
      <w:r>
        <w:t>OLS model adjusted for gender, education, CALD status and awareness of FDVL legislation with HC2 robust standard errors. N = 2702</w:t>
      </w:r>
    </w:p>
    <w:p w14:paraId="115717E5" w14:textId="77777777" w:rsidR="00096E14" w:rsidRDefault="00096E14" w:rsidP="00096E14">
      <w:pPr>
        <w:pStyle w:val="SourceNotesText"/>
      </w:pPr>
    </w:p>
    <w:p w14:paraId="1CB27E9C" w14:textId="7225A7AB" w:rsidR="00096E14" w:rsidRDefault="00096E14">
      <w:pPr>
        <w:spacing w:after="0" w:line="240" w:lineRule="auto"/>
        <w:rPr>
          <w:i/>
          <w:sz w:val="18"/>
          <w:szCs w:val="16"/>
        </w:rPr>
      </w:pPr>
      <w:r>
        <w:br w:type="page"/>
      </w:r>
    </w:p>
    <w:p w14:paraId="299E3D2A" w14:textId="25AB922C" w:rsidR="00096E14" w:rsidRDefault="00096E14" w:rsidP="00096E14">
      <w:pPr>
        <w:pStyle w:val="Heading3"/>
      </w:pPr>
      <w:r>
        <w:lastRenderedPageBreak/>
        <w:t>Subgroup analyses</w:t>
      </w:r>
    </w:p>
    <w:p w14:paraId="6690A6E9" w14:textId="66DD953D" w:rsidR="00096E14" w:rsidRDefault="00096E14" w:rsidP="00096E14">
      <w:r>
        <w:t>We examined whether there were differences</w:t>
      </w:r>
      <w:r w:rsidR="007B687F">
        <w:t xml:space="preserve"> in bonus amount and recommendation for a managerial position by </w:t>
      </w:r>
      <w:r w:rsidR="00F85415">
        <w:t xml:space="preserve">whether </w:t>
      </w:r>
      <w:r w:rsidR="007B687F">
        <w:t xml:space="preserve">the industry </w:t>
      </w:r>
      <w:r w:rsidR="00F85415">
        <w:t xml:space="preserve">type was female dominated, male dominated or </w:t>
      </w:r>
      <w:r w:rsidR="00F85415" w:rsidRPr="00F85415">
        <w:t>mixed</w:t>
      </w:r>
      <w:r w:rsidR="00EC71B3">
        <w:t xml:space="preserve"> gender</w:t>
      </w:r>
      <w:r w:rsidR="008F1ABA">
        <w:t>. Respondents</w:t>
      </w:r>
      <w:r w:rsidR="00F502C5">
        <w:t>’</w:t>
      </w:r>
      <w:r w:rsidR="008F1ABA">
        <w:t xml:space="preserve"> industry type was classified in accordance with classifications set out by the </w:t>
      </w:r>
      <w:r w:rsidR="00F85415" w:rsidRPr="00F85415">
        <w:t>Workplace Gender Equality Agency (2019).</w:t>
      </w:r>
    </w:p>
    <w:p w14:paraId="28466B69" w14:textId="5DB3225F" w:rsidR="00E502B3" w:rsidRDefault="00E502B3" w:rsidP="00096E14">
      <w:r>
        <w:t>There were no interaction effects observed but the experiment was not powered to detect an interaction effect.</w:t>
      </w:r>
    </w:p>
    <w:p w14:paraId="5C5DAAD0" w14:textId="4DA03B43" w:rsidR="007B687F" w:rsidRPr="009F3C0D" w:rsidRDefault="00746ABF" w:rsidP="00746ABF">
      <w:pPr>
        <w:pStyle w:val="Caption"/>
      </w:pPr>
      <w:r>
        <w:t xml:space="preserve">Table 7. </w:t>
      </w:r>
      <w:r w:rsidR="007B687F">
        <w:t>Bonus outcome by industry type</w:t>
      </w:r>
    </w:p>
    <w:tbl>
      <w:tblPr>
        <w:tblStyle w:val="TableGrid"/>
        <w:tblW w:w="849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Hypothesis 1: The ‘Make it easy’ email group will have a higher percentage of people declaring disability or other diversity status compared to the ‘Attention control’ email group."/>
        <w:tblDescription w:val="Table shows that significantly more people who recieved the Easy email declared having disability or other diversity statistics, compared to those who recieved the attention control email. "/>
      </w:tblPr>
      <w:tblGrid>
        <w:gridCol w:w="2454"/>
        <w:gridCol w:w="953"/>
        <w:gridCol w:w="1273"/>
        <w:gridCol w:w="1226"/>
        <w:gridCol w:w="1747"/>
        <w:gridCol w:w="845"/>
      </w:tblGrid>
      <w:tr w:rsidR="007B687F" w:rsidRPr="00531A0E" w14:paraId="44BB4EF6" w14:textId="77777777" w:rsidTr="00ED7D72">
        <w:trPr>
          <w:trHeight w:val="932"/>
          <w:tblHeader/>
        </w:trPr>
        <w:tc>
          <w:tcPr>
            <w:tcW w:w="2454" w:type="dxa"/>
            <w:tcBorders>
              <w:top w:val="nil"/>
              <w:bottom w:val="single" w:sz="18" w:space="0" w:color="auto"/>
            </w:tcBorders>
            <w:shd w:val="clear" w:color="auto" w:fill="20B9A3" w:themeFill="accent1"/>
          </w:tcPr>
          <w:p w14:paraId="106ED5CA" w14:textId="77777777" w:rsidR="007B687F" w:rsidRPr="003E4D83" w:rsidRDefault="007B687F" w:rsidP="005149DB">
            <w:pPr>
              <w:pStyle w:val="TableHeading"/>
              <w:spacing w:after="0"/>
              <w:rPr>
                <w:rFonts w:cstheme="majorHAnsi"/>
                <w:b/>
                <w:sz w:val="20"/>
                <w:szCs w:val="20"/>
              </w:rPr>
            </w:pPr>
            <w:r w:rsidRPr="003E4D83">
              <w:rPr>
                <w:rFonts w:cstheme="majorHAnsi"/>
                <w:b/>
                <w:sz w:val="20"/>
                <w:szCs w:val="20"/>
              </w:rPr>
              <w:t>Condition</w:t>
            </w:r>
          </w:p>
        </w:tc>
        <w:tc>
          <w:tcPr>
            <w:tcW w:w="953" w:type="dxa"/>
            <w:tcBorders>
              <w:top w:val="nil"/>
              <w:bottom w:val="single" w:sz="18" w:space="0" w:color="auto"/>
            </w:tcBorders>
            <w:shd w:val="clear" w:color="auto" w:fill="20B9A3" w:themeFill="accent1"/>
          </w:tcPr>
          <w:p w14:paraId="070C7343" w14:textId="77777777" w:rsidR="007B687F" w:rsidRPr="003E4D83" w:rsidRDefault="007B687F" w:rsidP="005149DB">
            <w:pPr>
              <w:pStyle w:val="TableHeading"/>
              <w:spacing w:after="0"/>
              <w:jc w:val="right"/>
              <w:rPr>
                <w:rFonts w:cstheme="majorHAnsi"/>
                <w:b/>
                <w:sz w:val="20"/>
                <w:szCs w:val="20"/>
              </w:rPr>
            </w:pPr>
            <w:r w:rsidRPr="003E4D83">
              <w:rPr>
                <w:rFonts w:cstheme="majorHAnsi"/>
                <w:b/>
                <w:sz w:val="20"/>
                <w:szCs w:val="20"/>
              </w:rPr>
              <w:t>Means (per cent)</w:t>
            </w:r>
          </w:p>
        </w:tc>
        <w:tc>
          <w:tcPr>
            <w:tcW w:w="1273" w:type="dxa"/>
            <w:tcBorders>
              <w:top w:val="nil"/>
              <w:bottom w:val="single" w:sz="18" w:space="0" w:color="auto"/>
            </w:tcBorders>
            <w:shd w:val="clear" w:color="auto" w:fill="20B9A3" w:themeFill="accent1"/>
          </w:tcPr>
          <w:p w14:paraId="03AE92C2" w14:textId="77777777" w:rsidR="007B687F" w:rsidRPr="003E4D83" w:rsidRDefault="007B687F" w:rsidP="005149DB">
            <w:pPr>
              <w:pStyle w:val="TableHeading"/>
              <w:spacing w:after="0"/>
              <w:jc w:val="right"/>
              <w:rPr>
                <w:rFonts w:cstheme="majorHAnsi"/>
                <w:b/>
                <w:sz w:val="20"/>
                <w:szCs w:val="20"/>
              </w:rPr>
            </w:pPr>
            <w:r w:rsidRPr="003E4D83">
              <w:rPr>
                <w:rFonts w:cstheme="majorHAnsi"/>
                <w:b/>
                <w:sz w:val="20"/>
                <w:szCs w:val="20"/>
              </w:rPr>
              <w:t>Estimate (pp)</w:t>
            </w:r>
          </w:p>
        </w:tc>
        <w:tc>
          <w:tcPr>
            <w:tcW w:w="1226" w:type="dxa"/>
            <w:tcBorders>
              <w:top w:val="nil"/>
              <w:bottom w:val="single" w:sz="18" w:space="0" w:color="auto"/>
            </w:tcBorders>
            <w:shd w:val="clear" w:color="auto" w:fill="20B9A3" w:themeFill="accent1"/>
          </w:tcPr>
          <w:p w14:paraId="5B40BF8B" w14:textId="77777777" w:rsidR="007B687F" w:rsidRPr="003E4D83" w:rsidRDefault="007B687F" w:rsidP="005149DB">
            <w:pPr>
              <w:pStyle w:val="TableHeading"/>
              <w:spacing w:after="0"/>
              <w:jc w:val="right"/>
              <w:rPr>
                <w:rFonts w:cstheme="majorHAnsi"/>
                <w:b/>
                <w:sz w:val="20"/>
                <w:szCs w:val="20"/>
              </w:rPr>
            </w:pPr>
            <w:r w:rsidRPr="003E4D83">
              <w:rPr>
                <w:rFonts w:cstheme="majorHAnsi"/>
                <w:b/>
                <w:sz w:val="20"/>
                <w:szCs w:val="20"/>
              </w:rPr>
              <w:t>Standard error (pp)</w:t>
            </w:r>
          </w:p>
        </w:tc>
        <w:tc>
          <w:tcPr>
            <w:tcW w:w="1747" w:type="dxa"/>
            <w:tcBorders>
              <w:top w:val="nil"/>
              <w:bottom w:val="single" w:sz="18" w:space="0" w:color="auto"/>
            </w:tcBorders>
            <w:shd w:val="clear" w:color="auto" w:fill="20B9A3" w:themeFill="accent1"/>
          </w:tcPr>
          <w:p w14:paraId="5E0111A2" w14:textId="77777777" w:rsidR="007B687F" w:rsidRPr="003E4D83" w:rsidRDefault="007B687F" w:rsidP="005149DB">
            <w:pPr>
              <w:pStyle w:val="TableHeading"/>
              <w:spacing w:after="0"/>
              <w:jc w:val="right"/>
              <w:rPr>
                <w:rFonts w:cstheme="majorHAnsi"/>
                <w:b/>
                <w:sz w:val="20"/>
                <w:szCs w:val="20"/>
              </w:rPr>
            </w:pPr>
            <w:r w:rsidRPr="003E4D83">
              <w:rPr>
                <w:rFonts w:cstheme="majorHAnsi"/>
                <w:b/>
                <w:sz w:val="20"/>
                <w:szCs w:val="20"/>
              </w:rPr>
              <w:t>95% Confidence Interval (pp)</w:t>
            </w:r>
          </w:p>
        </w:tc>
        <w:tc>
          <w:tcPr>
            <w:tcW w:w="845" w:type="dxa"/>
            <w:tcBorders>
              <w:top w:val="nil"/>
              <w:bottom w:val="single" w:sz="18" w:space="0" w:color="auto"/>
            </w:tcBorders>
            <w:shd w:val="clear" w:color="auto" w:fill="20B9A3" w:themeFill="accent1"/>
          </w:tcPr>
          <w:p w14:paraId="6A0E6165" w14:textId="77777777" w:rsidR="007B687F" w:rsidRPr="003E4D83" w:rsidRDefault="007B687F" w:rsidP="005149DB">
            <w:pPr>
              <w:pStyle w:val="TableHeading"/>
              <w:spacing w:after="0"/>
              <w:jc w:val="right"/>
              <w:rPr>
                <w:rFonts w:cstheme="majorHAnsi"/>
                <w:b/>
                <w:sz w:val="20"/>
                <w:szCs w:val="20"/>
              </w:rPr>
            </w:pPr>
            <w:r w:rsidRPr="003E4D83">
              <w:rPr>
                <w:rFonts w:cstheme="majorHAnsi"/>
                <w:b/>
                <w:sz w:val="20"/>
                <w:szCs w:val="20"/>
              </w:rPr>
              <w:t>p-value</w:t>
            </w:r>
          </w:p>
        </w:tc>
      </w:tr>
      <w:tr w:rsidR="007B687F" w:rsidRPr="001E79BC" w14:paraId="19D67777" w14:textId="77777777" w:rsidTr="00ED7D72">
        <w:trPr>
          <w:trHeight w:val="397"/>
        </w:trPr>
        <w:tc>
          <w:tcPr>
            <w:tcW w:w="2454" w:type="dxa"/>
            <w:tcBorders>
              <w:top w:val="single" w:sz="8" w:space="0" w:color="auto"/>
              <w:bottom w:val="single" w:sz="4" w:space="0" w:color="auto"/>
            </w:tcBorders>
            <w:vAlign w:val="bottom"/>
          </w:tcPr>
          <w:p w14:paraId="60D10317" w14:textId="3C3A6EDA" w:rsidR="007B687F" w:rsidRPr="004B4E59" w:rsidRDefault="007B687F" w:rsidP="005149DB">
            <w:r>
              <w:t>Female</w:t>
            </w:r>
            <w:r w:rsidR="00CF0B3B">
              <w:t>-</w:t>
            </w:r>
            <w:r>
              <w:t>dominated industry</w:t>
            </w:r>
          </w:p>
        </w:tc>
        <w:tc>
          <w:tcPr>
            <w:tcW w:w="953" w:type="dxa"/>
            <w:tcBorders>
              <w:top w:val="single" w:sz="8" w:space="0" w:color="auto"/>
              <w:bottom w:val="single" w:sz="4" w:space="0" w:color="auto"/>
            </w:tcBorders>
          </w:tcPr>
          <w:p w14:paraId="4D706D62" w14:textId="2D7FC710" w:rsidR="007B687F" w:rsidRPr="00010126" w:rsidRDefault="007B687F" w:rsidP="005149DB">
            <w:pPr>
              <w:jc w:val="right"/>
            </w:pPr>
            <w:r>
              <w:t>476.36</w:t>
            </w:r>
          </w:p>
        </w:tc>
        <w:tc>
          <w:tcPr>
            <w:tcW w:w="1273" w:type="dxa"/>
            <w:tcBorders>
              <w:top w:val="single" w:sz="8" w:space="0" w:color="auto"/>
              <w:bottom w:val="single" w:sz="4" w:space="0" w:color="auto"/>
            </w:tcBorders>
          </w:tcPr>
          <w:p w14:paraId="6D21353F" w14:textId="77777777" w:rsidR="007B687F" w:rsidRPr="00096E14" w:rsidRDefault="007B687F" w:rsidP="005149DB">
            <w:pPr>
              <w:jc w:val="right"/>
            </w:pPr>
            <w:r w:rsidRPr="00096E14">
              <w:t>n/a</w:t>
            </w:r>
          </w:p>
        </w:tc>
        <w:tc>
          <w:tcPr>
            <w:tcW w:w="1226" w:type="dxa"/>
            <w:tcBorders>
              <w:top w:val="single" w:sz="8" w:space="0" w:color="auto"/>
              <w:bottom w:val="single" w:sz="4" w:space="0" w:color="auto"/>
            </w:tcBorders>
          </w:tcPr>
          <w:p w14:paraId="2E049A43" w14:textId="77777777" w:rsidR="007B687F" w:rsidRPr="00096E14" w:rsidRDefault="007B687F" w:rsidP="005149DB">
            <w:pPr>
              <w:jc w:val="right"/>
            </w:pPr>
            <w:r w:rsidRPr="00096E14">
              <w:t>n/a</w:t>
            </w:r>
          </w:p>
        </w:tc>
        <w:tc>
          <w:tcPr>
            <w:tcW w:w="1747" w:type="dxa"/>
            <w:tcBorders>
              <w:top w:val="single" w:sz="8" w:space="0" w:color="auto"/>
              <w:bottom w:val="single" w:sz="4" w:space="0" w:color="auto"/>
            </w:tcBorders>
          </w:tcPr>
          <w:p w14:paraId="019ED73B" w14:textId="77777777" w:rsidR="007B687F" w:rsidRPr="00096E14" w:rsidRDefault="007B687F" w:rsidP="005149DB">
            <w:pPr>
              <w:jc w:val="right"/>
            </w:pPr>
            <w:r w:rsidRPr="00096E14">
              <w:t>n/a</w:t>
            </w:r>
          </w:p>
        </w:tc>
        <w:tc>
          <w:tcPr>
            <w:tcW w:w="845" w:type="dxa"/>
            <w:tcBorders>
              <w:top w:val="single" w:sz="8" w:space="0" w:color="auto"/>
              <w:bottom w:val="single" w:sz="4" w:space="0" w:color="auto"/>
            </w:tcBorders>
          </w:tcPr>
          <w:p w14:paraId="45B3B292" w14:textId="77777777" w:rsidR="007B687F" w:rsidRPr="00096E14" w:rsidRDefault="007B687F" w:rsidP="005149DB">
            <w:pPr>
              <w:jc w:val="right"/>
            </w:pPr>
            <w:r w:rsidRPr="00096E14">
              <w:t>n/a</w:t>
            </w:r>
          </w:p>
        </w:tc>
      </w:tr>
      <w:tr w:rsidR="007B687F" w:rsidRPr="001E79BC" w14:paraId="61BE3F6C" w14:textId="77777777" w:rsidTr="00ED7D72">
        <w:trPr>
          <w:trHeight w:val="409"/>
        </w:trPr>
        <w:tc>
          <w:tcPr>
            <w:tcW w:w="2454" w:type="dxa"/>
            <w:tcBorders>
              <w:top w:val="single" w:sz="4" w:space="0" w:color="auto"/>
              <w:bottom w:val="single" w:sz="4" w:space="0" w:color="auto"/>
            </w:tcBorders>
            <w:vAlign w:val="bottom"/>
          </w:tcPr>
          <w:p w14:paraId="53B1C8CD" w14:textId="28BB80F5" w:rsidR="007B687F" w:rsidRPr="001E79BC" w:rsidRDefault="007B687F" w:rsidP="007B687F">
            <w:pPr>
              <w:rPr>
                <w:rFonts w:cstheme="minorHAnsi"/>
                <w:szCs w:val="20"/>
              </w:rPr>
            </w:pPr>
            <w:r>
              <w:t>Male</w:t>
            </w:r>
            <w:r w:rsidR="00CF0B3B">
              <w:t>-</w:t>
            </w:r>
            <w:r>
              <w:t>dominated industry</w:t>
            </w:r>
          </w:p>
        </w:tc>
        <w:tc>
          <w:tcPr>
            <w:tcW w:w="953" w:type="dxa"/>
            <w:tcBorders>
              <w:top w:val="single" w:sz="4" w:space="0" w:color="auto"/>
              <w:bottom w:val="single" w:sz="4" w:space="0" w:color="auto"/>
            </w:tcBorders>
            <w:vAlign w:val="bottom"/>
          </w:tcPr>
          <w:p w14:paraId="66713FA1" w14:textId="5C9FAA5A" w:rsidR="007B687F" w:rsidRPr="00010126" w:rsidRDefault="007B687F" w:rsidP="007B687F">
            <w:pPr>
              <w:jc w:val="right"/>
            </w:pPr>
            <w:r w:rsidRPr="007B687F">
              <w:t>469.05</w:t>
            </w:r>
          </w:p>
        </w:tc>
        <w:tc>
          <w:tcPr>
            <w:tcW w:w="1273" w:type="dxa"/>
            <w:tcBorders>
              <w:top w:val="single" w:sz="4" w:space="0" w:color="auto"/>
              <w:bottom w:val="single" w:sz="4" w:space="0" w:color="auto"/>
            </w:tcBorders>
            <w:vAlign w:val="bottom"/>
          </w:tcPr>
          <w:p w14:paraId="21A2F78E" w14:textId="2D5FD3D6" w:rsidR="007B687F" w:rsidRPr="00010126" w:rsidRDefault="007B687F" w:rsidP="007B687F">
            <w:pPr>
              <w:jc w:val="right"/>
            </w:pPr>
            <w:r w:rsidRPr="007B687F">
              <w:t>5.19</w:t>
            </w:r>
          </w:p>
        </w:tc>
        <w:tc>
          <w:tcPr>
            <w:tcW w:w="1226" w:type="dxa"/>
            <w:tcBorders>
              <w:top w:val="single" w:sz="4" w:space="0" w:color="auto"/>
              <w:bottom w:val="single" w:sz="4" w:space="0" w:color="auto"/>
            </w:tcBorders>
            <w:vAlign w:val="bottom"/>
          </w:tcPr>
          <w:p w14:paraId="03FFC3ED" w14:textId="71882DBB" w:rsidR="007B687F" w:rsidRPr="00010126" w:rsidRDefault="007B687F" w:rsidP="007B687F">
            <w:pPr>
              <w:jc w:val="right"/>
            </w:pPr>
            <w:r w:rsidRPr="007B687F">
              <w:t>22.35</w:t>
            </w:r>
          </w:p>
        </w:tc>
        <w:tc>
          <w:tcPr>
            <w:tcW w:w="1747" w:type="dxa"/>
            <w:tcBorders>
              <w:top w:val="single" w:sz="4" w:space="0" w:color="auto"/>
              <w:bottom w:val="single" w:sz="4" w:space="0" w:color="auto"/>
            </w:tcBorders>
          </w:tcPr>
          <w:p w14:paraId="060C1D90" w14:textId="6E085288" w:rsidR="007B687F" w:rsidRPr="00010126" w:rsidRDefault="007B687F" w:rsidP="007B687F">
            <w:pPr>
              <w:jc w:val="right"/>
            </w:pPr>
            <w:r w:rsidRPr="006970C7">
              <w:t>(-</w:t>
            </w:r>
            <w:r>
              <w:t>38.64-49.02</w:t>
            </w:r>
            <w:r w:rsidRPr="006970C7">
              <w:t>)</w:t>
            </w:r>
          </w:p>
        </w:tc>
        <w:tc>
          <w:tcPr>
            <w:tcW w:w="845" w:type="dxa"/>
            <w:tcBorders>
              <w:top w:val="single" w:sz="4" w:space="0" w:color="auto"/>
              <w:bottom w:val="single" w:sz="4" w:space="0" w:color="auto"/>
            </w:tcBorders>
          </w:tcPr>
          <w:p w14:paraId="19D6D536" w14:textId="768AF596" w:rsidR="007B687F" w:rsidRPr="001A5D85" w:rsidRDefault="007B687F" w:rsidP="007B687F">
            <w:pPr>
              <w:jc w:val="right"/>
            </w:pPr>
            <w:r w:rsidRPr="006970C7">
              <w:t>0.8</w:t>
            </w:r>
            <w:r>
              <w:t>2</w:t>
            </w:r>
          </w:p>
        </w:tc>
      </w:tr>
      <w:tr w:rsidR="007B687F" w:rsidRPr="001E79BC" w14:paraId="0BDB504F" w14:textId="77777777" w:rsidTr="00ED7D72">
        <w:trPr>
          <w:trHeight w:val="409"/>
        </w:trPr>
        <w:tc>
          <w:tcPr>
            <w:tcW w:w="2454" w:type="dxa"/>
            <w:tcBorders>
              <w:top w:val="single" w:sz="4" w:space="0" w:color="auto"/>
              <w:bottom w:val="single" w:sz="12" w:space="0" w:color="000000"/>
            </w:tcBorders>
            <w:vAlign w:val="bottom"/>
          </w:tcPr>
          <w:p w14:paraId="677AED2F" w14:textId="5EAD6A1E" w:rsidR="007B687F" w:rsidRDefault="007B687F" w:rsidP="007B687F">
            <w:r>
              <w:t>Mixed industry</w:t>
            </w:r>
          </w:p>
        </w:tc>
        <w:tc>
          <w:tcPr>
            <w:tcW w:w="953" w:type="dxa"/>
            <w:tcBorders>
              <w:top w:val="single" w:sz="4" w:space="0" w:color="auto"/>
              <w:bottom w:val="single" w:sz="12" w:space="0" w:color="000000"/>
            </w:tcBorders>
            <w:vAlign w:val="bottom"/>
          </w:tcPr>
          <w:p w14:paraId="71EA034E" w14:textId="74571888" w:rsidR="007B687F" w:rsidRPr="006970C7" w:rsidRDefault="007B687F" w:rsidP="007B687F">
            <w:pPr>
              <w:jc w:val="right"/>
            </w:pPr>
            <w:r w:rsidRPr="007B687F">
              <w:t>462.08</w:t>
            </w:r>
          </w:p>
        </w:tc>
        <w:tc>
          <w:tcPr>
            <w:tcW w:w="1273" w:type="dxa"/>
            <w:tcBorders>
              <w:top w:val="single" w:sz="4" w:space="0" w:color="auto"/>
              <w:bottom w:val="single" w:sz="12" w:space="0" w:color="000000"/>
            </w:tcBorders>
            <w:vAlign w:val="bottom"/>
          </w:tcPr>
          <w:p w14:paraId="398DC25E" w14:textId="5F1DF12C" w:rsidR="007B687F" w:rsidRPr="006970C7" w:rsidRDefault="007B687F" w:rsidP="007B687F">
            <w:pPr>
              <w:jc w:val="right"/>
            </w:pPr>
            <w:r w:rsidRPr="007B687F">
              <w:t>3.28</w:t>
            </w:r>
          </w:p>
        </w:tc>
        <w:tc>
          <w:tcPr>
            <w:tcW w:w="1226" w:type="dxa"/>
            <w:tcBorders>
              <w:top w:val="single" w:sz="4" w:space="0" w:color="auto"/>
              <w:bottom w:val="single" w:sz="12" w:space="0" w:color="000000"/>
            </w:tcBorders>
            <w:vAlign w:val="bottom"/>
          </w:tcPr>
          <w:p w14:paraId="0E6673E2" w14:textId="1ABA002D" w:rsidR="007B687F" w:rsidRPr="006970C7" w:rsidRDefault="007B687F" w:rsidP="007B687F">
            <w:pPr>
              <w:jc w:val="right"/>
            </w:pPr>
            <w:r w:rsidRPr="007B687F">
              <w:t>17.50</w:t>
            </w:r>
          </w:p>
        </w:tc>
        <w:tc>
          <w:tcPr>
            <w:tcW w:w="1747" w:type="dxa"/>
            <w:tcBorders>
              <w:top w:val="single" w:sz="4" w:space="0" w:color="auto"/>
              <w:bottom w:val="single" w:sz="12" w:space="0" w:color="000000"/>
            </w:tcBorders>
          </w:tcPr>
          <w:p w14:paraId="0B784F84" w14:textId="244E15D2" w:rsidR="007B687F" w:rsidRPr="006970C7" w:rsidRDefault="007B687F" w:rsidP="007B687F">
            <w:pPr>
              <w:jc w:val="right"/>
            </w:pPr>
            <w:r>
              <w:t>(-31.03-37.60)</w:t>
            </w:r>
          </w:p>
        </w:tc>
        <w:tc>
          <w:tcPr>
            <w:tcW w:w="845" w:type="dxa"/>
            <w:tcBorders>
              <w:top w:val="single" w:sz="4" w:space="0" w:color="auto"/>
              <w:bottom w:val="single" w:sz="12" w:space="0" w:color="000000"/>
            </w:tcBorders>
          </w:tcPr>
          <w:p w14:paraId="218F2717" w14:textId="3CD908E3" w:rsidR="007B687F" w:rsidRPr="006970C7" w:rsidRDefault="007B687F" w:rsidP="007B687F">
            <w:pPr>
              <w:jc w:val="right"/>
            </w:pPr>
            <w:r>
              <w:t>0.85</w:t>
            </w:r>
          </w:p>
        </w:tc>
      </w:tr>
    </w:tbl>
    <w:p w14:paraId="5A940506" w14:textId="66E44CB7" w:rsidR="007B687F" w:rsidRDefault="007B687F" w:rsidP="007B687F">
      <w:pPr>
        <w:pStyle w:val="SourceNotesText"/>
      </w:pPr>
      <w:r>
        <w:t>OLS model adjusted for gender, education, CALD status and awareness of FDVL legislation with HC2 robust standard errors. N = 2705</w:t>
      </w:r>
    </w:p>
    <w:p w14:paraId="7005A714" w14:textId="24092D45" w:rsidR="007B687F" w:rsidRPr="009F3C0D" w:rsidRDefault="00746ABF" w:rsidP="00746ABF">
      <w:pPr>
        <w:pStyle w:val="Caption"/>
      </w:pPr>
      <w:r>
        <w:t xml:space="preserve">Table 8. </w:t>
      </w:r>
      <w:r w:rsidR="007B687F">
        <w:t>Manager outcome by industry type</w:t>
      </w:r>
    </w:p>
    <w:tbl>
      <w:tblPr>
        <w:tblStyle w:val="TableGrid"/>
        <w:tblW w:w="84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Hypothesis 1: The ‘Make it easy’ email group will have a higher percentage of people declaring disability or other diversity status compared to the ‘Attention control’ email group."/>
        <w:tblDescription w:val="Table shows that significantly more people who recieved the Easy email declared having disability or other diversity statistics, compared to those who recieved the attention control email. "/>
      </w:tblPr>
      <w:tblGrid>
        <w:gridCol w:w="2454"/>
        <w:gridCol w:w="953"/>
        <w:gridCol w:w="1183"/>
        <w:gridCol w:w="1226"/>
        <w:gridCol w:w="1747"/>
        <w:gridCol w:w="845"/>
      </w:tblGrid>
      <w:tr w:rsidR="007B687F" w:rsidRPr="00531A0E" w14:paraId="7E517408" w14:textId="77777777" w:rsidTr="00ED7D72">
        <w:trPr>
          <w:trHeight w:val="932"/>
          <w:tblHeader/>
        </w:trPr>
        <w:tc>
          <w:tcPr>
            <w:tcW w:w="2454" w:type="dxa"/>
            <w:tcBorders>
              <w:top w:val="nil"/>
              <w:bottom w:val="single" w:sz="18" w:space="0" w:color="auto"/>
            </w:tcBorders>
            <w:shd w:val="clear" w:color="auto" w:fill="20B9A3" w:themeFill="accent1"/>
          </w:tcPr>
          <w:p w14:paraId="23E7ABF8" w14:textId="77777777" w:rsidR="007B687F" w:rsidRPr="003E4D83" w:rsidRDefault="007B687F" w:rsidP="005149DB">
            <w:pPr>
              <w:pStyle w:val="TableHeading"/>
              <w:spacing w:after="0"/>
              <w:rPr>
                <w:rFonts w:cstheme="majorHAnsi"/>
                <w:b/>
                <w:sz w:val="20"/>
                <w:szCs w:val="20"/>
              </w:rPr>
            </w:pPr>
            <w:r w:rsidRPr="003E4D83">
              <w:rPr>
                <w:rFonts w:cstheme="majorHAnsi"/>
                <w:b/>
                <w:sz w:val="20"/>
                <w:szCs w:val="20"/>
              </w:rPr>
              <w:t>Condition</w:t>
            </w:r>
          </w:p>
        </w:tc>
        <w:tc>
          <w:tcPr>
            <w:tcW w:w="953" w:type="dxa"/>
            <w:tcBorders>
              <w:top w:val="nil"/>
              <w:bottom w:val="single" w:sz="18" w:space="0" w:color="auto"/>
            </w:tcBorders>
            <w:shd w:val="clear" w:color="auto" w:fill="20B9A3" w:themeFill="accent1"/>
          </w:tcPr>
          <w:p w14:paraId="09BD0CC2" w14:textId="77777777" w:rsidR="007B687F" w:rsidRPr="003E4D83" w:rsidRDefault="007B687F" w:rsidP="005149DB">
            <w:pPr>
              <w:pStyle w:val="TableHeading"/>
              <w:spacing w:after="0"/>
              <w:jc w:val="right"/>
              <w:rPr>
                <w:rFonts w:cstheme="majorHAnsi"/>
                <w:b/>
                <w:sz w:val="20"/>
                <w:szCs w:val="20"/>
              </w:rPr>
            </w:pPr>
            <w:r w:rsidRPr="003E4D83">
              <w:rPr>
                <w:rFonts w:cstheme="majorHAnsi"/>
                <w:b/>
                <w:sz w:val="20"/>
                <w:szCs w:val="20"/>
              </w:rPr>
              <w:t>Means (per cent)</w:t>
            </w:r>
          </w:p>
        </w:tc>
        <w:tc>
          <w:tcPr>
            <w:tcW w:w="1183" w:type="dxa"/>
            <w:tcBorders>
              <w:top w:val="nil"/>
              <w:bottom w:val="single" w:sz="18" w:space="0" w:color="auto"/>
            </w:tcBorders>
            <w:shd w:val="clear" w:color="auto" w:fill="20B9A3" w:themeFill="accent1"/>
          </w:tcPr>
          <w:p w14:paraId="349F22C7" w14:textId="77777777" w:rsidR="007B687F" w:rsidRPr="003E4D83" w:rsidRDefault="007B687F" w:rsidP="005149DB">
            <w:pPr>
              <w:pStyle w:val="TableHeading"/>
              <w:spacing w:after="0"/>
              <w:jc w:val="right"/>
              <w:rPr>
                <w:rFonts w:cstheme="majorHAnsi"/>
                <w:b/>
                <w:sz w:val="20"/>
                <w:szCs w:val="20"/>
              </w:rPr>
            </w:pPr>
            <w:r w:rsidRPr="003E4D83">
              <w:rPr>
                <w:rFonts w:cstheme="majorHAnsi"/>
                <w:b/>
                <w:sz w:val="20"/>
                <w:szCs w:val="20"/>
              </w:rPr>
              <w:t>Estimate (pp)</w:t>
            </w:r>
          </w:p>
        </w:tc>
        <w:tc>
          <w:tcPr>
            <w:tcW w:w="1226" w:type="dxa"/>
            <w:tcBorders>
              <w:top w:val="nil"/>
              <w:bottom w:val="single" w:sz="18" w:space="0" w:color="auto"/>
            </w:tcBorders>
            <w:shd w:val="clear" w:color="auto" w:fill="20B9A3" w:themeFill="accent1"/>
          </w:tcPr>
          <w:p w14:paraId="5805FDE4" w14:textId="77777777" w:rsidR="007B687F" w:rsidRPr="003E4D83" w:rsidRDefault="007B687F" w:rsidP="005149DB">
            <w:pPr>
              <w:pStyle w:val="TableHeading"/>
              <w:spacing w:after="0"/>
              <w:jc w:val="right"/>
              <w:rPr>
                <w:rFonts w:cstheme="majorHAnsi"/>
                <w:b/>
                <w:sz w:val="20"/>
                <w:szCs w:val="20"/>
              </w:rPr>
            </w:pPr>
            <w:r w:rsidRPr="003E4D83">
              <w:rPr>
                <w:rFonts w:cstheme="majorHAnsi"/>
                <w:b/>
                <w:sz w:val="20"/>
                <w:szCs w:val="20"/>
              </w:rPr>
              <w:t>Standard error (pp)</w:t>
            </w:r>
          </w:p>
        </w:tc>
        <w:tc>
          <w:tcPr>
            <w:tcW w:w="1747" w:type="dxa"/>
            <w:tcBorders>
              <w:top w:val="nil"/>
              <w:bottom w:val="single" w:sz="18" w:space="0" w:color="auto"/>
            </w:tcBorders>
            <w:shd w:val="clear" w:color="auto" w:fill="20B9A3" w:themeFill="accent1"/>
          </w:tcPr>
          <w:p w14:paraId="78E9E63F" w14:textId="77777777" w:rsidR="007B687F" w:rsidRPr="003E4D83" w:rsidRDefault="007B687F" w:rsidP="005149DB">
            <w:pPr>
              <w:pStyle w:val="TableHeading"/>
              <w:spacing w:after="0"/>
              <w:jc w:val="right"/>
              <w:rPr>
                <w:rFonts w:cstheme="majorHAnsi"/>
                <w:b/>
                <w:sz w:val="20"/>
                <w:szCs w:val="20"/>
              </w:rPr>
            </w:pPr>
            <w:r w:rsidRPr="003E4D83">
              <w:rPr>
                <w:rFonts w:cstheme="majorHAnsi"/>
                <w:b/>
                <w:sz w:val="20"/>
                <w:szCs w:val="20"/>
              </w:rPr>
              <w:t>95% Confidence Interval (pp)</w:t>
            </w:r>
          </w:p>
        </w:tc>
        <w:tc>
          <w:tcPr>
            <w:tcW w:w="845" w:type="dxa"/>
            <w:tcBorders>
              <w:top w:val="nil"/>
              <w:bottom w:val="single" w:sz="18" w:space="0" w:color="auto"/>
            </w:tcBorders>
            <w:shd w:val="clear" w:color="auto" w:fill="20B9A3" w:themeFill="accent1"/>
          </w:tcPr>
          <w:p w14:paraId="4032F799" w14:textId="77777777" w:rsidR="007B687F" w:rsidRPr="003E4D83" w:rsidRDefault="007B687F" w:rsidP="005149DB">
            <w:pPr>
              <w:pStyle w:val="TableHeading"/>
              <w:spacing w:after="0"/>
              <w:jc w:val="right"/>
              <w:rPr>
                <w:rFonts w:cstheme="majorHAnsi"/>
                <w:b/>
                <w:sz w:val="20"/>
                <w:szCs w:val="20"/>
              </w:rPr>
            </w:pPr>
            <w:r w:rsidRPr="003E4D83">
              <w:rPr>
                <w:rFonts w:cstheme="majorHAnsi"/>
                <w:b/>
                <w:sz w:val="20"/>
                <w:szCs w:val="20"/>
              </w:rPr>
              <w:t>p-value</w:t>
            </w:r>
          </w:p>
        </w:tc>
      </w:tr>
      <w:tr w:rsidR="007B687F" w:rsidRPr="001E79BC" w14:paraId="24EA08EB" w14:textId="77777777" w:rsidTr="00ED7D72">
        <w:trPr>
          <w:trHeight w:val="397"/>
        </w:trPr>
        <w:tc>
          <w:tcPr>
            <w:tcW w:w="2454" w:type="dxa"/>
            <w:tcBorders>
              <w:top w:val="single" w:sz="8" w:space="0" w:color="auto"/>
              <w:bottom w:val="single" w:sz="4" w:space="0" w:color="auto"/>
            </w:tcBorders>
            <w:vAlign w:val="bottom"/>
          </w:tcPr>
          <w:p w14:paraId="15DD53BD" w14:textId="3C4EEFBA" w:rsidR="007B687F" w:rsidRPr="004B4E59" w:rsidRDefault="007B687F" w:rsidP="00CF0B3B">
            <w:r>
              <w:t>Female</w:t>
            </w:r>
            <w:r w:rsidR="00CF0B3B">
              <w:t>-</w:t>
            </w:r>
            <w:r>
              <w:t>dominated industry</w:t>
            </w:r>
          </w:p>
        </w:tc>
        <w:tc>
          <w:tcPr>
            <w:tcW w:w="953" w:type="dxa"/>
            <w:tcBorders>
              <w:top w:val="single" w:sz="8" w:space="0" w:color="auto"/>
              <w:bottom w:val="single" w:sz="4" w:space="0" w:color="auto"/>
            </w:tcBorders>
          </w:tcPr>
          <w:p w14:paraId="66E244D0" w14:textId="43239498" w:rsidR="007B687F" w:rsidRPr="00010126" w:rsidRDefault="007B687F" w:rsidP="005149DB">
            <w:pPr>
              <w:jc w:val="right"/>
            </w:pPr>
            <w:r>
              <w:t>42.2</w:t>
            </w:r>
          </w:p>
        </w:tc>
        <w:tc>
          <w:tcPr>
            <w:tcW w:w="1183" w:type="dxa"/>
            <w:tcBorders>
              <w:top w:val="single" w:sz="8" w:space="0" w:color="auto"/>
              <w:bottom w:val="single" w:sz="4" w:space="0" w:color="auto"/>
            </w:tcBorders>
          </w:tcPr>
          <w:p w14:paraId="1176C086" w14:textId="77777777" w:rsidR="007B687F" w:rsidRPr="00096E14" w:rsidRDefault="007B687F" w:rsidP="005149DB">
            <w:pPr>
              <w:jc w:val="right"/>
            </w:pPr>
            <w:r w:rsidRPr="00096E14">
              <w:t>n/a</w:t>
            </w:r>
          </w:p>
        </w:tc>
        <w:tc>
          <w:tcPr>
            <w:tcW w:w="1226" w:type="dxa"/>
            <w:tcBorders>
              <w:top w:val="single" w:sz="8" w:space="0" w:color="auto"/>
              <w:bottom w:val="single" w:sz="4" w:space="0" w:color="auto"/>
            </w:tcBorders>
          </w:tcPr>
          <w:p w14:paraId="13C489CF" w14:textId="77777777" w:rsidR="007B687F" w:rsidRPr="00096E14" w:rsidRDefault="007B687F" w:rsidP="005149DB">
            <w:pPr>
              <w:jc w:val="right"/>
            </w:pPr>
            <w:r w:rsidRPr="00096E14">
              <w:t>n/a</w:t>
            </w:r>
          </w:p>
        </w:tc>
        <w:tc>
          <w:tcPr>
            <w:tcW w:w="1747" w:type="dxa"/>
            <w:tcBorders>
              <w:top w:val="single" w:sz="8" w:space="0" w:color="auto"/>
              <w:bottom w:val="single" w:sz="4" w:space="0" w:color="auto"/>
            </w:tcBorders>
          </w:tcPr>
          <w:p w14:paraId="75E7755B" w14:textId="77777777" w:rsidR="007B687F" w:rsidRPr="00096E14" w:rsidRDefault="007B687F" w:rsidP="005149DB">
            <w:pPr>
              <w:jc w:val="right"/>
            </w:pPr>
            <w:r w:rsidRPr="00096E14">
              <w:t>n/a</w:t>
            </w:r>
          </w:p>
        </w:tc>
        <w:tc>
          <w:tcPr>
            <w:tcW w:w="845" w:type="dxa"/>
            <w:tcBorders>
              <w:top w:val="single" w:sz="8" w:space="0" w:color="auto"/>
              <w:bottom w:val="single" w:sz="4" w:space="0" w:color="auto"/>
            </w:tcBorders>
          </w:tcPr>
          <w:p w14:paraId="4B8E15E0" w14:textId="77777777" w:rsidR="007B687F" w:rsidRPr="00096E14" w:rsidRDefault="007B687F" w:rsidP="005149DB">
            <w:pPr>
              <w:jc w:val="right"/>
            </w:pPr>
            <w:r w:rsidRPr="00096E14">
              <w:t>n/a</w:t>
            </w:r>
          </w:p>
        </w:tc>
      </w:tr>
      <w:tr w:rsidR="00ED7D72" w:rsidRPr="001E79BC" w14:paraId="0CFCD832" w14:textId="77777777" w:rsidTr="00ED7D72">
        <w:trPr>
          <w:trHeight w:val="409"/>
        </w:trPr>
        <w:tc>
          <w:tcPr>
            <w:tcW w:w="2454" w:type="dxa"/>
            <w:tcBorders>
              <w:top w:val="single" w:sz="4" w:space="0" w:color="auto"/>
              <w:bottom w:val="single" w:sz="4" w:space="0" w:color="auto"/>
            </w:tcBorders>
            <w:vAlign w:val="bottom"/>
          </w:tcPr>
          <w:p w14:paraId="4164F158" w14:textId="3B4F794E" w:rsidR="00ED7D72" w:rsidRPr="001E79BC" w:rsidRDefault="00ED7D72" w:rsidP="00ED7D72">
            <w:pPr>
              <w:rPr>
                <w:rFonts w:cstheme="minorHAnsi"/>
                <w:szCs w:val="20"/>
              </w:rPr>
            </w:pPr>
            <w:r>
              <w:t>Male</w:t>
            </w:r>
            <w:r w:rsidR="00CF0B3B">
              <w:t>-</w:t>
            </w:r>
            <w:r>
              <w:t>dominated industry</w:t>
            </w:r>
          </w:p>
        </w:tc>
        <w:tc>
          <w:tcPr>
            <w:tcW w:w="953" w:type="dxa"/>
            <w:tcBorders>
              <w:top w:val="single" w:sz="4" w:space="0" w:color="auto"/>
              <w:bottom w:val="single" w:sz="4" w:space="0" w:color="auto"/>
            </w:tcBorders>
            <w:vAlign w:val="bottom"/>
          </w:tcPr>
          <w:p w14:paraId="588B8BDE" w14:textId="40E413D3" w:rsidR="00ED7D72" w:rsidRPr="00010126" w:rsidRDefault="00ED7D72" w:rsidP="00ED7D72">
            <w:pPr>
              <w:jc w:val="right"/>
            </w:pPr>
            <w:r>
              <w:t>41.4</w:t>
            </w:r>
          </w:p>
        </w:tc>
        <w:tc>
          <w:tcPr>
            <w:tcW w:w="1183" w:type="dxa"/>
            <w:tcBorders>
              <w:top w:val="single" w:sz="4" w:space="0" w:color="auto"/>
              <w:bottom w:val="single" w:sz="4" w:space="0" w:color="auto"/>
            </w:tcBorders>
            <w:vAlign w:val="bottom"/>
          </w:tcPr>
          <w:p w14:paraId="7C81A7C0" w14:textId="4F449A2B" w:rsidR="00ED7D72" w:rsidRPr="00010126" w:rsidRDefault="00ED7D72" w:rsidP="00ED7D72">
            <w:pPr>
              <w:jc w:val="right"/>
            </w:pPr>
            <w:r>
              <w:rPr>
                <w:rFonts w:ascii="Calibri" w:hAnsi="Calibri" w:cs="Calibri"/>
                <w:color w:val="000000"/>
                <w:sz w:val="22"/>
                <w:szCs w:val="22"/>
              </w:rPr>
              <w:t>-0.02</w:t>
            </w:r>
          </w:p>
        </w:tc>
        <w:tc>
          <w:tcPr>
            <w:tcW w:w="1226" w:type="dxa"/>
            <w:tcBorders>
              <w:top w:val="single" w:sz="4" w:space="0" w:color="auto"/>
              <w:bottom w:val="single" w:sz="4" w:space="0" w:color="auto"/>
            </w:tcBorders>
            <w:vAlign w:val="bottom"/>
          </w:tcPr>
          <w:p w14:paraId="150D645E" w14:textId="15DB3B37" w:rsidR="00ED7D72" w:rsidRPr="00010126" w:rsidRDefault="00ED7D72" w:rsidP="00ED7D72">
            <w:pPr>
              <w:jc w:val="right"/>
            </w:pPr>
            <w:r>
              <w:rPr>
                <w:rFonts w:ascii="Calibri" w:hAnsi="Calibri" w:cs="Calibri"/>
                <w:color w:val="000000"/>
                <w:sz w:val="22"/>
                <w:szCs w:val="22"/>
              </w:rPr>
              <w:t>0.04</w:t>
            </w:r>
          </w:p>
        </w:tc>
        <w:tc>
          <w:tcPr>
            <w:tcW w:w="1747" w:type="dxa"/>
            <w:tcBorders>
              <w:top w:val="single" w:sz="4" w:space="0" w:color="auto"/>
              <w:bottom w:val="single" w:sz="4" w:space="0" w:color="auto"/>
            </w:tcBorders>
          </w:tcPr>
          <w:p w14:paraId="3DD0281D" w14:textId="4ACE16FD" w:rsidR="00ED7D72" w:rsidRPr="00010126" w:rsidRDefault="00ED7D72" w:rsidP="00ED7D72">
            <w:pPr>
              <w:jc w:val="right"/>
            </w:pPr>
            <w:r>
              <w:t>(-0.10-0.06)</w:t>
            </w:r>
          </w:p>
        </w:tc>
        <w:tc>
          <w:tcPr>
            <w:tcW w:w="845" w:type="dxa"/>
            <w:tcBorders>
              <w:top w:val="single" w:sz="4" w:space="0" w:color="auto"/>
              <w:bottom w:val="single" w:sz="4" w:space="0" w:color="auto"/>
            </w:tcBorders>
          </w:tcPr>
          <w:p w14:paraId="759FC2B0" w14:textId="7E1CDD78" w:rsidR="00ED7D72" w:rsidRPr="001A5D85" w:rsidRDefault="00ED7D72" w:rsidP="00ED7D72">
            <w:pPr>
              <w:jc w:val="right"/>
            </w:pPr>
            <w:r>
              <w:t>0.61</w:t>
            </w:r>
          </w:p>
        </w:tc>
      </w:tr>
      <w:tr w:rsidR="00ED7D72" w:rsidRPr="001E79BC" w14:paraId="26C8AEB8" w14:textId="77777777" w:rsidTr="00ED7D72">
        <w:trPr>
          <w:trHeight w:val="409"/>
        </w:trPr>
        <w:tc>
          <w:tcPr>
            <w:tcW w:w="2454" w:type="dxa"/>
            <w:tcBorders>
              <w:top w:val="single" w:sz="4" w:space="0" w:color="auto"/>
              <w:bottom w:val="single" w:sz="12" w:space="0" w:color="000000"/>
            </w:tcBorders>
            <w:vAlign w:val="bottom"/>
          </w:tcPr>
          <w:p w14:paraId="5AFEAC30" w14:textId="77777777" w:rsidR="00ED7D72" w:rsidRDefault="00ED7D72" w:rsidP="00ED7D72">
            <w:r>
              <w:t>Mixed industry</w:t>
            </w:r>
          </w:p>
        </w:tc>
        <w:tc>
          <w:tcPr>
            <w:tcW w:w="953" w:type="dxa"/>
            <w:tcBorders>
              <w:top w:val="single" w:sz="4" w:space="0" w:color="auto"/>
              <w:bottom w:val="single" w:sz="12" w:space="0" w:color="000000"/>
            </w:tcBorders>
            <w:vAlign w:val="bottom"/>
          </w:tcPr>
          <w:p w14:paraId="772085DA" w14:textId="7F11C9DE" w:rsidR="00ED7D72" w:rsidRPr="006970C7" w:rsidRDefault="00ED7D72" w:rsidP="00ED7D72">
            <w:pPr>
              <w:jc w:val="right"/>
            </w:pPr>
            <w:r>
              <w:t>37.9</w:t>
            </w:r>
          </w:p>
        </w:tc>
        <w:tc>
          <w:tcPr>
            <w:tcW w:w="1183" w:type="dxa"/>
            <w:tcBorders>
              <w:top w:val="single" w:sz="4" w:space="0" w:color="auto"/>
              <w:bottom w:val="single" w:sz="12" w:space="0" w:color="000000"/>
            </w:tcBorders>
            <w:vAlign w:val="bottom"/>
          </w:tcPr>
          <w:p w14:paraId="35BBE2EC" w14:textId="67626BA2" w:rsidR="00ED7D72" w:rsidRPr="006970C7" w:rsidRDefault="00ED7D72" w:rsidP="00ED7D72">
            <w:pPr>
              <w:jc w:val="right"/>
            </w:pPr>
            <w:r>
              <w:rPr>
                <w:rFonts w:ascii="Calibri" w:hAnsi="Calibri" w:cs="Calibri"/>
                <w:color w:val="000000"/>
                <w:sz w:val="22"/>
                <w:szCs w:val="22"/>
              </w:rPr>
              <w:t>-0.03</w:t>
            </w:r>
          </w:p>
        </w:tc>
        <w:tc>
          <w:tcPr>
            <w:tcW w:w="1226" w:type="dxa"/>
            <w:tcBorders>
              <w:top w:val="single" w:sz="4" w:space="0" w:color="auto"/>
              <w:bottom w:val="single" w:sz="12" w:space="0" w:color="000000"/>
            </w:tcBorders>
            <w:vAlign w:val="bottom"/>
          </w:tcPr>
          <w:p w14:paraId="03FD52C7" w14:textId="45C81199" w:rsidR="00ED7D72" w:rsidRPr="006970C7" w:rsidRDefault="00ED7D72" w:rsidP="00ED7D72">
            <w:pPr>
              <w:jc w:val="right"/>
            </w:pPr>
            <w:r>
              <w:rPr>
                <w:rFonts w:ascii="Calibri" w:hAnsi="Calibri" w:cs="Calibri"/>
                <w:color w:val="000000"/>
                <w:sz w:val="22"/>
                <w:szCs w:val="22"/>
              </w:rPr>
              <w:t>0.03</w:t>
            </w:r>
          </w:p>
        </w:tc>
        <w:tc>
          <w:tcPr>
            <w:tcW w:w="1747" w:type="dxa"/>
            <w:tcBorders>
              <w:top w:val="single" w:sz="4" w:space="0" w:color="auto"/>
              <w:bottom w:val="single" w:sz="12" w:space="0" w:color="000000"/>
            </w:tcBorders>
          </w:tcPr>
          <w:p w14:paraId="285D4402" w14:textId="5772B0A1" w:rsidR="00ED7D72" w:rsidRPr="006970C7" w:rsidRDefault="00ED7D72" w:rsidP="00ED7D72">
            <w:pPr>
              <w:jc w:val="right"/>
            </w:pPr>
            <w:r>
              <w:t>(-0.09-0.03)</w:t>
            </w:r>
          </w:p>
        </w:tc>
        <w:tc>
          <w:tcPr>
            <w:tcW w:w="845" w:type="dxa"/>
            <w:tcBorders>
              <w:top w:val="single" w:sz="4" w:space="0" w:color="auto"/>
              <w:bottom w:val="single" w:sz="12" w:space="0" w:color="000000"/>
            </w:tcBorders>
          </w:tcPr>
          <w:p w14:paraId="1D06BE8B" w14:textId="5715BEA7" w:rsidR="00ED7D72" w:rsidRPr="006970C7" w:rsidRDefault="00ED7D72" w:rsidP="00ED7D72">
            <w:pPr>
              <w:jc w:val="right"/>
            </w:pPr>
            <w:r>
              <w:t>0.30</w:t>
            </w:r>
          </w:p>
        </w:tc>
      </w:tr>
    </w:tbl>
    <w:p w14:paraId="7BE3829C" w14:textId="77777777" w:rsidR="007B687F" w:rsidRDefault="007B687F" w:rsidP="007B687F">
      <w:pPr>
        <w:pStyle w:val="SourceNotesText"/>
      </w:pPr>
      <w:r>
        <w:t>OLS model adjusted for gender, education, CALD status and awareness of FDVL legislation with HC2 robust standard errors. N = 2705</w:t>
      </w:r>
    </w:p>
    <w:p w14:paraId="01343802" w14:textId="2DA90B5A" w:rsidR="00886F44" w:rsidRDefault="00886F44" w:rsidP="00886F44">
      <w:r>
        <w:t>To determine if the intervention worked differently for different industry types, we examined the interaction of the interventions with industry of participants</w:t>
      </w:r>
      <w:r w:rsidR="00CF0B3B">
        <w:t xml:space="preserve"> (that is, if</w:t>
      </w:r>
      <w:r>
        <w:t xml:space="preserve"> the effect of increased knowledge </w:t>
      </w:r>
      <w:r w:rsidR="00CF0B3B">
        <w:t xml:space="preserve">was </w:t>
      </w:r>
      <w:r>
        <w:t>the same for different industries</w:t>
      </w:r>
      <w:r w:rsidR="00CF0B3B">
        <w:t>)</w:t>
      </w:r>
      <w:r>
        <w:t>. These results are reported below.</w:t>
      </w:r>
    </w:p>
    <w:p w14:paraId="345E9472" w14:textId="34B8A437" w:rsidR="00746ABF" w:rsidRDefault="00C07BD8" w:rsidP="00C07BD8">
      <w:pPr>
        <w:spacing w:after="0" w:line="240" w:lineRule="auto"/>
      </w:pPr>
      <w:r>
        <w:br w:type="page"/>
      </w:r>
    </w:p>
    <w:p w14:paraId="511276E5" w14:textId="56589EAD" w:rsidR="00886F44" w:rsidRPr="009F3C0D" w:rsidRDefault="00746ABF" w:rsidP="00746ABF">
      <w:pPr>
        <w:pStyle w:val="Caption"/>
      </w:pPr>
      <w:r>
        <w:lastRenderedPageBreak/>
        <w:t xml:space="preserve">Table 9. </w:t>
      </w:r>
      <w:r w:rsidR="00886F44">
        <w:t>Subgroup responses to the treatment for bonus outcome</w:t>
      </w:r>
    </w:p>
    <w:tbl>
      <w:tblPr>
        <w:tblStyle w:val="TableGrid"/>
        <w:tblW w:w="860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Subgroups responses to the treatment for disability status"/>
        <w:tblDescription w:val="Table shows the interaction between the treatment emails compared to the attention control by pay level, on disability status. It shows there were no significant interaction effects between pay level and email group for disability status outcome measure. "/>
      </w:tblPr>
      <w:tblGrid>
        <w:gridCol w:w="3686"/>
        <w:gridCol w:w="2974"/>
        <w:gridCol w:w="1943"/>
      </w:tblGrid>
      <w:tr w:rsidR="00886F44" w:rsidRPr="00531A0E" w14:paraId="2712002B" w14:textId="77777777" w:rsidTr="00012230">
        <w:trPr>
          <w:trHeight w:val="459"/>
          <w:tblHeader/>
        </w:trPr>
        <w:tc>
          <w:tcPr>
            <w:tcW w:w="3686" w:type="dxa"/>
            <w:tcBorders>
              <w:top w:val="nil"/>
              <w:bottom w:val="single" w:sz="18" w:space="0" w:color="auto"/>
            </w:tcBorders>
            <w:shd w:val="clear" w:color="auto" w:fill="20B9A3" w:themeFill="accent1"/>
            <w:tcMar>
              <w:top w:w="28" w:type="dxa"/>
            </w:tcMar>
          </w:tcPr>
          <w:p w14:paraId="7B1CF1BE" w14:textId="77777777" w:rsidR="00886F44" w:rsidRPr="003E4D83" w:rsidRDefault="00886F44" w:rsidP="005149DB">
            <w:pPr>
              <w:pStyle w:val="TableHeading"/>
              <w:spacing w:after="0" w:line="360" w:lineRule="auto"/>
              <w:rPr>
                <w:b/>
                <w:sz w:val="20"/>
                <w:szCs w:val="22"/>
              </w:rPr>
            </w:pPr>
            <w:r w:rsidRPr="003E4D83">
              <w:rPr>
                <w:b/>
                <w:sz w:val="20"/>
                <w:szCs w:val="22"/>
              </w:rPr>
              <w:t>Subgroup analysis by Condition</w:t>
            </w:r>
          </w:p>
        </w:tc>
        <w:tc>
          <w:tcPr>
            <w:tcW w:w="2974" w:type="dxa"/>
            <w:tcBorders>
              <w:top w:val="nil"/>
              <w:bottom w:val="single" w:sz="18" w:space="0" w:color="auto"/>
            </w:tcBorders>
            <w:shd w:val="clear" w:color="auto" w:fill="20B9A3" w:themeFill="accent1"/>
            <w:tcMar>
              <w:top w:w="28" w:type="dxa"/>
            </w:tcMar>
          </w:tcPr>
          <w:p w14:paraId="2072EDBA" w14:textId="6873E0CF" w:rsidR="00886F44" w:rsidRPr="003E4D83" w:rsidRDefault="00886F44" w:rsidP="005149DB">
            <w:pPr>
              <w:pStyle w:val="TableHeading"/>
              <w:spacing w:after="0" w:line="360" w:lineRule="auto"/>
              <w:jc w:val="right"/>
              <w:rPr>
                <w:b/>
                <w:sz w:val="20"/>
                <w:szCs w:val="22"/>
              </w:rPr>
            </w:pPr>
            <w:r w:rsidRPr="003E4D83">
              <w:rPr>
                <w:b/>
                <w:sz w:val="20"/>
                <w:szCs w:val="22"/>
              </w:rPr>
              <w:t>Interaction effect between condition and industry type (95% CI)</w:t>
            </w:r>
          </w:p>
        </w:tc>
        <w:tc>
          <w:tcPr>
            <w:tcW w:w="1943" w:type="dxa"/>
            <w:tcBorders>
              <w:top w:val="nil"/>
              <w:bottom w:val="single" w:sz="18" w:space="0" w:color="auto"/>
            </w:tcBorders>
            <w:shd w:val="clear" w:color="auto" w:fill="20B9A3" w:themeFill="accent1"/>
            <w:tcMar>
              <w:top w:w="28" w:type="dxa"/>
            </w:tcMar>
          </w:tcPr>
          <w:p w14:paraId="7416BB07" w14:textId="77777777" w:rsidR="00886F44" w:rsidRPr="003E4D83" w:rsidRDefault="00886F44" w:rsidP="005149DB">
            <w:pPr>
              <w:pStyle w:val="TableHeading"/>
              <w:spacing w:after="0" w:line="360" w:lineRule="auto"/>
              <w:jc w:val="right"/>
              <w:rPr>
                <w:b/>
                <w:sz w:val="20"/>
                <w:szCs w:val="22"/>
              </w:rPr>
            </w:pPr>
            <w:r w:rsidRPr="003E4D83">
              <w:rPr>
                <w:b/>
                <w:sz w:val="20"/>
                <w:szCs w:val="22"/>
              </w:rPr>
              <w:t>p-value</w:t>
            </w:r>
          </w:p>
        </w:tc>
      </w:tr>
      <w:tr w:rsidR="00886F44" w14:paraId="721436D3" w14:textId="77777777" w:rsidTr="00012230">
        <w:trPr>
          <w:trHeight w:val="270"/>
          <w:tblHeader/>
        </w:trPr>
        <w:tc>
          <w:tcPr>
            <w:tcW w:w="3686" w:type="dxa"/>
            <w:tcBorders>
              <w:top w:val="single" w:sz="18" w:space="0" w:color="auto"/>
              <w:bottom w:val="single" w:sz="4" w:space="0" w:color="auto"/>
            </w:tcBorders>
            <w:tcMar>
              <w:top w:w="28" w:type="dxa"/>
            </w:tcMar>
            <w:vAlign w:val="bottom"/>
          </w:tcPr>
          <w:p w14:paraId="789D3893" w14:textId="0D336812" w:rsidR="00886F44" w:rsidRDefault="00886F44" w:rsidP="005149DB">
            <w:pPr>
              <w:spacing w:after="0" w:line="360" w:lineRule="auto"/>
            </w:pPr>
            <w:r>
              <w:t>Female</w:t>
            </w:r>
            <w:r w:rsidR="00CF0B3B">
              <w:t>-</w:t>
            </w:r>
            <w:r>
              <w:t>dominated industry compared to Male</w:t>
            </w:r>
            <w:r w:rsidR="00CF0B3B">
              <w:t>-</w:t>
            </w:r>
            <w:r>
              <w:t>dominated industry:</w:t>
            </w:r>
            <w:r w:rsidRPr="00BD211D">
              <w:t xml:space="preserve"> </w:t>
            </w:r>
          </w:p>
          <w:p w14:paraId="42906021" w14:textId="06E671F5" w:rsidR="00886F44" w:rsidRDefault="00886F44" w:rsidP="005149DB">
            <w:pPr>
              <w:spacing w:after="0" w:line="360" w:lineRule="auto"/>
            </w:pPr>
            <w:r>
              <w:t>Treatment group</w:t>
            </w:r>
          </w:p>
        </w:tc>
        <w:tc>
          <w:tcPr>
            <w:tcW w:w="2974" w:type="dxa"/>
            <w:tcBorders>
              <w:top w:val="single" w:sz="18" w:space="0" w:color="auto"/>
              <w:bottom w:val="single" w:sz="4" w:space="0" w:color="auto"/>
            </w:tcBorders>
            <w:tcMar>
              <w:top w:w="28" w:type="dxa"/>
            </w:tcMar>
            <w:vAlign w:val="bottom"/>
          </w:tcPr>
          <w:p w14:paraId="37C4AE3A" w14:textId="7EA82D1F" w:rsidR="00886F44" w:rsidRPr="00010126" w:rsidRDefault="00886F44" w:rsidP="005149DB">
            <w:pPr>
              <w:jc w:val="right"/>
              <w:rPr>
                <w:rFonts w:cstheme="minorHAnsi"/>
                <w:szCs w:val="20"/>
              </w:rPr>
            </w:pPr>
            <w:r>
              <w:rPr>
                <w:rFonts w:cstheme="minorHAnsi"/>
                <w:szCs w:val="20"/>
              </w:rPr>
              <w:t>-25</w:t>
            </w:r>
            <w:r w:rsidR="00012230">
              <w:rPr>
                <w:rFonts w:cstheme="minorHAnsi"/>
                <w:szCs w:val="20"/>
              </w:rPr>
              <w:t>.59</w:t>
            </w:r>
            <w:r w:rsidRPr="00010126">
              <w:rPr>
                <w:rFonts w:cstheme="minorHAnsi"/>
                <w:szCs w:val="20"/>
              </w:rPr>
              <w:t xml:space="preserve"> (-</w:t>
            </w:r>
            <w:r w:rsidR="00012230">
              <w:rPr>
                <w:rFonts w:cstheme="minorHAnsi"/>
                <w:szCs w:val="20"/>
              </w:rPr>
              <w:t>93.43-42.25</w:t>
            </w:r>
            <w:r w:rsidRPr="00010126">
              <w:rPr>
                <w:rFonts w:cstheme="minorHAnsi"/>
                <w:szCs w:val="20"/>
              </w:rPr>
              <w:t>)</w:t>
            </w:r>
          </w:p>
        </w:tc>
        <w:tc>
          <w:tcPr>
            <w:tcW w:w="1943" w:type="dxa"/>
            <w:tcBorders>
              <w:top w:val="single" w:sz="18" w:space="0" w:color="auto"/>
              <w:bottom w:val="single" w:sz="4" w:space="0" w:color="auto"/>
            </w:tcBorders>
            <w:tcMar>
              <w:top w:w="28" w:type="dxa"/>
            </w:tcMar>
            <w:vAlign w:val="bottom"/>
          </w:tcPr>
          <w:p w14:paraId="0F5CB18D" w14:textId="5CB85B3A" w:rsidR="00886F44" w:rsidRPr="00010126" w:rsidRDefault="00886F44" w:rsidP="005149DB">
            <w:pPr>
              <w:jc w:val="right"/>
              <w:rPr>
                <w:rFonts w:cstheme="minorHAnsi"/>
                <w:szCs w:val="20"/>
              </w:rPr>
            </w:pPr>
            <w:r w:rsidRPr="00010126">
              <w:rPr>
                <w:rFonts w:cstheme="minorHAnsi"/>
                <w:szCs w:val="20"/>
              </w:rPr>
              <w:t>0.</w:t>
            </w:r>
            <w:r w:rsidR="00012230">
              <w:rPr>
                <w:rFonts w:cstheme="minorHAnsi"/>
                <w:szCs w:val="20"/>
              </w:rPr>
              <w:t>46</w:t>
            </w:r>
          </w:p>
        </w:tc>
      </w:tr>
      <w:tr w:rsidR="00886F44" w14:paraId="5E0E4F56" w14:textId="77777777" w:rsidTr="00012230">
        <w:trPr>
          <w:trHeight w:val="288"/>
          <w:tblHeader/>
        </w:trPr>
        <w:tc>
          <w:tcPr>
            <w:tcW w:w="3686" w:type="dxa"/>
            <w:tcBorders>
              <w:top w:val="single" w:sz="4" w:space="0" w:color="auto"/>
              <w:bottom w:val="single" w:sz="4" w:space="0" w:color="auto"/>
            </w:tcBorders>
            <w:tcMar>
              <w:top w:w="28" w:type="dxa"/>
            </w:tcMar>
            <w:vAlign w:val="bottom"/>
          </w:tcPr>
          <w:p w14:paraId="0C883D3C" w14:textId="082C3CDB" w:rsidR="00886F44" w:rsidRDefault="00886F44" w:rsidP="005149DB">
            <w:pPr>
              <w:spacing w:after="0" w:line="360" w:lineRule="auto"/>
            </w:pPr>
            <w:r>
              <w:t>Female</w:t>
            </w:r>
            <w:r w:rsidR="00CF0B3B">
              <w:t>-</w:t>
            </w:r>
            <w:r>
              <w:t xml:space="preserve">dominated industry compared to </w:t>
            </w:r>
            <w:r w:rsidR="00305725">
              <w:t>Mix</w:t>
            </w:r>
            <w:r w:rsidR="007C1AF5">
              <w:t>ed</w:t>
            </w:r>
            <w:r>
              <w:t xml:space="preserve"> industry:</w:t>
            </w:r>
            <w:r w:rsidRPr="00BD211D">
              <w:t xml:space="preserve"> </w:t>
            </w:r>
          </w:p>
          <w:p w14:paraId="61A1CE95" w14:textId="7E83BF82" w:rsidR="00886F44" w:rsidRDefault="00886F44" w:rsidP="005149DB">
            <w:pPr>
              <w:spacing w:after="0" w:line="360" w:lineRule="auto"/>
            </w:pPr>
            <w:r>
              <w:t>Treatment group</w:t>
            </w:r>
          </w:p>
        </w:tc>
        <w:tc>
          <w:tcPr>
            <w:tcW w:w="2974" w:type="dxa"/>
            <w:tcBorders>
              <w:top w:val="single" w:sz="4" w:space="0" w:color="auto"/>
              <w:bottom w:val="single" w:sz="4" w:space="0" w:color="auto"/>
            </w:tcBorders>
            <w:tcMar>
              <w:top w:w="28" w:type="dxa"/>
            </w:tcMar>
            <w:vAlign w:val="bottom"/>
          </w:tcPr>
          <w:p w14:paraId="177F1547" w14:textId="5217E0D9" w:rsidR="00886F44" w:rsidRPr="00010126" w:rsidRDefault="00012230" w:rsidP="005149DB">
            <w:pPr>
              <w:jc w:val="right"/>
              <w:rPr>
                <w:rFonts w:cstheme="minorHAnsi"/>
                <w:szCs w:val="20"/>
              </w:rPr>
            </w:pPr>
            <w:r>
              <w:rPr>
                <w:rFonts w:cstheme="minorHAnsi"/>
                <w:szCs w:val="20"/>
              </w:rPr>
              <w:t>-35.97</w:t>
            </w:r>
            <w:r w:rsidR="00886F44" w:rsidRPr="00010126">
              <w:rPr>
                <w:rFonts w:cstheme="minorHAnsi"/>
                <w:szCs w:val="20"/>
              </w:rPr>
              <w:t xml:space="preserve"> (-</w:t>
            </w:r>
            <w:r>
              <w:rPr>
                <w:rFonts w:cstheme="minorHAnsi"/>
                <w:szCs w:val="20"/>
              </w:rPr>
              <w:t>87.26</w:t>
            </w:r>
            <w:r w:rsidR="00886F44" w:rsidRPr="00010126">
              <w:rPr>
                <w:rFonts w:cstheme="minorHAnsi"/>
                <w:szCs w:val="20"/>
              </w:rPr>
              <w:t>-</w:t>
            </w:r>
            <w:r>
              <w:rPr>
                <w:rFonts w:cstheme="minorHAnsi"/>
                <w:szCs w:val="20"/>
              </w:rPr>
              <w:t>15.31</w:t>
            </w:r>
            <w:r w:rsidR="00886F44" w:rsidRPr="00010126">
              <w:rPr>
                <w:rFonts w:cstheme="minorHAnsi"/>
                <w:szCs w:val="20"/>
              </w:rPr>
              <w:t>)</w:t>
            </w:r>
          </w:p>
        </w:tc>
        <w:tc>
          <w:tcPr>
            <w:tcW w:w="1943" w:type="dxa"/>
            <w:tcBorders>
              <w:top w:val="single" w:sz="4" w:space="0" w:color="auto"/>
              <w:bottom w:val="single" w:sz="4" w:space="0" w:color="auto"/>
            </w:tcBorders>
            <w:tcMar>
              <w:top w:w="28" w:type="dxa"/>
            </w:tcMar>
            <w:vAlign w:val="bottom"/>
          </w:tcPr>
          <w:p w14:paraId="016014E5" w14:textId="1C3000E5" w:rsidR="00886F44" w:rsidRPr="00010126" w:rsidRDefault="00886F44" w:rsidP="005149DB">
            <w:pPr>
              <w:jc w:val="right"/>
              <w:rPr>
                <w:rFonts w:cstheme="minorHAnsi"/>
                <w:szCs w:val="20"/>
              </w:rPr>
            </w:pPr>
            <w:r w:rsidRPr="00010126">
              <w:rPr>
                <w:rFonts w:cstheme="minorHAnsi"/>
                <w:szCs w:val="20"/>
              </w:rPr>
              <w:t>0.</w:t>
            </w:r>
            <w:r w:rsidR="00012230">
              <w:rPr>
                <w:rFonts w:cstheme="minorHAnsi"/>
                <w:szCs w:val="20"/>
              </w:rPr>
              <w:t>17</w:t>
            </w:r>
          </w:p>
        </w:tc>
      </w:tr>
    </w:tbl>
    <w:p w14:paraId="07E78145" w14:textId="08E9B0A8" w:rsidR="00012230" w:rsidRDefault="00012230" w:rsidP="00012230">
      <w:pPr>
        <w:pStyle w:val="SourceNotesText"/>
      </w:pPr>
      <w:r>
        <w:t xml:space="preserve">OLS model adjusted for condition, industry type, </w:t>
      </w:r>
      <w:r w:rsidR="00016DAD">
        <w:t xml:space="preserve">interaction between condition and </w:t>
      </w:r>
      <w:r>
        <w:t>industry type, gender, education, CALD status, awareness of FDVL legislation with HC2 robust standard errors. N = 2705</w:t>
      </w:r>
    </w:p>
    <w:p w14:paraId="0938A24C" w14:textId="0536D07D" w:rsidR="00012230" w:rsidRPr="009F3C0D" w:rsidRDefault="00746ABF" w:rsidP="00746ABF">
      <w:pPr>
        <w:pStyle w:val="Caption"/>
      </w:pPr>
      <w:r>
        <w:t xml:space="preserve">Table 10. </w:t>
      </w:r>
      <w:r w:rsidR="00012230">
        <w:t xml:space="preserve">Subgroup responses to the treatment for </w:t>
      </w:r>
      <w:r w:rsidR="00E502B3">
        <w:t>manager</w:t>
      </w:r>
      <w:r w:rsidR="00012230">
        <w:t xml:space="preserve"> outcome</w:t>
      </w:r>
    </w:p>
    <w:tbl>
      <w:tblPr>
        <w:tblStyle w:val="TableGrid"/>
        <w:tblW w:w="860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Subgroups responses to the treatment for disability status"/>
        <w:tblDescription w:val="Table shows the interaction between the treatment emails compared to the attention control by pay level, on disability status. It shows there were no significant interaction effects between pay level and email group for disability status outcome measure. "/>
      </w:tblPr>
      <w:tblGrid>
        <w:gridCol w:w="3686"/>
        <w:gridCol w:w="3045"/>
        <w:gridCol w:w="1872"/>
      </w:tblGrid>
      <w:tr w:rsidR="00886F44" w:rsidRPr="00531A0E" w14:paraId="38C0FA3A" w14:textId="77777777" w:rsidTr="005149DB">
        <w:trPr>
          <w:trHeight w:val="459"/>
          <w:tblHeader/>
        </w:trPr>
        <w:tc>
          <w:tcPr>
            <w:tcW w:w="3686" w:type="dxa"/>
            <w:tcBorders>
              <w:top w:val="nil"/>
              <w:bottom w:val="single" w:sz="18" w:space="0" w:color="auto"/>
            </w:tcBorders>
            <w:shd w:val="clear" w:color="auto" w:fill="20B9A3" w:themeFill="accent1"/>
            <w:tcMar>
              <w:top w:w="28" w:type="dxa"/>
            </w:tcMar>
          </w:tcPr>
          <w:p w14:paraId="3BE9DA65" w14:textId="77777777" w:rsidR="00886F44" w:rsidRPr="003E4D83" w:rsidRDefault="00886F44" w:rsidP="005149DB">
            <w:pPr>
              <w:pStyle w:val="TableHeading"/>
              <w:spacing w:after="0" w:line="360" w:lineRule="auto"/>
              <w:rPr>
                <w:b/>
                <w:sz w:val="20"/>
                <w:szCs w:val="22"/>
              </w:rPr>
            </w:pPr>
            <w:r w:rsidRPr="003E4D83">
              <w:rPr>
                <w:b/>
                <w:sz w:val="20"/>
                <w:szCs w:val="22"/>
              </w:rPr>
              <w:t>Subgroup analysis by Condition</w:t>
            </w:r>
          </w:p>
        </w:tc>
        <w:tc>
          <w:tcPr>
            <w:tcW w:w="3045" w:type="dxa"/>
            <w:tcBorders>
              <w:top w:val="nil"/>
              <w:bottom w:val="single" w:sz="18" w:space="0" w:color="auto"/>
            </w:tcBorders>
            <w:shd w:val="clear" w:color="auto" w:fill="20B9A3" w:themeFill="accent1"/>
            <w:tcMar>
              <w:top w:w="28" w:type="dxa"/>
            </w:tcMar>
          </w:tcPr>
          <w:p w14:paraId="156C1C53" w14:textId="2E9FE2E4" w:rsidR="00886F44" w:rsidRPr="003E4D83" w:rsidRDefault="00886F44" w:rsidP="005149DB">
            <w:pPr>
              <w:pStyle w:val="TableHeading"/>
              <w:spacing w:after="0" w:line="360" w:lineRule="auto"/>
              <w:jc w:val="right"/>
              <w:rPr>
                <w:b/>
                <w:sz w:val="20"/>
                <w:szCs w:val="22"/>
              </w:rPr>
            </w:pPr>
            <w:r w:rsidRPr="003E4D83">
              <w:rPr>
                <w:b/>
                <w:sz w:val="20"/>
                <w:szCs w:val="22"/>
              </w:rPr>
              <w:t xml:space="preserve">Interaction effect between condition and </w:t>
            </w:r>
            <w:r w:rsidR="00E502B3" w:rsidRPr="003E4D83">
              <w:rPr>
                <w:b/>
                <w:sz w:val="20"/>
                <w:szCs w:val="22"/>
              </w:rPr>
              <w:t xml:space="preserve">industry type </w:t>
            </w:r>
            <w:r w:rsidRPr="003E4D83">
              <w:rPr>
                <w:b/>
                <w:sz w:val="20"/>
                <w:szCs w:val="22"/>
              </w:rPr>
              <w:t>(95% CI)</w:t>
            </w:r>
          </w:p>
        </w:tc>
        <w:tc>
          <w:tcPr>
            <w:tcW w:w="1872" w:type="dxa"/>
            <w:tcBorders>
              <w:top w:val="nil"/>
              <w:bottom w:val="single" w:sz="18" w:space="0" w:color="auto"/>
            </w:tcBorders>
            <w:shd w:val="clear" w:color="auto" w:fill="20B9A3" w:themeFill="accent1"/>
            <w:tcMar>
              <w:top w:w="28" w:type="dxa"/>
            </w:tcMar>
          </w:tcPr>
          <w:p w14:paraId="6F876880" w14:textId="77777777" w:rsidR="00886F44" w:rsidRPr="003E4D83" w:rsidRDefault="00886F44" w:rsidP="005149DB">
            <w:pPr>
              <w:pStyle w:val="TableHeading"/>
              <w:spacing w:after="0" w:line="360" w:lineRule="auto"/>
              <w:jc w:val="right"/>
              <w:rPr>
                <w:b/>
                <w:sz w:val="20"/>
                <w:szCs w:val="22"/>
              </w:rPr>
            </w:pPr>
            <w:r w:rsidRPr="003E4D83">
              <w:rPr>
                <w:b/>
                <w:sz w:val="20"/>
                <w:szCs w:val="22"/>
              </w:rPr>
              <w:t>p-value</w:t>
            </w:r>
          </w:p>
        </w:tc>
      </w:tr>
      <w:tr w:rsidR="00E502B3" w14:paraId="578C80FC" w14:textId="77777777" w:rsidTr="005149DB">
        <w:trPr>
          <w:trHeight w:val="270"/>
          <w:tblHeader/>
        </w:trPr>
        <w:tc>
          <w:tcPr>
            <w:tcW w:w="3686" w:type="dxa"/>
            <w:tcBorders>
              <w:top w:val="single" w:sz="18" w:space="0" w:color="auto"/>
              <w:bottom w:val="single" w:sz="4" w:space="0" w:color="auto"/>
            </w:tcBorders>
            <w:tcMar>
              <w:top w:w="28" w:type="dxa"/>
            </w:tcMar>
            <w:vAlign w:val="bottom"/>
          </w:tcPr>
          <w:p w14:paraId="61B7FB16" w14:textId="1561A4AF" w:rsidR="00E502B3" w:rsidRDefault="00E502B3" w:rsidP="00E502B3">
            <w:pPr>
              <w:spacing w:after="0" w:line="360" w:lineRule="auto"/>
            </w:pPr>
            <w:r>
              <w:t>Female</w:t>
            </w:r>
            <w:r w:rsidR="00CF0B3B">
              <w:t>-</w:t>
            </w:r>
            <w:r>
              <w:t>dominated industry compared to Male</w:t>
            </w:r>
            <w:r w:rsidR="00CF0B3B">
              <w:t>-</w:t>
            </w:r>
            <w:r>
              <w:t>dominated industry:</w:t>
            </w:r>
            <w:r w:rsidRPr="00BD211D">
              <w:t xml:space="preserve"> </w:t>
            </w:r>
          </w:p>
          <w:p w14:paraId="2EB854CE" w14:textId="6A2878A5" w:rsidR="00E502B3" w:rsidRDefault="00E502B3" w:rsidP="00E502B3">
            <w:pPr>
              <w:spacing w:after="0" w:line="360" w:lineRule="auto"/>
            </w:pPr>
            <w:r>
              <w:t>Treatment group</w:t>
            </w:r>
          </w:p>
        </w:tc>
        <w:tc>
          <w:tcPr>
            <w:tcW w:w="3045" w:type="dxa"/>
            <w:tcBorders>
              <w:top w:val="single" w:sz="18" w:space="0" w:color="auto"/>
              <w:bottom w:val="single" w:sz="4" w:space="0" w:color="auto"/>
            </w:tcBorders>
            <w:tcMar>
              <w:top w:w="28" w:type="dxa"/>
            </w:tcMar>
            <w:vAlign w:val="bottom"/>
          </w:tcPr>
          <w:p w14:paraId="709A3A6D" w14:textId="22571891" w:rsidR="00E502B3" w:rsidRPr="00010126" w:rsidRDefault="00E502B3" w:rsidP="00E502B3">
            <w:pPr>
              <w:jc w:val="right"/>
              <w:rPr>
                <w:rFonts w:cstheme="minorHAnsi"/>
                <w:szCs w:val="20"/>
              </w:rPr>
            </w:pPr>
            <w:r w:rsidRPr="00010126">
              <w:rPr>
                <w:rFonts w:cstheme="minorHAnsi"/>
                <w:szCs w:val="20"/>
              </w:rPr>
              <w:t>0.0</w:t>
            </w:r>
            <w:r>
              <w:rPr>
                <w:rFonts w:cstheme="minorHAnsi"/>
                <w:szCs w:val="20"/>
              </w:rPr>
              <w:t>3</w:t>
            </w:r>
            <w:r w:rsidRPr="00010126">
              <w:rPr>
                <w:rFonts w:cstheme="minorHAnsi"/>
                <w:szCs w:val="20"/>
              </w:rPr>
              <w:t xml:space="preserve"> (-0.0</w:t>
            </w:r>
            <w:r>
              <w:rPr>
                <w:rFonts w:cstheme="minorHAnsi"/>
                <w:szCs w:val="20"/>
              </w:rPr>
              <w:t>9</w:t>
            </w:r>
            <w:r w:rsidRPr="00010126">
              <w:rPr>
                <w:rFonts w:cstheme="minorHAnsi"/>
                <w:szCs w:val="20"/>
              </w:rPr>
              <w:t>-0.</w:t>
            </w:r>
            <w:r>
              <w:rPr>
                <w:rFonts w:cstheme="minorHAnsi"/>
                <w:szCs w:val="20"/>
              </w:rPr>
              <w:t>14</w:t>
            </w:r>
            <w:r w:rsidRPr="00010126">
              <w:rPr>
                <w:rFonts w:cstheme="minorHAnsi"/>
                <w:szCs w:val="20"/>
              </w:rPr>
              <w:t>)</w:t>
            </w:r>
          </w:p>
        </w:tc>
        <w:tc>
          <w:tcPr>
            <w:tcW w:w="1872" w:type="dxa"/>
            <w:tcBorders>
              <w:top w:val="single" w:sz="18" w:space="0" w:color="auto"/>
              <w:bottom w:val="single" w:sz="4" w:space="0" w:color="auto"/>
            </w:tcBorders>
            <w:tcMar>
              <w:top w:w="28" w:type="dxa"/>
            </w:tcMar>
            <w:vAlign w:val="bottom"/>
          </w:tcPr>
          <w:p w14:paraId="67C04E66" w14:textId="3FA904D4" w:rsidR="00E502B3" w:rsidRPr="00010126" w:rsidRDefault="00E502B3" w:rsidP="00E502B3">
            <w:pPr>
              <w:jc w:val="right"/>
              <w:rPr>
                <w:rFonts w:cstheme="minorHAnsi"/>
                <w:szCs w:val="20"/>
              </w:rPr>
            </w:pPr>
            <w:r w:rsidRPr="00010126">
              <w:rPr>
                <w:rFonts w:cstheme="minorHAnsi"/>
                <w:szCs w:val="20"/>
              </w:rPr>
              <w:t>0.6</w:t>
            </w:r>
            <w:r>
              <w:rPr>
                <w:rFonts w:cstheme="minorHAnsi"/>
                <w:szCs w:val="20"/>
              </w:rPr>
              <w:t>6</w:t>
            </w:r>
          </w:p>
        </w:tc>
      </w:tr>
      <w:tr w:rsidR="00E502B3" w14:paraId="6EFA46E7" w14:textId="77777777" w:rsidTr="005149DB">
        <w:trPr>
          <w:trHeight w:val="288"/>
          <w:tblHeader/>
        </w:trPr>
        <w:tc>
          <w:tcPr>
            <w:tcW w:w="3686" w:type="dxa"/>
            <w:tcBorders>
              <w:top w:val="single" w:sz="4" w:space="0" w:color="auto"/>
              <w:bottom w:val="single" w:sz="4" w:space="0" w:color="auto"/>
            </w:tcBorders>
            <w:tcMar>
              <w:top w:w="28" w:type="dxa"/>
            </w:tcMar>
            <w:vAlign w:val="bottom"/>
          </w:tcPr>
          <w:p w14:paraId="518520D9" w14:textId="5DF77908" w:rsidR="00E502B3" w:rsidRDefault="00E502B3" w:rsidP="00E502B3">
            <w:pPr>
              <w:spacing w:after="0" w:line="360" w:lineRule="auto"/>
            </w:pPr>
            <w:r>
              <w:t>Female</w:t>
            </w:r>
            <w:r w:rsidR="00CF0B3B">
              <w:t>-</w:t>
            </w:r>
            <w:r>
              <w:t>dominated industry compared to Mix</w:t>
            </w:r>
            <w:r w:rsidR="007C1AF5">
              <w:t>ed</w:t>
            </w:r>
            <w:r>
              <w:t xml:space="preserve"> industry:</w:t>
            </w:r>
            <w:r w:rsidRPr="00BD211D">
              <w:t xml:space="preserve"> </w:t>
            </w:r>
          </w:p>
          <w:p w14:paraId="79F035DD" w14:textId="7B4A0CAE" w:rsidR="00E502B3" w:rsidRDefault="00E502B3" w:rsidP="00E502B3">
            <w:pPr>
              <w:spacing w:after="0" w:line="360" w:lineRule="auto"/>
            </w:pPr>
            <w:r>
              <w:t>Treatment group</w:t>
            </w:r>
          </w:p>
        </w:tc>
        <w:tc>
          <w:tcPr>
            <w:tcW w:w="3045" w:type="dxa"/>
            <w:tcBorders>
              <w:top w:val="single" w:sz="4" w:space="0" w:color="auto"/>
              <w:bottom w:val="single" w:sz="4" w:space="0" w:color="auto"/>
            </w:tcBorders>
            <w:tcMar>
              <w:top w:w="28" w:type="dxa"/>
            </w:tcMar>
            <w:vAlign w:val="bottom"/>
          </w:tcPr>
          <w:p w14:paraId="0F4F55FA" w14:textId="7E3CC9D7" w:rsidR="00E502B3" w:rsidRPr="00010126" w:rsidRDefault="00E502B3" w:rsidP="00E502B3">
            <w:pPr>
              <w:jc w:val="right"/>
              <w:rPr>
                <w:rFonts w:cstheme="minorHAnsi"/>
                <w:szCs w:val="20"/>
              </w:rPr>
            </w:pPr>
            <w:r>
              <w:rPr>
                <w:rFonts w:cstheme="minorHAnsi"/>
                <w:szCs w:val="20"/>
              </w:rPr>
              <w:t>-</w:t>
            </w:r>
            <w:r w:rsidRPr="00010126">
              <w:rPr>
                <w:rFonts w:cstheme="minorHAnsi"/>
                <w:szCs w:val="20"/>
              </w:rPr>
              <w:t>0.0</w:t>
            </w:r>
            <w:r>
              <w:rPr>
                <w:rFonts w:cstheme="minorHAnsi"/>
                <w:szCs w:val="20"/>
              </w:rPr>
              <w:t>2</w:t>
            </w:r>
            <w:r w:rsidRPr="00010126">
              <w:rPr>
                <w:rFonts w:cstheme="minorHAnsi"/>
                <w:szCs w:val="20"/>
              </w:rPr>
              <w:t xml:space="preserve"> (-0.</w:t>
            </w:r>
            <w:r>
              <w:rPr>
                <w:rFonts w:cstheme="minorHAnsi"/>
                <w:szCs w:val="20"/>
              </w:rPr>
              <w:t>1</w:t>
            </w:r>
            <w:r w:rsidRPr="00010126">
              <w:rPr>
                <w:rFonts w:cstheme="minorHAnsi"/>
                <w:szCs w:val="20"/>
              </w:rPr>
              <w:t>1-0.0</w:t>
            </w:r>
            <w:r>
              <w:rPr>
                <w:rFonts w:cstheme="minorHAnsi"/>
                <w:szCs w:val="20"/>
              </w:rPr>
              <w:t>7</w:t>
            </w:r>
            <w:r w:rsidRPr="00010126">
              <w:rPr>
                <w:rFonts w:cstheme="minorHAnsi"/>
                <w:szCs w:val="20"/>
              </w:rPr>
              <w:t>)</w:t>
            </w:r>
          </w:p>
        </w:tc>
        <w:tc>
          <w:tcPr>
            <w:tcW w:w="1872" w:type="dxa"/>
            <w:tcBorders>
              <w:top w:val="single" w:sz="4" w:space="0" w:color="auto"/>
              <w:bottom w:val="single" w:sz="4" w:space="0" w:color="auto"/>
            </w:tcBorders>
            <w:tcMar>
              <w:top w:w="28" w:type="dxa"/>
            </w:tcMar>
            <w:vAlign w:val="bottom"/>
          </w:tcPr>
          <w:p w14:paraId="71A20081" w14:textId="22A84425" w:rsidR="00E502B3" w:rsidRPr="00010126" w:rsidRDefault="00E502B3" w:rsidP="00E502B3">
            <w:pPr>
              <w:jc w:val="right"/>
              <w:rPr>
                <w:rFonts w:cstheme="minorHAnsi"/>
                <w:szCs w:val="20"/>
              </w:rPr>
            </w:pPr>
            <w:r w:rsidRPr="00010126">
              <w:rPr>
                <w:rFonts w:cstheme="minorHAnsi"/>
                <w:szCs w:val="20"/>
              </w:rPr>
              <w:t>0.</w:t>
            </w:r>
            <w:r>
              <w:rPr>
                <w:rFonts w:cstheme="minorHAnsi"/>
                <w:szCs w:val="20"/>
              </w:rPr>
              <w:t>64</w:t>
            </w:r>
          </w:p>
        </w:tc>
      </w:tr>
    </w:tbl>
    <w:p w14:paraId="5746BA23" w14:textId="43AF9317" w:rsidR="00E502B3" w:rsidRDefault="00E502B3" w:rsidP="00E502B3">
      <w:pPr>
        <w:pStyle w:val="SourceNotesText"/>
      </w:pPr>
      <w:r>
        <w:t xml:space="preserve">OLS model adjusted for condition, industry type, </w:t>
      </w:r>
      <w:r w:rsidR="00016DAD">
        <w:t xml:space="preserve">interaction between condition and </w:t>
      </w:r>
      <w:r>
        <w:t>industry type, gender, education, CALD status, awareness of FDVL legislation with HC2 robust standard errors. N = 2705</w:t>
      </w:r>
    </w:p>
    <w:p w14:paraId="401AAC4F" w14:textId="77777777" w:rsidR="00EA6131" w:rsidRDefault="00EA6131">
      <w:pPr>
        <w:spacing w:after="0" w:line="240" w:lineRule="auto"/>
        <w:rPr>
          <w:rFonts w:asciiTheme="majorHAnsi" w:hAnsiTheme="majorHAnsi"/>
          <w:b/>
          <w:sz w:val="72"/>
          <w:szCs w:val="44"/>
        </w:rPr>
      </w:pPr>
      <w:r>
        <w:br w:type="page"/>
      </w:r>
    </w:p>
    <w:p w14:paraId="1CD7305D" w14:textId="79EB0F3B" w:rsidR="00EA6131" w:rsidRDefault="00EA6131" w:rsidP="00EA6131">
      <w:pPr>
        <w:pStyle w:val="Heading2"/>
      </w:pPr>
      <w:bookmarkStart w:id="6" w:name="_Toc175061485"/>
      <w:r>
        <w:lastRenderedPageBreak/>
        <w:t>Appendix 2</w:t>
      </w:r>
      <w:r w:rsidR="00CF0B3B">
        <w:t>:</w:t>
      </w:r>
      <w:r>
        <w:t xml:space="preserve"> Survey materials</w:t>
      </w:r>
      <w:bookmarkEnd w:id="6"/>
    </w:p>
    <w:p w14:paraId="10546533" w14:textId="20332ABF" w:rsidR="00EA6131" w:rsidRDefault="00EA6131" w:rsidP="00EA6131">
      <w:pPr>
        <w:pStyle w:val="Heading3"/>
      </w:pPr>
      <w:r>
        <w:t>Vignette and related survey questions (Section A)</w:t>
      </w:r>
    </w:p>
    <w:p w14:paraId="007F08F8" w14:textId="49B436C8" w:rsidR="00EA6131" w:rsidRPr="00EA6131" w:rsidRDefault="00EA6131" w:rsidP="00EA6131">
      <w:pPr>
        <w:pStyle w:val="Heading4"/>
      </w:pPr>
      <w:r>
        <w:t>Vignette</w:t>
      </w:r>
    </w:p>
    <w:p w14:paraId="73D95713" w14:textId="1C53E942" w:rsidR="00EA6131" w:rsidRDefault="00EA6131" w:rsidP="007E3C25">
      <w:pPr>
        <w:rPr>
          <w:noProof/>
        </w:rPr>
      </w:pPr>
      <w:r>
        <w:rPr>
          <w:noProof/>
        </w:rPr>
        <w:t>Q63</w:t>
      </w:r>
      <w:r w:rsidR="00CF0B3B">
        <w:rPr>
          <w:noProof/>
        </w:rPr>
        <w:t>:</w:t>
      </w:r>
      <w:r>
        <w:rPr>
          <w:noProof/>
        </w:rPr>
        <w:t xml:space="preserve"> Below is a scenario. Please read this carefully. After 30 seconds, questions about the scenario will appear at the bottom of the page.</w:t>
      </w:r>
    </w:p>
    <w:p w14:paraId="1D26FA40" w14:textId="21A6634F" w:rsidR="00EA6131" w:rsidRDefault="00EA6131" w:rsidP="007E3C25">
      <w:pPr>
        <w:rPr>
          <w:noProof/>
        </w:rPr>
      </w:pPr>
      <w:r>
        <w:rPr>
          <w:noProof/>
        </w:rPr>
        <w:t>Imagine that you are a manager at a recruitment company called QStat. You manage a team of 20 recruiters. They help businesses find candidates to hire. To encourage maximum performance, every quarter QStat managers – like you – provide all recruiters with a bonus, ranging from $0 to $1,000, with an average bonus of $250. The size of each recruiter’s bonus depends on their manager’s judgement of their work performance, behaviour, and commitment to their work over each quarter. In addition, you have been asked to identify whether or not each recruiter should be assessed for potential promotion to manager within the next year.</w:t>
      </w:r>
    </w:p>
    <w:p w14:paraId="73528741" w14:textId="77777777" w:rsidR="00EA6131" w:rsidRDefault="00EA6131" w:rsidP="007E3C25">
      <w:pPr>
        <w:rPr>
          <w:noProof/>
        </w:rPr>
      </w:pPr>
      <w:r>
        <w:rPr>
          <w:noProof/>
        </w:rPr>
        <w:t>Recruiters have an ambitious target of placing 2 candidates per day, and 110 per quarter. The average performance of recruiters for the last quarter was 1.4 candidates placed per day (the highest = 1.6, lowest = 0.9), with an average total of 77 candidates placed per quarter (highest = 100, lowest = 61). This average per quarter accounts for recruiters taking an average of 5 days leave.</w:t>
      </w:r>
    </w:p>
    <w:p w14:paraId="03615DC8" w14:textId="073CA093" w:rsidR="00EA6131" w:rsidRDefault="00EA6131" w:rsidP="007E3C25">
      <w:pPr>
        <w:rPr>
          <w:noProof/>
        </w:rPr>
      </w:pPr>
      <w:r>
        <w:rPr>
          <w:noProof/>
        </w:rPr>
        <w:t>You are reviewing a recruiter named Emily. In the last quarter, Emily placed a daily average of 1.5 candidates, with a total of 68 candidates placed (she had 5 days sick leave and also 10 days of leave to relocate and to attend support services due to experiencing domestic violence).</w:t>
      </w:r>
    </w:p>
    <w:p w14:paraId="3C68FD30" w14:textId="77777777" w:rsidR="00EA6131" w:rsidRDefault="00EA6131" w:rsidP="007E3C25">
      <w:pPr>
        <w:rPr>
          <w:noProof/>
        </w:rPr>
      </w:pPr>
      <w:r>
        <w:rPr>
          <w:noProof/>
        </w:rPr>
        <w:t>Emily prefers not to work with male candidates, as her long-term on and off again boyfriend gets jealous. Emily gets most of her work done independently and on time. She communicates well with you, and is well liked by her clients and candidates who describe her as ‘efficient’, ‘to the point’ and ‘diligent’. Emily has been frequently up to 45mins late to work and arrives stressed and flustered, informing you that her boyfriend who insists on driving her to and from work was in “another one of his moods again”. She often works through her lunch break, which she says is because she wants to make up for being late. She makes meaningful contributions in meetings, though occasionally appears distracted. She is courteous to her co-workers but does not engage in any social activities.</w:t>
      </w:r>
    </w:p>
    <w:p w14:paraId="06327046" w14:textId="3BE8D6D5" w:rsidR="00EA6131" w:rsidRDefault="00EA6131" w:rsidP="00EA6131">
      <w:pPr>
        <w:pStyle w:val="Heading4"/>
      </w:pPr>
      <w:r>
        <w:lastRenderedPageBreak/>
        <w:t>Vignette</w:t>
      </w:r>
      <w:r w:rsidR="00CF0B3B">
        <w:t>-</w:t>
      </w:r>
      <w:r>
        <w:t>related survey questions</w:t>
      </w:r>
    </w:p>
    <w:p w14:paraId="41E4B8B2" w14:textId="3C718EFC" w:rsidR="00EA6131" w:rsidRDefault="001B7F96" w:rsidP="009E3928">
      <w:pPr>
        <w:keepNext/>
        <w:rPr>
          <w:rFonts w:cstheme="minorHAnsi"/>
          <w:szCs w:val="20"/>
        </w:rPr>
      </w:pPr>
      <w:r w:rsidRPr="001B7F96">
        <w:rPr>
          <w:rFonts w:cstheme="minorHAnsi"/>
          <w:noProof/>
          <w:szCs w:val="20"/>
        </w:rPr>
        <w:drawing>
          <wp:inline distT="0" distB="0" distL="0" distR="0" wp14:anchorId="6B873C26" wp14:editId="6365D868">
            <wp:extent cx="5256530" cy="4140835"/>
            <wp:effectExtent l="0" t="0" r="1270" b="0"/>
            <wp:docPr id="17" name="Picture 17" descr="This first image depicts the survey question Q65: Please rate Emily on the below attributes. The attributes listed are capable (1), efficient (2), skilled (3), self-confident (4), independent (5) and intelligent (6). The ranks showed for participants to select are not at all (1), a little (2), some (3), mostly (4), very (5) and extremely (6). These ranks are shown for each attrib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6530" cy="4140835"/>
                    </a:xfrm>
                    <a:prstGeom prst="rect">
                      <a:avLst/>
                    </a:prstGeom>
                  </pic:spPr>
                </pic:pic>
              </a:graphicData>
            </a:graphic>
          </wp:inline>
        </w:drawing>
      </w:r>
    </w:p>
    <w:p w14:paraId="4D445F37" w14:textId="199CCEED" w:rsidR="009E3928" w:rsidRDefault="009E3928" w:rsidP="009E3928">
      <w:pPr>
        <w:keepNext/>
        <w:rPr>
          <w:rFonts w:cstheme="minorHAnsi"/>
          <w:szCs w:val="20"/>
        </w:rPr>
      </w:pPr>
      <w:r w:rsidRPr="009E3928">
        <w:rPr>
          <w:rFonts w:cstheme="minorHAnsi"/>
          <w:noProof/>
          <w:szCs w:val="20"/>
        </w:rPr>
        <w:drawing>
          <wp:inline distT="0" distB="0" distL="0" distR="0" wp14:anchorId="2FBB2A7F" wp14:editId="0C75A20E">
            <wp:extent cx="5256530" cy="824230"/>
            <wp:effectExtent l="0" t="0" r="1270" b="0"/>
            <wp:docPr id="11" name="Picture 11" descr="This question asks Q66: What bonus would you recommend for Emily (between $0 and $1,000)? There is then space of one line for the participant to write their answer. A dotted line then seperates the next question from this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56530" cy="824230"/>
                    </a:xfrm>
                    <a:prstGeom prst="rect">
                      <a:avLst/>
                    </a:prstGeom>
                  </pic:spPr>
                </pic:pic>
              </a:graphicData>
            </a:graphic>
          </wp:inline>
        </w:drawing>
      </w:r>
    </w:p>
    <w:p w14:paraId="4E5641BD" w14:textId="68EE356C" w:rsidR="00EA6131" w:rsidRPr="009E3928" w:rsidRDefault="009E3928" w:rsidP="009E3928">
      <w:pPr>
        <w:keepNext/>
        <w:rPr>
          <w:rFonts w:cstheme="minorHAnsi"/>
          <w:szCs w:val="20"/>
        </w:rPr>
      </w:pPr>
      <w:r w:rsidRPr="009E3928">
        <w:rPr>
          <w:rFonts w:cstheme="minorHAnsi"/>
          <w:noProof/>
          <w:szCs w:val="20"/>
        </w:rPr>
        <w:drawing>
          <wp:inline distT="0" distB="0" distL="0" distR="0" wp14:anchorId="15846726" wp14:editId="152D85A7">
            <wp:extent cx="5256530" cy="1196975"/>
            <wp:effectExtent l="0" t="0" r="1270" b="3175"/>
            <wp:docPr id="12" name="Picture 12" descr="This image asks Q67: How did you arrive at this number? and gives a space of three lines for participants to write their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6530" cy="1196975"/>
                    </a:xfrm>
                    <a:prstGeom prst="rect">
                      <a:avLst/>
                    </a:prstGeom>
                  </pic:spPr>
                </pic:pic>
              </a:graphicData>
            </a:graphic>
          </wp:inline>
        </w:drawing>
      </w:r>
    </w:p>
    <w:p w14:paraId="5E24CE5E" w14:textId="77777777" w:rsidR="00EA6131" w:rsidRDefault="00EA6131" w:rsidP="00EA6131">
      <w:pPr>
        <w:keepNext/>
        <w:rPr>
          <w:rFonts w:eastAsiaTheme="minorEastAsia" w:cstheme="minorBidi"/>
          <w:sz w:val="22"/>
          <w:szCs w:val="22"/>
          <w:lang w:val="en-US" w:eastAsia="en-US"/>
        </w:rPr>
      </w:pPr>
    </w:p>
    <w:p w14:paraId="6845FF2E" w14:textId="1DC9FB8F" w:rsidR="00EA6131" w:rsidRDefault="009E3928" w:rsidP="00EA6131">
      <w:r w:rsidRPr="009E3928">
        <w:rPr>
          <w:noProof/>
        </w:rPr>
        <w:drawing>
          <wp:inline distT="0" distB="0" distL="0" distR="0" wp14:anchorId="68C45811" wp14:editId="24DD9856">
            <wp:extent cx="5256530" cy="1363980"/>
            <wp:effectExtent l="0" t="0" r="1270" b="7620"/>
            <wp:docPr id="13" name="Picture 13" descr="This image depicts the question asked to participants Q68. Would you identify Emily to be assessed for a management position within the next year? It then allows participants to select either Yes (1) or No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6530" cy="1363980"/>
                    </a:xfrm>
                    <a:prstGeom prst="rect">
                      <a:avLst/>
                    </a:prstGeom>
                  </pic:spPr>
                </pic:pic>
              </a:graphicData>
            </a:graphic>
          </wp:inline>
        </w:drawing>
      </w:r>
    </w:p>
    <w:p w14:paraId="47AA9C6D" w14:textId="2E8E041D" w:rsidR="009E3928" w:rsidRDefault="009E3928" w:rsidP="00EA6131">
      <w:pPr>
        <w:keepNext/>
      </w:pPr>
      <w:r w:rsidRPr="009E3928">
        <w:rPr>
          <w:noProof/>
        </w:rPr>
        <w:lastRenderedPageBreak/>
        <w:drawing>
          <wp:inline distT="0" distB="0" distL="0" distR="0" wp14:anchorId="56946965" wp14:editId="78B3BFC7">
            <wp:extent cx="5347472" cy="1866900"/>
            <wp:effectExtent l="0" t="0" r="5715" b="0"/>
            <wp:docPr id="14" name="Picture 14" descr="This question asks participants Q69: How did you arrive at this decision? There is then five lines depicted for participants to write their ans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3863" cy="1872623"/>
                    </a:xfrm>
                    <a:prstGeom prst="rect">
                      <a:avLst/>
                    </a:prstGeom>
                  </pic:spPr>
                </pic:pic>
              </a:graphicData>
            </a:graphic>
          </wp:inline>
        </w:drawing>
      </w:r>
    </w:p>
    <w:p w14:paraId="3834E84C" w14:textId="77777777" w:rsidR="00EA6131" w:rsidRDefault="00EA6131">
      <w:pPr>
        <w:spacing w:after="0" w:line="240" w:lineRule="auto"/>
        <w:rPr>
          <w:rFonts w:asciiTheme="majorHAnsi" w:hAnsiTheme="majorHAnsi"/>
          <w:b/>
          <w:color w:val="117479" w:themeColor="accent2"/>
          <w:sz w:val="24"/>
          <w:szCs w:val="44"/>
        </w:rPr>
      </w:pPr>
      <w:r>
        <w:br w:type="page"/>
      </w:r>
    </w:p>
    <w:p w14:paraId="23FB4E35" w14:textId="77E3DC26" w:rsidR="00EA6131" w:rsidRDefault="00EA6131" w:rsidP="00EA6131">
      <w:pPr>
        <w:pStyle w:val="Heading3"/>
      </w:pPr>
      <w:r>
        <w:lastRenderedPageBreak/>
        <w:t>Attitudinal questions (Section B)</w:t>
      </w:r>
    </w:p>
    <w:p w14:paraId="7B818D12" w14:textId="626CF21F" w:rsidR="00D7113D" w:rsidRPr="00D7113D" w:rsidRDefault="00D7113D" w:rsidP="00D7113D">
      <w:pPr>
        <w:pStyle w:val="Heading4"/>
      </w:pPr>
      <w:r w:rsidRPr="00D7113D">
        <w:t>Attitudes towards gender equality (AGIS scale)</w:t>
      </w:r>
    </w:p>
    <w:p w14:paraId="29926888" w14:textId="11C5FE51" w:rsidR="00AB1637" w:rsidRDefault="006710B1" w:rsidP="00AB1637">
      <w:pPr>
        <w:pStyle w:val="Heading4"/>
      </w:pPr>
      <w:r w:rsidRPr="005D2E73">
        <w:rPr>
          <w:noProof/>
        </w:rPr>
        <w:drawing>
          <wp:inline distT="0" distB="0" distL="0" distR="0" wp14:anchorId="4CA97858" wp14:editId="6DED7DF8">
            <wp:extent cx="6666970" cy="3456709"/>
            <wp:effectExtent l="0" t="0" r="635" b="0"/>
            <wp:docPr id="31" name="Picture 31" descr="This question shows five statements and asks participants to indicate their level of agreement with each individual statement. The first statement is 'If a woman earns more than her male partner, it is not good for the relationship (13)'. The second statement is 'On the whole, men make better political leaders than women (14)'. The third statement is 'In the workplace, victims of family or domestic violence make less capable bosses (15)'. The fourth statement is 'People experiencing family or domestic violence should not hold positions of responsibility in the community (16)'. The fifth and final statement is 'Women experiencing family or domestic violence are less capable of thinking logically (17)'. Participants are asked to rank each of these statements individually with a 'strongly agree (1)', 'disagree (2)', 'agree (3)' or a 'Strongly agre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666970" cy="3456709"/>
                    </a:xfrm>
                    <a:prstGeom prst="rect">
                      <a:avLst/>
                    </a:prstGeom>
                  </pic:spPr>
                </pic:pic>
              </a:graphicData>
            </a:graphic>
          </wp:inline>
        </w:drawing>
      </w:r>
    </w:p>
    <w:p w14:paraId="67731D9B" w14:textId="4FE4B717" w:rsidR="008F5F14" w:rsidRPr="008F5F14" w:rsidRDefault="008F5F14" w:rsidP="008F5F14"/>
    <w:p w14:paraId="7789E0DD" w14:textId="77777777" w:rsidR="00AB1637" w:rsidRDefault="00AB1637" w:rsidP="00AB1637">
      <w:pPr>
        <w:pStyle w:val="Heading4"/>
        <w:rPr>
          <w:sz w:val="72"/>
          <w:szCs w:val="44"/>
        </w:rPr>
      </w:pPr>
      <w:r>
        <w:br w:type="page"/>
      </w:r>
    </w:p>
    <w:p w14:paraId="16AA1EB5" w14:textId="362A8422" w:rsidR="005D2E73" w:rsidRDefault="006710B1" w:rsidP="00F21E0D">
      <w:pPr>
        <w:pStyle w:val="Heading4"/>
        <w:rPr>
          <w:noProof/>
        </w:rPr>
      </w:pPr>
      <w:r w:rsidRPr="005D2E73">
        <w:rPr>
          <w:noProof/>
        </w:rPr>
        <w:lastRenderedPageBreak/>
        <w:drawing>
          <wp:anchor distT="0" distB="0" distL="114300" distR="114300" simplePos="0" relativeHeight="251659265" behindDoc="0" locked="0" layoutInCell="1" allowOverlap="1" wp14:anchorId="2F73DE3C" wp14:editId="65E0851B">
            <wp:simplePos x="0" y="0"/>
            <wp:positionH relativeFrom="column">
              <wp:posOffset>-146685</wp:posOffset>
            </wp:positionH>
            <wp:positionV relativeFrom="paragraph">
              <wp:posOffset>283210</wp:posOffset>
            </wp:positionV>
            <wp:extent cx="6482080" cy="7654290"/>
            <wp:effectExtent l="0" t="0" r="0" b="3810"/>
            <wp:wrapSquare wrapText="bothSides"/>
            <wp:docPr id="1050136865" name="Picture 1050136865" descr="This image has twelve statements that participants were asked if they strongly disagree (1), disagree (2), agree (3) or strongly agree (4) with. The first statement is 'It is acceptable to give lower priority to family or domestic violence issues if they have arisen many times before (1). The second statement is 'A victim who does not leave an abusive partner is partly responsible for the abuse continuing (2)'. The third statement is 'Family and domestic violence is a private matter that should NOT be handled in the workplace (3)'. The fourth statement is 'A lot of what is called family or domestic violence is really just a normal reaction to day-to-day stress and frustration (4)'. The fifth statement is 'Women OFTEN make up or exaggerate claims of family or domestic violence  to gain something (5)'. The sixth statement is 'Sometimes a woman can make a man so angry that he hits her when he didn't mean to (6)'. The seventh statement is 'Victims should keep quiet about their experience of family or domestic violence to protect their reputation (7)'. The eighth statement is 'If someone keeps going back to their abusive partner then the violence can't be very serious (8)'. The ninth statement is 'Women who flirt all the time are somewhat to blame if their partner gets jealous and hits them (9)'. The tenth statement is 'Those who STAY in abusive relationships deserve less help from counselling and support services than those who leave their abusive partner (10)'. The eleventh statement is 'Family and domestic violence can be excused if it results from people getting so angry they temporarily lose control (11)'. The twelfth and final statement is 'It's easy for a woman to leave an abusive relationship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482080" cy="7654290"/>
                    </a:xfrm>
                    <a:prstGeom prst="rect">
                      <a:avLst/>
                    </a:prstGeom>
                  </pic:spPr>
                </pic:pic>
              </a:graphicData>
            </a:graphic>
            <wp14:sizeRelH relativeFrom="margin">
              <wp14:pctWidth>0</wp14:pctWidth>
            </wp14:sizeRelH>
            <wp14:sizeRelV relativeFrom="margin">
              <wp14:pctHeight>0</wp14:pctHeight>
            </wp14:sizeRelV>
          </wp:anchor>
        </w:drawing>
      </w:r>
      <w:r w:rsidR="00EA6131">
        <w:t>Attitude towards domestic violence scale (AVAWS)</w:t>
      </w:r>
      <w:bookmarkStart w:id="7" w:name="_Toc175061486"/>
      <w:r w:rsidR="005D2E73" w:rsidRPr="005D2E73">
        <w:rPr>
          <w:noProof/>
        </w:rPr>
        <w:t xml:space="preserve"> </w:t>
      </w:r>
    </w:p>
    <w:p w14:paraId="403219AB" w14:textId="028EAA5E" w:rsidR="008F5F14" w:rsidRDefault="008F5F14" w:rsidP="00F21E0D">
      <w:pPr>
        <w:pStyle w:val="Heading4"/>
      </w:pPr>
    </w:p>
    <w:p w14:paraId="62B63FD6" w14:textId="634D1B27" w:rsidR="005D2E73" w:rsidRPr="005D2E73" w:rsidRDefault="005D2E73" w:rsidP="005D2E73"/>
    <w:p w14:paraId="3202333F" w14:textId="0165F9F0" w:rsidR="00A92205" w:rsidRDefault="00A92205" w:rsidP="00A92205">
      <w:pPr>
        <w:pStyle w:val="Heading2"/>
      </w:pPr>
      <w:r>
        <w:lastRenderedPageBreak/>
        <w:t>References</w:t>
      </w:r>
      <w:bookmarkEnd w:id="7"/>
    </w:p>
    <w:p w14:paraId="1974B794" w14:textId="77777777" w:rsidR="00A92205" w:rsidRPr="00765C83" w:rsidRDefault="00A92205" w:rsidP="00A92205">
      <w:pPr>
        <w:rPr>
          <w:rFonts w:ascii="Helvetica" w:hAnsi="Helvetica"/>
        </w:rPr>
      </w:pPr>
      <w:r w:rsidRPr="00765C83">
        <w:rPr>
          <w:rFonts w:ascii="Helvetica" w:hAnsi="Helvetica"/>
        </w:rPr>
        <w:t xml:space="preserve">Albiston C and Correll S (2023) ‘Law’s Normative Influence on Gender Schemas: An Experimental Study on Counteracting Workplace Bias against Mothers and Caregivers’, </w:t>
      </w:r>
      <w:r w:rsidRPr="00765C83">
        <w:rPr>
          <w:rFonts w:ascii="Helvetica" w:hAnsi="Helvetica"/>
          <w:i/>
        </w:rPr>
        <w:t>Law &amp; Social Inquiry</w:t>
      </w:r>
      <w:r w:rsidRPr="00765C83">
        <w:rPr>
          <w:rFonts w:ascii="Helvetica" w:hAnsi="Helvetica"/>
        </w:rPr>
        <w:t>, 1-39, doi:10.1017/lsi.2022.102</w:t>
      </w:r>
    </w:p>
    <w:p w14:paraId="2DB36B61" w14:textId="77777777" w:rsidR="00A92205" w:rsidRDefault="00A92205" w:rsidP="00A92205">
      <w:pPr>
        <w:rPr>
          <w:rFonts w:ascii="Helvetica" w:hAnsi="Helvetica"/>
        </w:rPr>
      </w:pPr>
      <w:r w:rsidRPr="00765C83">
        <w:rPr>
          <w:rFonts w:ascii="Helvetica" w:hAnsi="Helvetica"/>
        </w:rPr>
        <w:t xml:space="preserve">Bilz K and Nadler J (2014) ‘Law, moral attitudes, and behavioral change’, </w:t>
      </w:r>
      <w:r>
        <w:rPr>
          <w:rFonts w:ascii="Helvetica" w:hAnsi="Helvetica"/>
        </w:rPr>
        <w:t xml:space="preserve">in </w:t>
      </w:r>
      <w:r w:rsidRPr="00765C83">
        <w:rPr>
          <w:rFonts w:ascii="Helvetica" w:hAnsi="Helvetica"/>
          <w:i/>
        </w:rPr>
        <w:t>The Oxford handbook of behavioral economics and the law</w:t>
      </w:r>
      <w:r w:rsidRPr="00765C83">
        <w:rPr>
          <w:rFonts w:ascii="Helvetica" w:hAnsi="Helvetica"/>
        </w:rPr>
        <w:t>, 24</w:t>
      </w:r>
      <w:r>
        <w:rPr>
          <w:rFonts w:ascii="Helvetica" w:hAnsi="Helvetica"/>
        </w:rPr>
        <w:t>1-267, Oxford University Press, Oxford.</w:t>
      </w:r>
    </w:p>
    <w:p w14:paraId="2E934D78" w14:textId="77777777" w:rsidR="00A92205" w:rsidRDefault="00A92205" w:rsidP="00A92205">
      <w:pPr>
        <w:rPr>
          <w:shd w:val="clear" w:color="auto" w:fill="FFFFFF"/>
        </w:rPr>
      </w:pPr>
      <w:r w:rsidRPr="0E4901C7">
        <w:rPr>
          <w:rFonts w:ascii="Helvetica" w:hAnsi="Helvetica"/>
        </w:rPr>
        <w:t xml:space="preserve">Colombotos J (1969) ‘Physicians and Medicare: A before-after study of the effects of legislation on attitudes’, </w:t>
      </w:r>
      <w:r w:rsidRPr="0E4901C7">
        <w:rPr>
          <w:rFonts w:ascii="Helvetica" w:hAnsi="Helvetica"/>
          <w:i/>
          <w:iCs/>
        </w:rPr>
        <w:t>American Sociological Review</w:t>
      </w:r>
      <w:r w:rsidRPr="0E4901C7">
        <w:rPr>
          <w:rFonts w:ascii="Helvetica" w:hAnsi="Helvetica"/>
        </w:rPr>
        <w:t>, 34(3):318-334.</w:t>
      </w:r>
    </w:p>
    <w:p w14:paraId="640FC1C5" w14:textId="77777777" w:rsidR="00A92205" w:rsidRDefault="00A92205" w:rsidP="00A92205">
      <w:pPr>
        <w:rPr>
          <w:rFonts w:ascii="Helvetica" w:eastAsia="Helvetica" w:hAnsi="Helvetica" w:cs="Helvetica"/>
          <w:szCs w:val="20"/>
        </w:rPr>
      </w:pPr>
      <w:r w:rsidRPr="6C66C112">
        <w:rPr>
          <w:rFonts w:ascii="Arial" w:eastAsia="Arial" w:hAnsi="Arial" w:cs="Arial"/>
          <w:color w:val="222222"/>
          <w:sz w:val="19"/>
          <w:szCs w:val="19"/>
        </w:rPr>
        <w:t xml:space="preserve">Fitz-Gibbon K, Pfitzner N and McNicol E (2023) ‘Domestic and family violence leave across Australian workplaces: Examining victim-survivor experiences of workplace supports and the importance of cultural change’, </w:t>
      </w:r>
      <w:r w:rsidRPr="6C66C112">
        <w:rPr>
          <w:rFonts w:ascii="Arial" w:eastAsia="Arial" w:hAnsi="Arial" w:cs="Arial"/>
          <w:i/>
          <w:iCs/>
          <w:color w:val="222222"/>
          <w:sz w:val="19"/>
          <w:szCs w:val="19"/>
        </w:rPr>
        <w:t>Journal of Criminology</w:t>
      </w:r>
      <w:r w:rsidRPr="6C66C112">
        <w:rPr>
          <w:rFonts w:ascii="Arial" w:eastAsia="Arial" w:hAnsi="Arial" w:cs="Arial"/>
          <w:color w:val="222222"/>
          <w:sz w:val="19"/>
          <w:szCs w:val="19"/>
        </w:rPr>
        <w:t xml:space="preserve">, </w:t>
      </w:r>
      <w:r w:rsidRPr="6C66C112">
        <w:rPr>
          <w:rFonts w:ascii="Arial" w:eastAsia="Arial" w:hAnsi="Arial" w:cs="Arial"/>
          <w:i/>
          <w:iCs/>
          <w:color w:val="222222"/>
          <w:sz w:val="19"/>
          <w:szCs w:val="19"/>
        </w:rPr>
        <w:t>56</w:t>
      </w:r>
      <w:r w:rsidRPr="6C66C112">
        <w:rPr>
          <w:rFonts w:ascii="Arial" w:eastAsia="Arial" w:hAnsi="Arial" w:cs="Arial"/>
          <w:color w:val="222222"/>
          <w:sz w:val="19"/>
          <w:szCs w:val="19"/>
        </w:rPr>
        <w:t>(2-3): 294-312.</w:t>
      </w:r>
    </w:p>
    <w:p w14:paraId="4B897FDA" w14:textId="77777777" w:rsidR="00A92205" w:rsidRPr="005E6C8F" w:rsidRDefault="00A92205" w:rsidP="00A92205">
      <w:pPr>
        <w:rPr>
          <w:shd w:val="clear" w:color="auto" w:fill="FFFFFF"/>
        </w:rPr>
      </w:pPr>
      <w:r w:rsidRPr="005E6C8F">
        <w:rPr>
          <w:shd w:val="clear" w:color="auto" w:fill="FFFFFF"/>
        </w:rPr>
        <w:t>Kuran T (1998) </w:t>
      </w:r>
      <w:r w:rsidRPr="0E4901C7">
        <w:rPr>
          <w:i/>
          <w:iCs/>
          <w:shd w:val="clear" w:color="auto" w:fill="FFFFFF"/>
        </w:rPr>
        <w:t>Private truths, public lies: The social consequences of preference falsification</w:t>
      </w:r>
      <w:r w:rsidRPr="005E6C8F">
        <w:rPr>
          <w:shd w:val="clear" w:color="auto" w:fill="FFFFFF"/>
        </w:rPr>
        <w:t>, Harvard University Press.</w:t>
      </w:r>
    </w:p>
    <w:p w14:paraId="74FAAD80" w14:textId="77777777" w:rsidR="00A92205" w:rsidRPr="005E6C8F" w:rsidRDefault="00A92205" w:rsidP="00A92205">
      <w:pPr>
        <w:rPr>
          <w:shd w:val="clear" w:color="auto" w:fill="FFFFFF"/>
        </w:rPr>
      </w:pPr>
      <w:r w:rsidRPr="005E6C8F">
        <w:rPr>
          <w:shd w:val="clear" w:color="auto" w:fill="FFFFFF"/>
        </w:rPr>
        <w:t xml:space="preserve">Keel C, Wickes R, Cherkesly I, Segrave M and Tan SJ (2023) </w:t>
      </w:r>
      <w:r>
        <w:rPr>
          <w:shd w:val="clear" w:color="auto" w:fill="FFFFFF"/>
        </w:rPr>
        <w:t>‘</w:t>
      </w:r>
      <w:hyperlink r:id="rId38" w:history="1">
        <w:r w:rsidRPr="005E6C8F">
          <w:rPr>
            <w:rStyle w:val="Hyperlink"/>
            <w:shd w:val="clear" w:color="auto" w:fill="FFFFFF"/>
          </w:rPr>
          <w:t>Technical report for migrant and refugee women in Australia: A study of sexual harassment in the workplace’</w:t>
        </w:r>
      </w:hyperlink>
      <w:r w:rsidRPr="005E6C8F">
        <w:rPr>
          <w:shd w:val="clear" w:color="auto" w:fill="FFFFFF"/>
        </w:rPr>
        <w:t xml:space="preserve">, </w:t>
      </w:r>
      <w:r w:rsidRPr="005E6C8F">
        <w:rPr>
          <w:i/>
          <w:shd w:val="clear" w:color="auto" w:fill="FFFFFF"/>
        </w:rPr>
        <w:t>ANROWS Insights 03/2023</w:t>
      </w:r>
      <w:r w:rsidRPr="005E6C8F">
        <w:rPr>
          <w:shd w:val="clear" w:color="auto" w:fill="FFFFFF"/>
        </w:rPr>
        <w:t>, ANROWS.</w:t>
      </w:r>
    </w:p>
    <w:p w14:paraId="4FDF0980" w14:textId="77777777" w:rsidR="00A92205" w:rsidRPr="005E6C8F" w:rsidRDefault="00A92205" w:rsidP="00A92205">
      <w:pPr>
        <w:rPr>
          <w:rFonts w:ascii="Helvetica" w:hAnsi="Helvetica"/>
        </w:rPr>
      </w:pPr>
      <w:r w:rsidRPr="60A48B0F">
        <w:rPr>
          <w:rFonts w:ascii="Helvetica" w:hAnsi="Helvetica"/>
        </w:rPr>
        <w:t xml:space="preserve">Rubin M (2021) ‘When to adjust alpha during multiple testing: A consideration of disjunction, conjunction, and individual testing’, </w:t>
      </w:r>
      <w:r w:rsidRPr="60A48B0F">
        <w:rPr>
          <w:rFonts w:ascii="Helvetica" w:hAnsi="Helvetica"/>
          <w:i/>
          <w:iCs/>
        </w:rPr>
        <w:t>Synthese</w:t>
      </w:r>
      <w:r w:rsidRPr="60A48B0F">
        <w:rPr>
          <w:rFonts w:ascii="Helvetica" w:hAnsi="Helvetica"/>
        </w:rPr>
        <w:t>, doi: 10.1007/s11229-021-03276-4</w:t>
      </w:r>
    </w:p>
    <w:p w14:paraId="3A7C5309" w14:textId="77777777" w:rsidR="00A92205" w:rsidRDefault="00A92205" w:rsidP="00A92205">
      <w:r>
        <w:t xml:space="preserve">Smith BM and Orchiston T (2012) ‘Domestic violence victims at work: A role for anti-discrimination law? </w:t>
      </w:r>
      <w:r w:rsidRPr="005951BE">
        <w:rPr>
          <w:i/>
          <w:iCs/>
        </w:rPr>
        <w:t xml:space="preserve">Australian Journal of Labour Law, 25(3): 209-236. </w:t>
      </w:r>
      <w:r>
        <w:t>Sydney Law School Research Paper No. 12/46, Available at SSRN: https://ssrn.com/abstract=2105150</w:t>
      </w:r>
    </w:p>
    <w:p w14:paraId="2A56F0E0" w14:textId="77777777" w:rsidR="00A92205" w:rsidRPr="006F78F4" w:rsidRDefault="00A92205" w:rsidP="00A92205">
      <w:pPr>
        <w:rPr>
          <w:rFonts w:ascii="Helvetica" w:hAnsi="Helvetica"/>
        </w:rPr>
      </w:pPr>
      <w:r w:rsidRPr="005E6C8F">
        <w:rPr>
          <w:rFonts w:ascii="Helvetica" w:hAnsi="Helvetica"/>
        </w:rPr>
        <w:t xml:space="preserve">Werner CM, Turner J, Shipman K, Twitchell FS, Dickson BR, Bruschke G.V and von Bismarck WB (1995) ‘Commitment, behavior, and attitude change: An analysis of voluntary recycling’, </w:t>
      </w:r>
      <w:r w:rsidRPr="005E6C8F">
        <w:rPr>
          <w:rFonts w:ascii="Helvetica" w:hAnsi="Helvetica"/>
          <w:i/>
        </w:rPr>
        <w:t>Journal of Environmental Psychology</w:t>
      </w:r>
      <w:r w:rsidRPr="005E6C8F">
        <w:rPr>
          <w:rFonts w:ascii="Helvetica" w:hAnsi="Helvetica"/>
        </w:rPr>
        <w:t>, 15(3):197–208, doi: 10.1016/0272-4944(95)90003-9</w:t>
      </w:r>
    </w:p>
    <w:p w14:paraId="646385B5" w14:textId="77777777" w:rsidR="00A92205" w:rsidRDefault="00A92205" w:rsidP="00A92205">
      <w:r w:rsidRPr="005E6C8F">
        <w:t xml:space="preserve">Workplace Gender Equality Agency (2019) </w:t>
      </w:r>
      <w:hyperlink r:id="rId39" w:history="1">
        <w:r w:rsidRPr="005E6C8F">
          <w:rPr>
            <w:rStyle w:val="Hyperlink"/>
            <w:i/>
          </w:rPr>
          <w:t>Gender segregation in Australia’s workforce</w:t>
        </w:r>
      </w:hyperlink>
      <w:r w:rsidRPr="005E6C8F">
        <w:t xml:space="preserve">, WGEA, accessed on 2 May 2024. </w:t>
      </w:r>
    </w:p>
    <w:p w14:paraId="200B426F" w14:textId="6F57A7C0" w:rsidR="00EB0609" w:rsidRPr="00A96B0F" w:rsidRDefault="00A92205" w:rsidP="007F24BF">
      <w:pPr>
        <w:spacing w:before="5000" w:after="120"/>
        <w:outlineLvl w:val="1"/>
        <w:rPr>
          <w:b/>
          <w:color w:val="117479" w:themeColor="accent2"/>
          <w:sz w:val="22"/>
        </w:rPr>
      </w:pPr>
      <w:r>
        <w:br w:type="page"/>
      </w:r>
      <w:r w:rsidR="00EB0609" w:rsidRPr="00A96B0F">
        <w:rPr>
          <w:b/>
          <w:color w:val="117479" w:themeColor="accent2"/>
          <w:sz w:val="22"/>
        </w:rPr>
        <w:lastRenderedPageBreak/>
        <w:t xml:space="preserve">© </w:t>
      </w:r>
      <w:r w:rsidR="002B2858" w:rsidRPr="00A96B0F">
        <w:rPr>
          <w:b/>
          <w:color w:val="117479" w:themeColor="accent2"/>
          <w:sz w:val="22"/>
        </w:rPr>
        <w:t>Commonwealth of Australia 202</w:t>
      </w:r>
      <w:r w:rsidR="00540E0E">
        <w:rPr>
          <w:b/>
          <w:color w:val="117479" w:themeColor="accent2"/>
          <w:sz w:val="22"/>
        </w:rPr>
        <w:t>4</w:t>
      </w:r>
    </w:p>
    <w:p w14:paraId="25C26702" w14:textId="77777777" w:rsidR="0051763A" w:rsidRDefault="0051763A" w:rsidP="0051763A">
      <w:pPr>
        <w:rPr>
          <w:rFonts w:ascii="Calibri" w:hAnsi="Calibri"/>
          <w:color w:val="000000"/>
          <w:szCs w:val="22"/>
        </w:rPr>
      </w:pPr>
      <w:r>
        <w:t xml:space="preserve">ISBN 978-1-925365-57-3: </w:t>
      </w:r>
      <w:r>
        <w:rPr>
          <w:color w:val="000000"/>
        </w:rPr>
        <w:t>Family and Domestic Violence Leave Survey Experiment – Technical Report</w:t>
      </w:r>
    </w:p>
    <w:p w14:paraId="59366AD1"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40" w:history="1">
        <w:r w:rsidR="000F762E" w:rsidRPr="00B3464D">
          <w:rPr>
            <w:rStyle w:val="Hyperlink"/>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Attribution</w:t>
      </w:r>
    </w:p>
    <w:p w14:paraId="79E0E990" w14:textId="77777777" w:rsidR="003A6EB9" w:rsidRDefault="00EB0609" w:rsidP="00EB0609">
      <w:r>
        <w:t xml:space="preserve">This publication should be attributed as follows: </w:t>
      </w:r>
    </w:p>
    <w:p w14:paraId="446D37F1" w14:textId="4635DEFC" w:rsidR="00EB0609" w:rsidRPr="00E15418" w:rsidRDefault="003A6EB9" w:rsidP="00EB0609">
      <w:pPr>
        <w:rPr>
          <w:i/>
        </w:rPr>
      </w:pPr>
      <w:r>
        <w:t xml:space="preserve">© </w:t>
      </w:r>
      <w:r w:rsidR="00EB0609">
        <w:t xml:space="preserve">Commonwealth of Australia, Department of the Prime Minister and Cabinet, </w:t>
      </w:r>
      <w:r w:rsidR="00E15418" w:rsidRPr="00ED0195">
        <w:rPr>
          <w:i/>
        </w:rPr>
        <w:t>Family and Domestic Violence Leave Survey Experiment: Technical Report</w:t>
      </w:r>
      <w:r w:rsidR="00EB0609" w:rsidRPr="00ED0195">
        <w:t>.</w:t>
      </w:r>
      <w:r w:rsidR="00EB0609">
        <w:t xml:space="preserve"> </w:t>
      </w:r>
    </w:p>
    <w:p w14:paraId="2D07F17E"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42" w:history="1">
        <w:r w:rsidR="003A6EB9" w:rsidRPr="00514D8C">
          <w:rPr>
            <w:rStyle w:val="Hyperlink"/>
            <w:rFonts w:cstheme="minorHAnsi"/>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1B1EA0">
          <w:headerReference w:type="default" r:id="rId43"/>
          <w:footerReference w:type="default" r:id="rId44"/>
          <w:type w:val="continuous"/>
          <w:pgSz w:w="11906" w:h="16838" w:code="9"/>
          <w:pgMar w:top="2041" w:right="2381" w:bottom="1247" w:left="1247" w:header="720" w:footer="851" w:gutter="0"/>
          <w:cols w:space="708"/>
          <w:docGrid w:linePitch="360"/>
        </w:sectPr>
      </w:pPr>
    </w:p>
    <w:p w14:paraId="254D55EA" w14:textId="77777777" w:rsidR="00D10FA1" w:rsidRDefault="00037F3D" w:rsidP="00E320C4">
      <w:pPr>
        <w:ind w:left="-378"/>
      </w:pPr>
      <w:r>
        <w:rPr>
          <w:noProof/>
        </w:rPr>
        <w:lastRenderedPageBreak/>
        <w:drawing>
          <wp:inline distT="0" distB="0" distL="0" distR="0" wp14:anchorId="5142E6F6" wp14:editId="0EA3510C">
            <wp:extent cx="2524404" cy="3496063"/>
            <wp:effectExtent l="0" t="0" r="0" b="9525"/>
            <wp:docPr id="9" name="Picture 9" descr="Cover Includes Aus Gov arms, Dept of Prime Minister Cabinet and BETA branding"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5">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46"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47" w:history="1">
        <w:r w:rsidRPr="004A4D74">
          <w:rPr>
            <w:rStyle w:val="Hyperlink"/>
          </w:rPr>
          <w:t>media@pmc.gov.au</w:t>
        </w:r>
      </w:hyperlink>
    </w:p>
    <w:p w14:paraId="30F7CFBE" w14:textId="77777777" w:rsidR="00037F3D" w:rsidRPr="00037F3D" w:rsidRDefault="001A0BF0" w:rsidP="007D16C2">
      <w:pPr>
        <w:pStyle w:val="BackPageH2"/>
        <w:rPr>
          <w:sz w:val="2"/>
          <w:szCs w:val="2"/>
        </w:rPr>
      </w:pPr>
      <w:r w:rsidRPr="004A4D74">
        <w:t xml:space="preserve">Find out more </w:t>
      </w:r>
      <w:hyperlink r:id="rId48" w:history="1">
        <w:r w:rsidRPr="004A4D74">
          <w:rPr>
            <w:rStyle w:val="Hyperlink"/>
          </w:rPr>
          <w:t>www.pmc.gov.au/beta</w:t>
        </w:r>
      </w:hyperlink>
    </w:p>
    <w:sectPr w:rsidR="00037F3D" w:rsidRPr="00037F3D" w:rsidSect="00F202CA">
      <w:headerReference w:type="default" r:id="rId49"/>
      <w:footerReference w:type="default" r:id="rId50"/>
      <w:pgSz w:w="11906" w:h="16838" w:code="9"/>
      <w:pgMar w:top="720" w:right="2381" w:bottom="1247" w:left="1247" w:header="567" w:footer="851"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4B26846" w16cex:dateUtc="2024-05-18T01:50:00Z"/>
  <w16cex:commentExtensible w16cex:durableId="227012B7" w16cex:dateUtc="2024-05-17T04:25:00Z"/>
  <w16cex:commentExtensible w16cex:durableId="7890E7B3" w16cex:dateUtc="2024-05-20T00:47:00Z"/>
  <w16cex:commentExtensible w16cex:durableId="60518037" w16cex:dateUtc="2024-06-19T22:43:43.291Z"/>
  <w16cex:commentExtensible w16cex:durableId="4F9342DB" w16cex:dateUtc="2024-06-19T23:03:04.777Z"/>
  <w16cex:commentExtensible w16cex:durableId="716AE5D1" w16cex:dateUtc="2024-06-19T23:34:11.625Z"/>
  <w16cex:commentExtensible w16cex:durableId="73250268" w16cex:dateUtc="2024-06-19T23:34:31.236Z"/>
</w16cex:commentsExtensible>
</file>

<file path=word/commentsIds.xml><?xml version="1.0" encoding="utf-8"?>
<w16cid:commentsIds xmlns:mc="http://schemas.openxmlformats.org/markup-compatibility/2006" xmlns:w16cid="http://schemas.microsoft.com/office/word/2016/wordml/cid" mc:Ignorable="w16cid">
  <w16cid:commentId w16cid:paraId="01C9544E" w16cid:durableId="34B26846"/>
  <w16cid:commentId w16cid:paraId="661BF769" w16cid:durableId="227012B7"/>
  <w16cid:commentId w16cid:paraId="44264E2D" w16cid:durableId="7890E7B3"/>
  <w16cid:commentId w16cid:paraId="4A07AD6E" w16cid:durableId="47405494"/>
  <w16cid:commentId w16cid:paraId="10FE9251" w16cid:durableId="60518037"/>
  <w16cid:commentId w16cid:paraId="28DE7B7D" w16cid:durableId="4F9342DB"/>
  <w16cid:commentId w16cid:paraId="5E859510" w16cid:durableId="716AE5D1"/>
  <w16cid:commentId w16cid:paraId="17573AFE" w16cid:durableId="7325026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80C3E" w14:textId="77777777" w:rsidR="00A46623" w:rsidRDefault="00A46623">
      <w:r>
        <w:separator/>
      </w:r>
    </w:p>
  </w:endnote>
  <w:endnote w:type="continuationSeparator" w:id="0">
    <w:p w14:paraId="6D77778E" w14:textId="77777777" w:rsidR="00A46623" w:rsidRDefault="00A46623">
      <w:r>
        <w:continuationSeparator/>
      </w:r>
    </w:p>
  </w:endnote>
  <w:endnote w:type="continuationNotice" w:id="1">
    <w:p w14:paraId="7A3B0370" w14:textId="77777777" w:rsidR="00A46623" w:rsidRDefault="00A466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7B75DCF5" w:rsidR="00A46623" w:rsidRPr="008253C4" w:rsidRDefault="00A46623"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A03490">
      <w:rPr>
        <w:noProof/>
        <w:color w:val="FFFFFF" w:themeColor="background1"/>
      </w:rPr>
      <w:t>1</w:t>
    </w:r>
    <w:r w:rsidRPr="008253C4">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A46623" w:rsidRDefault="00A46623" w:rsidP="00A00EEB">
    <w:pPr>
      <w:pStyle w:val="Footer"/>
    </w:pPr>
  </w:p>
  <w:p w14:paraId="2C174312" w14:textId="7744DD0C" w:rsidR="00A46623" w:rsidRDefault="00A46623"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A03490">
      <w:rPr>
        <w:noProof/>
      </w:rPr>
      <w:t>20</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A46623" w:rsidRPr="00F202CA" w:rsidRDefault="00A46623"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5DDDC" w14:textId="77777777" w:rsidR="00A46623" w:rsidRDefault="00A46623">
      <w:r>
        <w:separator/>
      </w:r>
    </w:p>
  </w:footnote>
  <w:footnote w:type="continuationSeparator" w:id="0">
    <w:p w14:paraId="1B60AA26" w14:textId="77777777" w:rsidR="00A46623" w:rsidRDefault="00A46623">
      <w:r>
        <w:continuationSeparator/>
      </w:r>
    </w:p>
  </w:footnote>
  <w:footnote w:type="continuationNotice" w:id="1">
    <w:p w14:paraId="62649633" w14:textId="77777777" w:rsidR="00A46623" w:rsidRDefault="00A466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7777777" w:rsidR="00A46623" w:rsidRDefault="00A46623" w:rsidP="00330274">
    <w:pPr>
      <w:pStyle w:val="Header"/>
      <w:tabs>
        <w:tab w:val="clear" w:pos="10319"/>
        <w:tab w:val="left" w:pos="803"/>
      </w:tabs>
      <w:ind w:right="-24"/>
    </w:pPr>
    <w:r>
      <w:rPr>
        <w:noProof/>
      </w:rPr>
      <w:drawing>
        <wp:anchor distT="0" distB="0" distL="114300" distR="114300" simplePos="0" relativeHeight="251658240" behindDoc="1" locked="0" layoutInCell="1" allowOverlap="1" wp14:anchorId="4E04942C" wp14:editId="3E81C675">
          <wp:simplePos x="0" y="0"/>
          <wp:positionH relativeFrom="page">
            <wp:align>left</wp:align>
          </wp:positionH>
          <wp:positionV relativeFrom="page">
            <wp:align>top</wp:align>
          </wp:positionV>
          <wp:extent cx="7558721" cy="10690735"/>
          <wp:effectExtent l="0" t="0" r="4445" b="0"/>
          <wp:wrapNone/>
          <wp:docPr id="27" name="Picture 27" descr="Cover Includes Australian Government arms, Departmen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71DF358A" w:rsidR="00A46623" w:rsidRPr="004909C3" w:rsidRDefault="00A46623" w:rsidP="008253C4">
    <w:pPr>
      <w:pStyle w:val="Header"/>
      <w:rPr>
        <w:color w:val="FFFFFF" w:themeColor="background1"/>
      </w:rPr>
    </w:pPr>
    <w:r w:rsidRPr="00B44436">
      <w:rPr>
        <w:color w:val="FFFFFF" w:themeColor="background1"/>
      </w:rPr>
      <w:t>Family and Domestic Violence Leave Survey Experiment: Technical Report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4AA43E46" w:rsidR="00A46623" w:rsidRDefault="00A46623">
    <w:pPr>
      <w:pStyle w:val="Header"/>
    </w:pPr>
    <w:r>
      <w:t>Family and Domestic Violence Leave Survey Experiment: Technical Report</w:t>
    </w:r>
  </w:p>
  <w:p w14:paraId="013FD192" w14:textId="77777777" w:rsidR="00A46623" w:rsidRDefault="00A466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A46623" w:rsidRPr="00F202CA" w:rsidRDefault="00A46623"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9CE9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122A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0641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A41C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CEA0BF6"/>
    <w:multiLevelType w:val="multilevel"/>
    <w:tmpl w:val="0409001D"/>
    <w:numStyleLink w:val="Singlepunch"/>
  </w:abstractNum>
  <w:abstractNum w:abstractNumId="9"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0"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1"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1A432BF2"/>
    <w:multiLevelType w:val="hybridMultilevel"/>
    <w:tmpl w:val="3D8ECCCE"/>
    <w:lvl w:ilvl="0" w:tplc="73D4217E">
      <w:numFmt w:val="bullet"/>
      <w:lvlText w:val="-"/>
      <w:lvlJc w:val="left"/>
      <w:pPr>
        <w:ind w:left="420" w:hanging="360"/>
      </w:pPr>
      <w:rPr>
        <w:rFonts w:ascii="Helvetica" w:eastAsia="Times New Roman" w:hAnsi="Helvetica" w:cs="Helvetica"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5"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6" w15:restartNumberingAfterBreak="0">
    <w:nsid w:val="246A3667"/>
    <w:multiLevelType w:val="hybridMultilevel"/>
    <w:tmpl w:val="6080920A"/>
    <w:lvl w:ilvl="0" w:tplc="580C23F2">
      <w:start w:val="1"/>
      <w:numFmt w:val="decimal"/>
      <w:pStyle w:val="HeadingTable"/>
      <w:lvlText w:val="Table %1."/>
      <w:lvlJc w:val="left"/>
      <w:pPr>
        <w:ind w:left="12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975C4A"/>
    <w:multiLevelType w:val="hybridMultilevel"/>
    <w:tmpl w:val="FC4C7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2DF84C92"/>
    <w:multiLevelType w:val="hybridMultilevel"/>
    <w:tmpl w:val="22FC9988"/>
    <w:lvl w:ilvl="0" w:tplc="B6A8F9EA">
      <w:numFmt w:val="bullet"/>
      <w:lvlText w:val="-"/>
      <w:lvlJc w:val="left"/>
      <w:pPr>
        <w:ind w:left="420" w:hanging="360"/>
      </w:pPr>
      <w:rPr>
        <w:rFonts w:ascii="Helvetica" w:eastAsia="Times New Roman" w:hAnsi="Helvetica" w:cs="Helvetica"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1"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2" w15:restartNumberingAfterBreak="0">
    <w:nsid w:val="436A7891"/>
    <w:multiLevelType w:val="multilevel"/>
    <w:tmpl w:val="29482E1C"/>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F703C7F"/>
    <w:multiLevelType w:val="hybridMultilevel"/>
    <w:tmpl w:val="D668FEA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6" w15:restartNumberingAfterBreak="0">
    <w:nsid w:val="55F738E3"/>
    <w:multiLevelType w:val="hybridMultilevel"/>
    <w:tmpl w:val="F5D2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8"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9"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19"/>
  </w:num>
  <w:num w:numId="2">
    <w:abstractNumId w:val="27"/>
  </w:num>
  <w:num w:numId="3">
    <w:abstractNumId w:val="22"/>
  </w:num>
  <w:num w:numId="4">
    <w:abstractNumId w:val="12"/>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1"/>
  </w:num>
  <w:num w:numId="14">
    <w:abstractNumId w:val="29"/>
  </w:num>
  <w:num w:numId="15">
    <w:abstractNumId w:val="15"/>
  </w:num>
  <w:num w:numId="16">
    <w:abstractNumId w:val="9"/>
  </w:num>
  <w:num w:numId="17">
    <w:abstractNumId w:val="28"/>
  </w:num>
  <w:num w:numId="18">
    <w:abstractNumId w:val="25"/>
  </w:num>
  <w:num w:numId="19">
    <w:abstractNumId w:val="13"/>
  </w:num>
  <w:num w:numId="20">
    <w:abstractNumId w:val="10"/>
  </w:num>
  <w:num w:numId="21">
    <w:abstractNumId w:val="16"/>
  </w:num>
  <w:num w:numId="22">
    <w:abstractNumId w:val="18"/>
  </w:num>
  <w:num w:numId="23">
    <w:abstractNumId w:val="11"/>
  </w:num>
  <w:num w:numId="24">
    <w:abstractNumId w:val="24"/>
  </w:num>
  <w:num w:numId="25">
    <w:abstractNumId w:val="26"/>
  </w:num>
  <w:num w:numId="26">
    <w:abstractNumId w:val="17"/>
  </w:num>
  <w:num w:numId="27">
    <w:abstractNumId w:val="23"/>
  </w:num>
  <w:num w:numId="28">
    <w:abstractNumId w:val="8"/>
  </w:num>
  <w:num w:numId="29">
    <w:abstractNumId w:val="14"/>
  </w:num>
  <w:num w:numId="30">
    <w:abstractNumId w:val="20"/>
  </w:num>
  <w:num w:numId="31">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53C3"/>
    <w:rsid w:val="00005785"/>
    <w:rsid w:val="00006876"/>
    <w:rsid w:val="000079AD"/>
    <w:rsid w:val="00007D1F"/>
    <w:rsid w:val="00010D84"/>
    <w:rsid w:val="00010F15"/>
    <w:rsid w:val="00011CE3"/>
    <w:rsid w:val="00011FC0"/>
    <w:rsid w:val="00012230"/>
    <w:rsid w:val="000131D0"/>
    <w:rsid w:val="0001410F"/>
    <w:rsid w:val="00015159"/>
    <w:rsid w:val="00015DCA"/>
    <w:rsid w:val="00016DAD"/>
    <w:rsid w:val="000176B5"/>
    <w:rsid w:val="0001771B"/>
    <w:rsid w:val="0001799F"/>
    <w:rsid w:val="00022E9C"/>
    <w:rsid w:val="000249CC"/>
    <w:rsid w:val="00024EF0"/>
    <w:rsid w:val="00025631"/>
    <w:rsid w:val="00027B26"/>
    <w:rsid w:val="00030705"/>
    <w:rsid w:val="00032861"/>
    <w:rsid w:val="00032B77"/>
    <w:rsid w:val="00033BCE"/>
    <w:rsid w:val="00034656"/>
    <w:rsid w:val="00037F3D"/>
    <w:rsid w:val="00042285"/>
    <w:rsid w:val="00043256"/>
    <w:rsid w:val="00045A89"/>
    <w:rsid w:val="0004635E"/>
    <w:rsid w:val="00046F8E"/>
    <w:rsid w:val="00047261"/>
    <w:rsid w:val="00047524"/>
    <w:rsid w:val="0005040E"/>
    <w:rsid w:val="0005087D"/>
    <w:rsid w:val="00050CCE"/>
    <w:rsid w:val="00050F9E"/>
    <w:rsid w:val="00051761"/>
    <w:rsid w:val="000547EF"/>
    <w:rsid w:val="00056004"/>
    <w:rsid w:val="00057C61"/>
    <w:rsid w:val="00057CFE"/>
    <w:rsid w:val="00060265"/>
    <w:rsid w:val="0006075A"/>
    <w:rsid w:val="00061C84"/>
    <w:rsid w:val="00062484"/>
    <w:rsid w:val="00063129"/>
    <w:rsid w:val="00063948"/>
    <w:rsid w:val="0006489E"/>
    <w:rsid w:val="00064EE9"/>
    <w:rsid w:val="00065022"/>
    <w:rsid w:val="00065088"/>
    <w:rsid w:val="00065A5E"/>
    <w:rsid w:val="00070681"/>
    <w:rsid w:val="0007097B"/>
    <w:rsid w:val="00070F67"/>
    <w:rsid w:val="000714F9"/>
    <w:rsid w:val="00072DA5"/>
    <w:rsid w:val="00074E0D"/>
    <w:rsid w:val="00075E45"/>
    <w:rsid w:val="00080A09"/>
    <w:rsid w:val="00081366"/>
    <w:rsid w:val="0008174B"/>
    <w:rsid w:val="00081CEB"/>
    <w:rsid w:val="00082C85"/>
    <w:rsid w:val="00083082"/>
    <w:rsid w:val="00083F36"/>
    <w:rsid w:val="00086D9F"/>
    <w:rsid w:val="00087B2C"/>
    <w:rsid w:val="00087D4E"/>
    <w:rsid w:val="00087DBD"/>
    <w:rsid w:val="00090718"/>
    <w:rsid w:val="00091B4E"/>
    <w:rsid w:val="00091B67"/>
    <w:rsid w:val="00091CD7"/>
    <w:rsid w:val="00093DD5"/>
    <w:rsid w:val="00095DE6"/>
    <w:rsid w:val="00096E14"/>
    <w:rsid w:val="000970E3"/>
    <w:rsid w:val="00097BD9"/>
    <w:rsid w:val="000A03DD"/>
    <w:rsid w:val="000A1193"/>
    <w:rsid w:val="000A1A09"/>
    <w:rsid w:val="000A1B0D"/>
    <w:rsid w:val="000A45E8"/>
    <w:rsid w:val="000A469F"/>
    <w:rsid w:val="000A47A8"/>
    <w:rsid w:val="000A48B2"/>
    <w:rsid w:val="000A4C19"/>
    <w:rsid w:val="000A73FB"/>
    <w:rsid w:val="000B0129"/>
    <w:rsid w:val="000B15F9"/>
    <w:rsid w:val="000B218A"/>
    <w:rsid w:val="000B2372"/>
    <w:rsid w:val="000B39C7"/>
    <w:rsid w:val="000C014D"/>
    <w:rsid w:val="000C1224"/>
    <w:rsid w:val="000C29B4"/>
    <w:rsid w:val="000C49B2"/>
    <w:rsid w:val="000C5A95"/>
    <w:rsid w:val="000C5CD8"/>
    <w:rsid w:val="000C7A69"/>
    <w:rsid w:val="000D0D95"/>
    <w:rsid w:val="000D1158"/>
    <w:rsid w:val="000D3C35"/>
    <w:rsid w:val="000D4703"/>
    <w:rsid w:val="000E12D4"/>
    <w:rsid w:val="000E39EF"/>
    <w:rsid w:val="000E51CE"/>
    <w:rsid w:val="000E620E"/>
    <w:rsid w:val="000F2063"/>
    <w:rsid w:val="000F2463"/>
    <w:rsid w:val="000F2802"/>
    <w:rsid w:val="000F3D28"/>
    <w:rsid w:val="000F63C4"/>
    <w:rsid w:val="000F7463"/>
    <w:rsid w:val="000F762E"/>
    <w:rsid w:val="00100200"/>
    <w:rsid w:val="0010263D"/>
    <w:rsid w:val="00102824"/>
    <w:rsid w:val="0010300A"/>
    <w:rsid w:val="00110668"/>
    <w:rsid w:val="00111CB7"/>
    <w:rsid w:val="001126EB"/>
    <w:rsid w:val="001131F0"/>
    <w:rsid w:val="001139C7"/>
    <w:rsid w:val="00114EBC"/>
    <w:rsid w:val="0012073F"/>
    <w:rsid w:val="001239B3"/>
    <w:rsid w:val="0012427E"/>
    <w:rsid w:val="001247E0"/>
    <w:rsid w:val="001252F6"/>
    <w:rsid w:val="001255BA"/>
    <w:rsid w:val="00126283"/>
    <w:rsid w:val="001264B9"/>
    <w:rsid w:val="00126750"/>
    <w:rsid w:val="001271A1"/>
    <w:rsid w:val="00131215"/>
    <w:rsid w:val="001319F0"/>
    <w:rsid w:val="00131C0F"/>
    <w:rsid w:val="001325BF"/>
    <w:rsid w:val="00132F0D"/>
    <w:rsid w:val="00133713"/>
    <w:rsid w:val="00133A4A"/>
    <w:rsid w:val="00135B7E"/>
    <w:rsid w:val="00137FDB"/>
    <w:rsid w:val="00140FC9"/>
    <w:rsid w:val="001413C5"/>
    <w:rsid w:val="0014231B"/>
    <w:rsid w:val="00142956"/>
    <w:rsid w:val="00142D10"/>
    <w:rsid w:val="001432B0"/>
    <w:rsid w:val="001435BB"/>
    <w:rsid w:val="00144868"/>
    <w:rsid w:val="001452BC"/>
    <w:rsid w:val="00150D2A"/>
    <w:rsid w:val="00150E25"/>
    <w:rsid w:val="00150EA9"/>
    <w:rsid w:val="001512BB"/>
    <w:rsid w:val="00151650"/>
    <w:rsid w:val="001540CB"/>
    <w:rsid w:val="00155968"/>
    <w:rsid w:val="00155B98"/>
    <w:rsid w:val="00157001"/>
    <w:rsid w:val="00157709"/>
    <w:rsid w:val="00160B66"/>
    <w:rsid w:val="00160E91"/>
    <w:rsid w:val="00165626"/>
    <w:rsid w:val="00166272"/>
    <w:rsid w:val="001671D2"/>
    <w:rsid w:val="00167C31"/>
    <w:rsid w:val="00167CF4"/>
    <w:rsid w:val="00170BE9"/>
    <w:rsid w:val="0017147C"/>
    <w:rsid w:val="001715FA"/>
    <w:rsid w:val="0017194E"/>
    <w:rsid w:val="0017249B"/>
    <w:rsid w:val="001727A4"/>
    <w:rsid w:val="00176148"/>
    <w:rsid w:val="00177EC4"/>
    <w:rsid w:val="00181533"/>
    <w:rsid w:val="001824C8"/>
    <w:rsid w:val="00182698"/>
    <w:rsid w:val="001842DD"/>
    <w:rsid w:val="001864FD"/>
    <w:rsid w:val="00191A5D"/>
    <w:rsid w:val="001936A7"/>
    <w:rsid w:val="001943DD"/>
    <w:rsid w:val="00194F30"/>
    <w:rsid w:val="001959C4"/>
    <w:rsid w:val="00196BAC"/>
    <w:rsid w:val="00196C8B"/>
    <w:rsid w:val="00197A94"/>
    <w:rsid w:val="001A009A"/>
    <w:rsid w:val="001A0BF0"/>
    <w:rsid w:val="001A13F6"/>
    <w:rsid w:val="001A2D78"/>
    <w:rsid w:val="001A414B"/>
    <w:rsid w:val="001A61C4"/>
    <w:rsid w:val="001A7249"/>
    <w:rsid w:val="001A7876"/>
    <w:rsid w:val="001B1134"/>
    <w:rsid w:val="001B1EA0"/>
    <w:rsid w:val="001B385A"/>
    <w:rsid w:val="001B3904"/>
    <w:rsid w:val="001B3AEC"/>
    <w:rsid w:val="001B3E8D"/>
    <w:rsid w:val="001B45F3"/>
    <w:rsid w:val="001B5259"/>
    <w:rsid w:val="001B53B8"/>
    <w:rsid w:val="001B60D4"/>
    <w:rsid w:val="001B6F28"/>
    <w:rsid w:val="001B7F96"/>
    <w:rsid w:val="001C12DB"/>
    <w:rsid w:val="001C35DA"/>
    <w:rsid w:val="001C38BA"/>
    <w:rsid w:val="001C4B81"/>
    <w:rsid w:val="001C4F4F"/>
    <w:rsid w:val="001C5BDC"/>
    <w:rsid w:val="001C6BA1"/>
    <w:rsid w:val="001C6F22"/>
    <w:rsid w:val="001D087E"/>
    <w:rsid w:val="001D141C"/>
    <w:rsid w:val="001D2904"/>
    <w:rsid w:val="001D38E8"/>
    <w:rsid w:val="001D652D"/>
    <w:rsid w:val="001D693F"/>
    <w:rsid w:val="001D6EDF"/>
    <w:rsid w:val="001D6F9E"/>
    <w:rsid w:val="001E38FB"/>
    <w:rsid w:val="001E52C2"/>
    <w:rsid w:val="001E6A27"/>
    <w:rsid w:val="001F0BE1"/>
    <w:rsid w:val="001F101A"/>
    <w:rsid w:val="001F24EF"/>
    <w:rsid w:val="001F4CBB"/>
    <w:rsid w:val="001F56C7"/>
    <w:rsid w:val="001F7838"/>
    <w:rsid w:val="00203039"/>
    <w:rsid w:val="00203A42"/>
    <w:rsid w:val="00204B17"/>
    <w:rsid w:val="002069D2"/>
    <w:rsid w:val="002111E1"/>
    <w:rsid w:val="00211DA2"/>
    <w:rsid w:val="00213210"/>
    <w:rsid w:val="00213693"/>
    <w:rsid w:val="00215137"/>
    <w:rsid w:val="00215479"/>
    <w:rsid w:val="00215CCB"/>
    <w:rsid w:val="00216CF5"/>
    <w:rsid w:val="0022037B"/>
    <w:rsid w:val="00222C8D"/>
    <w:rsid w:val="002256A8"/>
    <w:rsid w:val="00225A61"/>
    <w:rsid w:val="00226D96"/>
    <w:rsid w:val="00227897"/>
    <w:rsid w:val="00230261"/>
    <w:rsid w:val="00230E6B"/>
    <w:rsid w:val="002320BC"/>
    <w:rsid w:val="00232422"/>
    <w:rsid w:val="00232B97"/>
    <w:rsid w:val="00233077"/>
    <w:rsid w:val="0023481B"/>
    <w:rsid w:val="0023523A"/>
    <w:rsid w:val="0023757C"/>
    <w:rsid w:val="00237C47"/>
    <w:rsid w:val="002402E4"/>
    <w:rsid w:val="002421A0"/>
    <w:rsid w:val="00242B98"/>
    <w:rsid w:val="0024371F"/>
    <w:rsid w:val="002445A1"/>
    <w:rsid w:val="00246FE6"/>
    <w:rsid w:val="002470E3"/>
    <w:rsid w:val="0024714F"/>
    <w:rsid w:val="00251695"/>
    <w:rsid w:val="0025207D"/>
    <w:rsid w:val="002535AE"/>
    <w:rsid w:val="00254DE9"/>
    <w:rsid w:val="002561B5"/>
    <w:rsid w:val="00257A66"/>
    <w:rsid w:val="002602FC"/>
    <w:rsid w:val="002615D3"/>
    <w:rsid w:val="0026268A"/>
    <w:rsid w:val="00262845"/>
    <w:rsid w:val="00263335"/>
    <w:rsid w:val="00265941"/>
    <w:rsid w:val="002672F1"/>
    <w:rsid w:val="002675C1"/>
    <w:rsid w:val="00271414"/>
    <w:rsid w:val="002716D5"/>
    <w:rsid w:val="00271922"/>
    <w:rsid w:val="00273412"/>
    <w:rsid w:val="0027373F"/>
    <w:rsid w:val="00274ACF"/>
    <w:rsid w:val="00277388"/>
    <w:rsid w:val="00277C8F"/>
    <w:rsid w:val="0028159B"/>
    <w:rsid w:val="00282671"/>
    <w:rsid w:val="00282861"/>
    <w:rsid w:val="002843E2"/>
    <w:rsid w:val="002876D5"/>
    <w:rsid w:val="00287BAA"/>
    <w:rsid w:val="0029180D"/>
    <w:rsid w:val="0029183B"/>
    <w:rsid w:val="00293489"/>
    <w:rsid w:val="00295B30"/>
    <w:rsid w:val="00296F5E"/>
    <w:rsid w:val="00297A8D"/>
    <w:rsid w:val="002A1BE8"/>
    <w:rsid w:val="002A30F0"/>
    <w:rsid w:val="002A38A4"/>
    <w:rsid w:val="002A4D87"/>
    <w:rsid w:val="002A63D9"/>
    <w:rsid w:val="002A6DF5"/>
    <w:rsid w:val="002B0A83"/>
    <w:rsid w:val="002B2858"/>
    <w:rsid w:val="002B50E6"/>
    <w:rsid w:val="002B5549"/>
    <w:rsid w:val="002B6406"/>
    <w:rsid w:val="002B6809"/>
    <w:rsid w:val="002C3771"/>
    <w:rsid w:val="002C4231"/>
    <w:rsid w:val="002C44DD"/>
    <w:rsid w:val="002C7080"/>
    <w:rsid w:val="002C76BF"/>
    <w:rsid w:val="002D00B0"/>
    <w:rsid w:val="002D02ED"/>
    <w:rsid w:val="002D0730"/>
    <w:rsid w:val="002D1161"/>
    <w:rsid w:val="002D2364"/>
    <w:rsid w:val="002D2E16"/>
    <w:rsid w:val="002D34B2"/>
    <w:rsid w:val="002D4BB9"/>
    <w:rsid w:val="002D5F42"/>
    <w:rsid w:val="002D6050"/>
    <w:rsid w:val="002D6E3E"/>
    <w:rsid w:val="002E21D6"/>
    <w:rsid w:val="002E45F0"/>
    <w:rsid w:val="002E4BD5"/>
    <w:rsid w:val="002E6CB4"/>
    <w:rsid w:val="002E7778"/>
    <w:rsid w:val="002F4A81"/>
    <w:rsid w:val="002F680D"/>
    <w:rsid w:val="00304011"/>
    <w:rsid w:val="00304B3E"/>
    <w:rsid w:val="00304D97"/>
    <w:rsid w:val="00305725"/>
    <w:rsid w:val="0031180A"/>
    <w:rsid w:val="003122C7"/>
    <w:rsid w:val="0031246D"/>
    <w:rsid w:val="00313127"/>
    <w:rsid w:val="00313304"/>
    <w:rsid w:val="003155F4"/>
    <w:rsid w:val="003158EE"/>
    <w:rsid w:val="00320309"/>
    <w:rsid w:val="003213A1"/>
    <w:rsid w:val="00321D1E"/>
    <w:rsid w:val="00322FAA"/>
    <w:rsid w:val="00324FDC"/>
    <w:rsid w:val="0032530E"/>
    <w:rsid w:val="00325A61"/>
    <w:rsid w:val="0032602D"/>
    <w:rsid w:val="00326976"/>
    <w:rsid w:val="00326B01"/>
    <w:rsid w:val="003279E4"/>
    <w:rsid w:val="00330274"/>
    <w:rsid w:val="00330ABF"/>
    <w:rsid w:val="003311D7"/>
    <w:rsid w:val="00332B8B"/>
    <w:rsid w:val="0033319B"/>
    <w:rsid w:val="0033521E"/>
    <w:rsid w:val="003364C7"/>
    <w:rsid w:val="003367A0"/>
    <w:rsid w:val="00337CA2"/>
    <w:rsid w:val="003402FB"/>
    <w:rsid w:val="003404A4"/>
    <w:rsid w:val="00340C9F"/>
    <w:rsid w:val="00341291"/>
    <w:rsid w:val="003413B0"/>
    <w:rsid w:val="003418E4"/>
    <w:rsid w:val="00343179"/>
    <w:rsid w:val="00345425"/>
    <w:rsid w:val="00346843"/>
    <w:rsid w:val="00347104"/>
    <w:rsid w:val="00347B06"/>
    <w:rsid w:val="00350852"/>
    <w:rsid w:val="0035096E"/>
    <w:rsid w:val="00350FC0"/>
    <w:rsid w:val="0035129C"/>
    <w:rsid w:val="00351896"/>
    <w:rsid w:val="0035219F"/>
    <w:rsid w:val="00355D01"/>
    <w:rsid w:val="003566B0"/>
    <w:rsid w:val="00360B81"/>
    <w:rsid w:val="00360ED3"/>
    <w:rsid w:val="00365034"/>
    <w:rsid w:val="00366283"/>
    <w:rsid w:val="00366E62"/>
    <w:rsid w:val="0036777E"/>
    <w:rsid w:val="003701FA"/>
    <w:rsid w:val="0037271A"/>
    <w:rsid w:val="00372A26"/>
    <w:rsid w:val="00372EC7"/>
    <w:rsid w:val="003733DE"/>
    <w:rsid w:val="0037484C"/>
    <w:rsid w:val="003749CD"/>
    <w:rsid w:val="00374A6C"/>
    <w:rsid w:val="00375E4E"/>
    <w:rsid w:val="0038045A"/>
    <w:rsid w:val="003816C8"/>
    <w:rsid w:val="00382705"/>
    <w:rsid w:val="00382718"/>
    <w:rsid w:val="00382B3B"/>
    <w:rsid w:val="00385ED2"/>
    <w:rsid w:val="003866D6"/>
    <w:rsid w:val="0038714A"/>
    <w:rsid w:val="00391F86"/>
    <w:rsid w:val="003923FB"/>
    <w:rsid w:val="00392ED1"/>
    <w:rsid w:val="003931C7"/>
    <w:rsid w:val="00393F00"/>
    <w:rsid w:val="003945C0"/>
    <w:rsid w:val="00396138"/>
    <w:rsid w:val="00396C48"/>
    <w:rsid w:val="00397A56"/>
    <w:rsid w:val="003A0BB4"/>
    <w:rsid w:val="003A15C4"/>
    <w:rsid w:val="003A25A7"/>
    <w:rsid w:val="003A6EB9"/>
    <w:rsid w:val="003B21AD"/>
    <w:rsid w:val="003B28CC"/>
    <w:rsid w:val="003B499C"/>
    <w:rsid w:val="003B4EE0"/>
    <w:rsid w:val="003B52CE"/>
    <w:rsid w:val="003B535C"/>
    <w:rsid w:val="003B5AF3"/>
    <w:rsid w:val="003B5F0C"/>
    <w:rsid w:val="003B7055"/>
    <w:rsid w:val="003C2120"/>
    <w:rsid w:val="003C2EC7"/>
    <w:rsid w:val="003C45C8"/>
    <w:rsid w:val="003C47C0"/>
    <w:rsid w:val="003C4BB1"/>
    <w:rsid w:val="003C63A3"/>
    <w:rsid w:val="003C667A"/>
    <w:rsid w:val="003D030E"/>
    <w:rsid w:val="003D040D"/>
    <w:rsid w:val="003D1F49"/>
    <w:rsid w:val="003D2061"/>
    <w:rsid w:val="003D4FE5"/>
    <w:rsid w:val="003D543B"/>
    <w:rsid w:val="003D5A8A"/>
    <w:rsid w:val="003D6AE7"/>
    <w:rsid w:val="003D7E3D"/>
    <w:rsid w:val="003E02C5"/>
    <w:rsid w:val="003E1121"/>
    <w:rsid w:val="003E1FE3"/>
    <w:rsid w:val="003E24F1"/>
    <w:rsid w:val="003E25E0"/>
    <w:rsid w:val="003E32A7"/>
    <w:rsid w:val="003E40BC"/>
    <w:rsid w:val="003E43B1"/>
    <w:rsid w:val="003E4D83"/>
    <w:rsid w:val="003E6102"/>
    <w:rsid w:val="003E74AE"/>
    <w:rsid w:val="003E7ED7"/>
    <w:rsid w:val="003F1A33"/>
    <w:rsid w:val="003F3072"/>
    <w:rsid w:val="003F31E6"/>
    <w:rsid w:val="003F683F"/>
    <w:rsid w:val="004004C3"/>
    <w:rsid w:val="00401057"/>
    <w:rsid w:val="0040207C"/>
    <w:rsid w:val="004024E4"/>
    <w:rsid w:val="0040399B"/>
    <w:rsid w:val="004061B4"/>
    <w:rsid w:val="00406289"/>
    <w:rsid w:val="00406578"/>
    <w:rsid w:val="004074EF"/>
    <w:rsid w:val="004078CC"/>
    <w:rsid w:val="00407BF1"/>
    <w:rsid w:val="004102C3"/>
    <w:rsid w:val="0041307C"/>
    <w:rsid w:val="00413699"/>
    <w:rsid w:val="00413BCF"/>
    <w:rsid w:val="004167B4"/>
    <w:rsid w:val="004167BC"/>
    <w:rsid w:val="00416D8E"/>
    <w:rsid w:val="0042032D"/>
    <w:rsid w:val="004225DC"/>
    <w:rsid w:val="00423A41"/>
    <w:rsid w:val="00425FBA"/>
    <w:rsid w:val="00427C7D"/>
    <w:rsid w:val="00430D7E"/>
    <w:rsid w:val="00432332"/>
    <w:rsid w:val="00432368"/>
    <w:rsid w:val="00433315"/>
    <w:rsid w:val="00433B04"/>
    <w:rsid w:val="00434EF9"/>
    <w:rsid w:val="00436F73"/>
    <w:rsid w:val="0043784D"/>
    <w:rsid w:val="00440256"/>
    <w:rsid w:val="00440E22"/>
    <w:rsid w:val="0044547D"/>
    <w:rsid w:val="00445539"/>
    <w:rsid w:val="00446F93"/>
    <w:rsid w:val="00447220"/>
    <w:rsid w:val="00451166"/>
    <w:rsid w:val="00451A74"/>
    <w:rsid w:val="004533A1"/>
    <w:rsid w:val="004552AB"/>
    <w:rsid w:val="004553FF"/>
    <w:rsid w:val="0045622C"/>
    <w:rsid w:val="00463C36"/>
    <w:rsid w:val="00464B51"/>
    <w:rsid w:val="00464DE6"/>
    <w:rsid w:val="00464FB1"/>
    <w:rsid w:val="00466320"/>
    <w:rsid w:val="00467185"/>
    <w:rsid w:val="00467736"/>
    <w:rsid w:val="0047050C"/>
    <w:rsid w:val="00472272"/>
    <w:rsid w:val="00472A45"/>
    <w:rsid w:val="00473540"/>
    <w:rsid w:val="00473930"/>
    <w:rsid w:val="004740C9"/>
    <w:rsid w:val="00474D25"/>
    <w:rsid w:val="004750DB"/>
    <w:rsid w:val="004750FB"/>
    <w:rsid w:val="0047649C"/>
    <w:rsid w:val="0047730B"/>
    <w:rsid w:val="00480F21"/>
    <w:rsid w:val="0048108E"/>
    <w:rsid w:val="00481389"/>
    <w:rsid w:val="004821BA"/>
    <w:rsid w:val="00483D66"/>
    <w:rsid w:val="0048537F"/>
    <w:rsid w:val="00486904"/>
    <w:rsid w:val="004874E5"/>
    <w:rsid w:val="00487885"/>
    <w:rsid w:val="004909C3"/>
    <w:rsid w:val="00490A65"/>
    <w:rsid w:val="0049116C"/>
    <w:rsid w:val="00491968"/>
    <w:rsid w:val="004930C9"/>
    <w:rsid w:val="00493EAC"/>
    <w:rsid w:val="00493F62"/>
    <w:rsid w:val="00494832"/>
    <w:rsid w:val="00494E4B"/>
    <w:rsid w:val="00495780"/>
    <w:rsid w:val="004957C2"/>
    <w:rsid w:val="00495AF1"/>
    <w:rsid w:val="00497A89"/>
    <w:rsid w:val="004A028D"/>
    <w:rsid w:val="004A4CED"/>
    <w:rsid w:val="004A4D74"/>
    <w:rsid w:val="004A5AAF"/>
    <w:rsid w:val="004A6BE6"/>
    <w:rsid w:val="004B047F"/>
    <w:rsid w:val="004B0828"/>
    <w:rsid w:val="004B3304"/>
    <w:rsid w:val="004B3DF1"/>
    <w:rsid w:val="004B4BC0"/>
    <w:rsid w:val="004B4E59"/>
    <w:rsid w:val="004B5555"/>
    <w:rsid w:val="004C011C"/>
    <w:rsid w:val="004C032E"/>
    <w:rsid w:val="004C0484"/>
    <w:rsid w:val="004C259B"/>
    <w:rsid w:val="004C46B0"/>
    <w:rsid w:val="004C49B1"/>
    <w:rsid w:val="004C777E"/>
    <w:rsid w:val="004D0605"/>
    <w:rsid w:val="004D0C54"/>
    <w:rsid w:val="004D16A4"/>
    <w:rsid w:val="004E6682"/>
    <w:rsid w:val="004E6C7C"/>
    <w:rsid w:val="004E6D8A"/>
    <w:rsid w:val="004F0411"/>
    <w:rsid w:val="004F10C1"/>
    <w:rsid w:val="004F15EF"/>
    <w:rsid w:val="004F22FE"/>
    <w:rsid w:val="004F626A"/>
    <w:rsid w:val="004F774D"/>
    <w:rsid w:val="005002FC"/>
    <w:rsid w:val="005013B0"/>
    <w:rsid w:val="005015E4"/>
    <w:rsid w:val="005017A6"/>
    <w:rsid w:val="0050291D"/>
    <w:rsid w:val="00504D39"/>
    <w:rsid w:val="005064CD"/>
    <w:rsid w:val="00506C00"/>
    <w:rsid w:val="00506E1D"/>
    <w:rsid w:val="0050783B"/>
    <w:rsid w:val="00511016"/>
    <w:rsid w:val="005120A1"/>
    <w:rsid w:val="005146FC"/>
    <w:rsid w:val="005149DB"/>
    <w:rsid w:val="00514D8C"/>
    <w:rsid w:val="005159B3"/>
    <w:rsid w:val="00516E58"/>
    <w:rsid w:val="0051763A"/>
    <w:rsid w:val="0052101A"/>
    <w:rsid w:val="00522C03"/>
    <w:rsid w:val="00523110"/>
    <w:rsid w:val="00524380"/>
    <w:rsid w:val="00524A34"/>
    <w:rsid w:val="005258A3"/>
    <w:rsid w:val="00525EA4"/>
    <w:rsid w:val="00526448"/>
    <w:rsid w:val="005276B7"/>
    <w:rsid w:val="0052791F"/>
    <w:rsid w:val="00531A0E"/>
    <w:rsid w:val="00532CFF"/>
    <w:rsid w:val="00534D3D"/>
    <w:rsid w:val="00536880"/>
    <w:rsid w:val="00536E65"/>
    <w:rsid w:val="0053759C"/>
    <w:rsid w:val="005375CF"/>
    <w:rsid w:val="00537CEC"/>
    <w:rsid w:val="00540AD0"/>
    <w:rsid w:val="00540E0E"/>
    <w:rsid w:val="00542E69"/>
    <w:rsid w:val="00543062"/>
    <w:rsid w:val="0054357A"/>
    <w:rsid w:val="00543A76"/>
    <w:rsid w:val="00546BC6"/>
    <w:rsid w:val="00546D6E"/>
    <w:rsid w:val="00547738"/>
    <w:rsid w:val="005522F3"/>
    <w:rsid w:val="005523D1"/>
    <w:rsid w:val="00553CE5"/>
    <w:rsid w:val="0055401F"/>
    <w:rsid w:val="00554A1D"/>
    <w:rsid w:val="0055532E"/>
    <w:rsid w:val="00555BC3"/>
    <w:rsid w:val="00557C8E"/>
    <w:rsid w:val="00561B2B"/>
    <w:rsid w:val="0056357E"/>
    <w:rsid w:val="00564952"/>
    <w:rsid w:val="00565C42"/>
    <w:rsid w:val="0056645F"/>
    <w:rsid w:val="00567DF6"/>
    <w:rsid w:val="00571AB1"/>
    <w:rsid w:val="00573797"/>
    <w:rsid w:val="00577E1C"/>
    <w:rsid w:val="00580DB1"/>
    <w:rsid w:val="005814AC"/>
    <w:rsid w:val="00581D6D"/>
    <w:rsid w:val="00584676"/>
    <w:rsid w:val="00584923"/>
    <w:rsid w:val="005854B7"/>
    <w:rsid w:val="00585708"/>
    <w:rsid w:val="00587AB1"/>
    <w:rsid w:val="0059026D"/>
    <w:rsid w:val="0059070B"/>
    <w:rsid w:val="00591B21"/>
    <w:rsid w:val="0059283C"/>
    <w:rsid w:val="00595082"/>
    <w:rsid w:val="005951BE"/>
    <w:rsid w:val="00596824"/>
    <w:rsid w:val="00597338"/>
    <w:rsid w:val="005A0D95"/>
    <w:rsid w:val="005A224B"/>
    <w:rsid w:val="005A2741"/>
    <w:rsid w:val="005A56B1"/>
    <w:rsid w:val="005A5AE1"/>
    <w:rsid w:val="005A5EAE"/>
    <w:rsid w:val="005A68E9"/>
    <w:rsid w:val="005A737E"/>
    <w:rsid w:val="005B1225"/>
    <w:rsid w:val="005B17D8"/>
    <w:rsid w:val="005B1D04"/>
    <w:rsid w:val="005B1D82"/>
    <w:rsid w:val="005B4077"/>
    <w:rsid w:val="005B65E5"/>
    <w:rsid w:val="005B7CAA"/>
    <w:rsid w:val="005C0EEE"/>
    <w:rsid w:val="005C28B0"/>
    <w:rsid w:val="005C2F01"/>
    <w:rsid w:val="005C5F3C"/>
    <w:rsid w:val="005C68DE"/>
    <w:rsid w:val="005D01BE"/>
    <w:rsid w:val="005D1177"/>
    <w:rsid w:val="005D1D13"/>
    <w:rsid w:val="005D254A"/>
    <w:rsid w:val="005D2E73"/>
    <w:rsid w:val="005D4324"/>
    <w:rsid w:val="005D5460"/>
    <w:rsid w:val="005E08CD"/>
    <w:rsid w:val="005E37E8"/>
    <w:rsid w:val="005E3B81"/>
    <w:rsid w:val="005E6C8F"/>
    <w:rsid w:val="005E74C5"/>
    <w:rsid w:val="005E74CE"/>
    <w:rsid w:val="005F219D"/>
    <w:rsid w:val="005F2437"/>
    <w:rsid w:val="005F318A"/>
    <w:rsid w:val="005F76F4"/>
    <w:rsid w:val="005F7710"/>
    <w:rsid w:val="006004F7"/>
    <w:rsid w:val="00603261"/>
    <w:rsid w:val="0060477E"/>
    <w:rsid w:val="006073C3"/>
    <w:rsid w:val="00607597"/>
    <w:rsid w:val="00610F93"/>
    <w:rsid w:val="006127CC"/>
    <w:rsid w:val="00614661"/>
    <w:rsid w:val="00617CFE"/>
    <w:rsid w:val="006243C6"/>
    <w:rsid w:val="00624E62"/>
    <w:rsid w:val="006273BC"/>
    <w:rsid w:val="0063090C"/>
    <w:rsid w:val="00632009"/>
    <w:rsid w:val="00632D70"/>
    <w:rsid w:val="00633CF1"/>
    <w:rsid w:val="00635A6C"/>
    <w:rsid w:val="00636C8B"/>
    <w:rsid w:val="00637091"/>
    <w:rsid w:val="006422DC"/>
    <w:rsid w:val="00642839"/>
    <w:rsid w:val="006457F8"/>
    <w:rsid w:val="00645CCB"/>
    <w:rsid w:val="0064700E"/>
    <w:rsid w:val="006472A3"/>
    <w:rsid w:val="006474E0"/>
    <w:rsid w:val="006478CB"/>
    <w:rsid w:val="00650B88"/>
    <w:rsid w:val="00650E2C"/>
    <w:rsid w:val="0065263E"/>
    <w:rsid w:val="00652C58"/>
    <w:rsid w:val="006530EF"/>
    <w:rsid w:val="006554DD"/>
    <w:rsid w:val="006557EC"/>
    <w:rsid w:val="00660434"/>
    <w:rsid w:val="00660951"/>
    <w:rsid w:val="006636E2"/>
    <w:rsid w:val="00664C4E"/>
    <w:rsid w:val="00666273"/>
    <w:rsid w:val="00667FA9"/>
    <w:rsid w:val="006710B1"/>
    <w:rsid w:val="0067233D"/>
    <w:rsid w:val="00672B2E"/>
    <w:rsid w:val="006745AE"/>
    <w:rsid w:val="006763D9"/>
    <w:rsid w:val="00676870"/>
    <w:rsid w:val="00676AF3"/>
    <w:rsid w:val="00677895"/>
    <w:rsid w:val="00677BEF"/>
    <w:rsid w:val="006814A3"/>
    <w:rsid w:val="00682AFC"/>
    <w:rsid w:val="00683344"/>
    <w:rsid w:val="00683F9F"/>
    <w:rsid w:val="0068479D"/>
    <w:rsid w:val="00684FC9"/>
    <w:rsid w:val="00686DCE"/>
    <w:rsid w:val="0069072B"/>
    <w:rsid w:val="0069174B"/>
    <w:rsid w:val="00693340"/>
    <w:rsid w:val="006A04C7"/>
    <w:rsid w:val="006A4287"/>
    <w:rsid w:val="006B05E3"/>
    <w:rsid w:val="006B09BC"/>
    <w:rsid w:val="006B0E41"/>
    <w:rsid w:val="006B2ACA"/>
    <w:rsid w:val="006B4586"/>
    <w:rsid w:val="006B6D5D"/>
    <w:rsid w:val="006B7944"/>
    <w:rsid w:val="006B7B5A"/>
    <w:rsid w:val="006C0801"/>
    <w:rsid w:val="006C0C2C"/>
    <w:rsid w:val="006C1EAA"/>
    <w:rsid w:val="006C216F"/>
    <w:rsid w:val="006C45D4"/>
    <w:rsid w:val="006C570F"/>
    <w:rsid w:val="006C6C13"/>
    <w:rsid w:val="006D11BD"/>
    <w:rsid w:val="006D2042"/>
    <w:rsid w:val="006D27C5"/>
    <w:rsid w:val="006D66E3"/>
    <w:rsid w:val="006D75BA"/>
    <w:rsid w:val="006D7855"/>
    <w:rsid w:val="006D7C56"/>
    <w:rsid w:val="006E010C"/>
    <w:rsid w:val="006E1003"/>
    <w:rsid w:val="006E16BF"/>
    <w:rsid w:val="006E18F0"/>
    <w:rsid w:val="006E2907"/>
    <w:rsid w:val="006E2C13"/>
    <w:rsid w:val="006E2C89"/>
    <w:rsid w:val="006E38AF"/>
    <w:rsid w:val="006E4F93"/>
    <w:rsid w:val="006E5016"/>
    <w:rsid w:val="006E7F4D"/>
    <w:rsid w:val="006F0EA4"/>
    <w:rsid w:val="006F10FE"/>
    <w:rsid w:val="006F1174"/>
    <w:rsid w:val="006F337A"/>
    <w:rsid w:val="006F5465"/>
    <w:rsid w:val="006F78F4"/>
    <w:rsid w:val="00700135"/>
    <w:rsid w:val="0070212F"/>
    <w:rsid w:val="007023AB"/>
    <w:rsid w:val="00703185"/>
    <w:rsid w:val="007034D5"/>
    <w:rsid w:val="00703935"/>
    <w:rsid w:val="00704C40"/>
    <w:rsid w:val="00705180"/>
    <w:rsid w:val="00705D90"/>
    <w:rsid w:val="00706917"/>
    <w:rsid w:val="00710A39"/>
    <w:rsid w:val="00711397"/>
    <w:rsid w:val="00711605"/>
    <w:rsid w:val="00711DF6"/>
    <w:rsid w:val="00713211"/>
    <w:rsid w:val="00713454"/>
    <w:rsid w:val="007137D7"/>
    <w:rsid w:val="00713C78"/>
    <w:rsid w:val="00716FBC"/>
    <w:rsid w:val="00717090"/>
    <w:rsid w:val="00720739"/>
    <w:rsid w:val="007207D0"/>
    <w:rsid w:val="00721432"/>
    <w:rsid w:val="0072253E"/>
    <w:rsid w:val="00722547"/>
    <w:rsid w:val="00723E1F"/>
    <w:rsid w:val="0072443D"/>
    <w:rsid w:val="007247E5"/>
    <w:rsid w:val="007248B7"/>
    <w:rsid w:val="007254CA"/>
    <w:rsid w:val="007264E4"/>
    <w:rsid w:val="007267D2"/>
    <w:rsid w:val="007309C4"/>
    <w:rsid w:val="00730CF8"/>
    <w:rsid w:val="00731409"/>
    <w:rsid w:val="00731A90"/>
    <w:rsid w:val="00732608"/>
    <w:rsid w:val="00733251"/>
    <w:rsid w:val="0073375B"/>
    <w:rsid w:val="00734083"/>
    <w:rsid w:val="007347E7"/>
    <w:rsid w:val="007354C1"/>
    <w:rsid w:val="00736DCA"/>
    <w:rsid w:val="00740A69"/>
    <w:rsid w:val="00740E4B"/>
    <w:rsid w:val="0074492D"/>
    <w:rsid w:val="00745998"/>
    <w:rsid w:val="00745C47"/>
    <w:rsid w:val="00745E49"/>
    <w:rsid w:val="00746ABF"/>
    <w:rsid w:val="0075003D"/>
    <w:rsid w:val="00751C98"/>
    <w:rsid w:val="00751D97"/>
    <w:rsid w:val="00752C55"/>
    <w:rsid w:val="00753608"/>
    <w:rsid w:val="00753BCE"/>
    <w:rsid w:val="00755011"/>
    <w:rsid w:val="007562D4"/>
    <w:rsid w:val="007567D8"/>
    <w:rsid w:val="00756B5F"/>
    <w:rsid w:val="007573FA"/>
    <w:rsid w:val="00757EF9"/>
    <w:rsid w:val="00761DBF"/>
    <w:rsid w:val="00761FCF"/>
    <w:rsid w:val="007631C8"/>
    <w:rsid w:val="007653F2"/>
    <w:rsid w:val="00765503"/>
    <w:rsid w:val="00766C93"/>
    <w:rsid w:val="007672CC"/>
    <w:rsid w:val="00767B7E"/>
    <w:rsid w:val="007705E9"/>
    <w:rsid w:val="00771D7D"/>
    <w:rsid w:val="007727C4"/>
    <w:rsid w:val="00772D16"/>
    <w:rsid w:val="007745B7"/>
    <w:rsid w:val="00774CFB"/>
    <w:rsid w:val="007750C8"/>
    <w:rsid w:val="00776538"/>
    <w:rsid w:val="0077714E"/>
    <w:rsid w:val="00777580"/>
    <w:rsid w:val="007802BE"/>
    <w:rsid w:val="00780EEF"/>
    <w:rsid w:val="0078134C"/>
    <w:rsid w:val="00781C47"/>
    <w:rsid w:val="00782189"/>
    <w:rsid w:val="007837C7"/>
    <w:rsid w:val="00784B44"/>
    <w:rsid w:val="00785465"/>
    <w:rsid w:val="00787656"/>
    <w:rsid w:val="00790C7F"/>
    <w:rsid w:val="00791767"/>
    <w:rsid w:val="0079268A"/>
    <w:rsid w:val="00794859"/>
    <w:rsid w:val="007948D0"/>
    <w:rsid w:val="00797C88"/>
    <w:rsid w:val="007A0EF1"/>
    <w:rsid w:val="007A1013"/>
    <w:rsid w:val="007A235B"/>
    <w:rsid w:val="007A2686"/>
    <w:rsid w:val="007A452A"/>
    <w:rsid w:val="007A49E3"/>
    <w:rsid w:val="007A4CA9"/>
    <w:rsid w:val="007A556E"/>
    <w:rsid w:val="007A5AF7"/>
    <w:rsid w:val="007A60B4"/>
    <w:rsid w:val="007A7D19"/>
    <w:rsid w:val="007A7EC2"/>
    <w:rsid w:val="007B042D"/>
    <w:rsid w:val="007B05BB"/>
    <w:rsid w:val="007B3DEA"/>
    <w:rsid w:val="007B5566"/>
    <w:rsid w:val="007B687F"/>
    <w:rsid w:val="007B6E0A"/>
    <w:rsid w:val="007B764C"/>
    <w:rsid w:val="007C118A"/>
    <w:rsid w:val="007C1AF5"/>
    <w:rsid w:val="007C2007"/>
    <w:rsid w:val="007C636F"/>
    <w:rsid w:val="007C6C73"/>
    <w:rsid w:val="007C7899"/>
    <w:rsid w:val="007D01E4"/>
    <w:rsid w:val="007D0FC7"/>
    <w:rsid w:val="007D16C2"/>
    <w:rsid w:val="007D39EB"/>
    <w:rsid w:val="007D4512"/>
    <w:rsid w:val="007D5D65"/>
    <w:rsid w:val="007D64BC"/>
    <w:rsid w:val="007E3C25"/>
    <w:rsid w:val="007E5824"/>
    <w:rsid w:val="007E7319"/>
    <w:rsid w:val="007E74E1"/>
    <w:rsid w:val="007E77A8"/>
    <w:rsid w:val="007F045F"/>
    <w:rsid w:val="007F24BF"/>
    <w:rsid w:val="007F30A6"/>
    <w:rsid w:val="007F473B"/>
    <w:rsid w:val="007F491C"/>
    <w:rsid w:val="007F4BF0"/>
    <w:rsid w:val="00800D07"/>
    <w:rsid w:val="008025F3"/>
    <w:rsid w:val="00803BF8"/>
    <w:rsid w:val="00804D3D"/>
    <w:rsid w:val="008061C9"/>
    <w:rsid w:val="008066D8"/>
    <w:rsid w:val="00806E11"/>
    <w:rsid w:val="008074BB"/>
    <w:rsid w:val="00811A18"/>
    <w:rsid w:val="008121AF"/>
    <w:rsid w:val="00812E18"/>
    <w:rsid w:val="00813711"/>
    <w:rsid w:val="0081578C"/>
    <w:rsid w:val="008179B6"/>
    <w:rsid w:val="00821E64"/>
    <w:rsid w:val="00821EDD"/>
    <w:rsid w:val="008223E9"/>
    <w:rsid w:val="00824134"/>
    <w:rsid w:val="008253C4"/>
    <w:rsid w:val="008263C2"/>
    <w:rsid w:val="008307DB"/>
    <w:rsid w:val="00831A7E"/>
    <w:rsid w:val="00833398"/>
    <w:rsid w:val="00833A18"/>
    <w:rsid w:val="00835D9D"/>
    <w:rsid w:val="00835FC9"/>
    <w:rsid w:val="008368F8"/>
    <w:rsid w:val="008370E3"/>
    <w:rsid w:val="008418FA"/>
    <w:rsid w:val="00842959"/>
    <w:rsid w:val="00843390"/>
    <w:rsid w:val="0084645A"/>
    <w:rsid w:val="00847E3D"/>
    <w:rsid w:val="00852279"/>
    <w:rsid w:val="0085235A"/>
    <w:rsid w:val="00852F69"/>
    <w:rsid w:val="008533E3"/>
    <w:rsid w:val="00853F8F"/>
    <w:rsid w:val="00854138"/>
    <w:rsid w:val="00854410"/>
    <w:rsid w:val="008544DF"/>
    <w:rsid w:val="00854C9F"/>
    <w:rsid w:val="008566A5"/>
    <w:rsid w:val="008571DF"/>
    <w:rsid w:val="008601F4"/>
    <w:rsid w:val="008602B6"/>
    <w:rsid w:val="00860AAD"/>
    <w:rsid w:val="00861AA6"/>
    <w:rsid w:val="00865BD7"/>
    <w:rsid w:val="008708F3"/>
    <w:rsid w:val="00871354"/>
    <w:rsid w:val="00871678"/>
    <w:rsid w:val="00873611"/>
    <w:rsid w:val="00873C8F"/>
    <w:rsid w:val="008745FE"/>
    <w:rsid w:val="00874FB3"/>
    <w:rsid w:val="00876012"/>
    <w:rsid w:val="008764B4"/>
    <w:rsid w:val="00877F7C"/>
    <w:rsid w:val="00880BE3"/>
    <w:rsid w:val="00881359"/>
    <w:rsid w:val="00882093"/>
    <w:rsid w:val="00882344"/>
    <w:rsid w:val="00882588"/>
    <w:rsid w:val="00884ADE"/>
    <w:rsid w:val="008856CF"/>
    <w:rsid w:val="00885864"/>
    <w:rsid w:val="00886F44"/>
    <w:rsid w:val="00887014"/>
    <w:rsid w:val="00890A1D"/>
    <w:rsid w:val="0089383B"/>
    <w:rsid w:val="00893E2B"/>
    <w:rsid w:val="00894323"/>
    <w:rsid w:val="0089534B"/>
    <w:rsid w:val="0089616F"/>
    <w:rsid w:val="008A0232"/>
    <w:rsid w:val="008A10D5"/>
    <w:rsid w:val="008A3290"/>
    <w:rsid w:val="008A5FEA"/>
    <w:rsid w:val="008A6E73"/>
    <w:rsid w:val="008B0470"/>
    <w:rsid w:val="008B05E7"/>
    <w:rsid w:val="008B06C5"/>
    <w:rsid w:val="008B164E"/>
    <w:rsid w:val="008B4923"/>
    <w:rsid w:val="008B4F06"/>
    <w:rsid w:val="008B502A"/>
    <w:rsid w:val="008B57D8"/>
    <w:rsid w:val="008B5E9E"/>
    <w:rsid w:val="008B65CF"/>
    <w:rsid w:val="008B7A65"/>
    <w:rsid w:val="008C0DAA"/>
    <w:rsid w:val="008C1219"/>
    <w:rsid w:val="008C123E"/>
    <w:rsid w:val="008C137D"/>
    <w:rsid w:val="008C22DD"/>
    <w:rsid w:val="008C3DFD"/>
    <w:rsid w:val="008C3E28"/>
    <w:rsid w:val="008C3ED0"/>
    <w:rsid w:val="008C4203"/>
    <w:rsid w:val="008C5DA5"/>
    <w:rsid w:val="008C5E94"/>
    <w:rsid w:val="008C5EFF"/>
    <w:rsid w:val="008D17F8"/>
    <w:rsid w:val="008D196A"/>
    <w:rsid w:val="008D27BC"/>
    <w:rsid w:val="008D2DBC"/>
    <w:rsid w:val="008D369B"/>
    <w:rsid w:val="008D4196"/>
    <w:rsid w:val="008D551E"/>
    <w:rsid w:val="008D702B"/>
    <w:rsid w:val="008D7264"/>
    <w:rsid w:val="008E0FF1"/>
    <w:rsid w:val="008E1032"/>
    <w:rsid w:val="008E3DBA"/>
    <w:rsid w:val="008E3EF2"/>
    <w:rsid w:val="008E51C9"/>
    <w:rsid w:val="008E5BEB"/>
    <w:rsid w:val="008E6306"/>
    <w:rsid w:val="008E7639"/>
    <w:rsid w:val="008F18F2"/>
    <w:rsid w:val="008F1ABA"/>
    <w:rsid w:val="008F3D9F"/>
    <w:rsid w:val="008F3F6A"/>
    <w:rsid w:val="008F5B85"/>
    <w:rsid w:val="008F5F14"/>
    <w:rsid w:val="008F6355"/>
    <w:rsid w:val="008F68F7"/>
    <w:rsid w:val="009005A6"/>
    <w:rsid w:val="009006CF"/>
    <w:rsid w:val="00900C71"/>
    <w:rsid w:val="00902A1C"/>
    <w:rsid w:val="009037B6"/>
    <w:rsid w:val="009063F3"/>
    <w:rsid w:val="00906CBE"/>
    <w:rsid w:val="00910024"/>
    <w:rsid w:val="00910384"/>
    <w:rsid w:val="00914B0C"/>
    <w:rsid w:val="00914B34"/>
    <w:rsid w:val="0091643D"/>
    <w:rsid w:val="00916E33"/>
    <w:rsid w:val="009175A6"/>
    <w:rsid w:val="0092093B"/>
    <w:rsid w:val="00925C3F"/>
    <w:rsid w:val="00930669"/>
    <w:rsid w:val="00932C33"/>
    <w:rsid w:val="00933978"/>
    <w:rsid w:val="00937C63"/>
    <w:rsid w:val="009401B7"/>
    <w:rsid w:val="009427A1"/>
    <w:rsid w:val="00942FFE"/>
    <w:rsid w:val="009551E0"/>
    <w:rsid w:val="00955DC1"/>
    <w:rsid w:val="0095654E"/>
    <w:rsid w:val="00956F3C"/>
    <w:rsid w:val="0096054C"/>
    <w:rsid w:val="00960CFB"/>
    <w:rsid w:val="00970678"/>
    <w:rsid w:val="0097158D"/>
    <w:rsid w:val="00971C34"/>
    <w:rsid w:val="00972488"/>
    <w:rsid w:val="009726D0"/>
    <w:rsid w:val="00973B23"/>
    <w:rsid w:val="0097421D"/>
    <w:rsid w:val="00976117"/>
    <w:rsid w:val="00976A23"/>
    <w:rsid w:val="0097749C"/>
    <w:rsid w:val="009800BC"/>
    <w:rsid w:val="00980575"/>
    <w:rsid w:val="009816F6"/>
    <w:rsid w:val="00981BB4"/>
    <w:rsid w:val="00984084"/>
    <w:rsid w:val="009843BA"/>
    <w:rsid w:val="0098456D"/>
    <w:rsid w:val="009876E6"/>
    <w:rsid w:val="00987AA2"/>
    <w:rsid w:val="009900F0"/>
    <w:rsid w:val="00990B9B"/>
    <w:rsid w:val="0099111C"/>
    <w:rsid w:val="00991370"/>
    <w:rsid w:val="00991769"/>
    <w:rsid w:val="00991ACA"/>
    <w:rsid w:val="009928B5"/>
    <w:rsid w:val="00993236"/>
    <w:rsid w:val="009937FD"/>
    <w:rsid w:val="00993D8C"/>
    <w:rsid w:val="00993FF3"/>
    <w:rsid w:val="00994DA3"/>
    <w:rsid w:val="00994E3D"/>
    <w:rsid w:val="009A297E"/>
    <w:rsid w:val="009A5041"/>
    <w:rsid w:val="009A6127"/>
    <w:rsid w:val="009A6442"/>
    <w:rsid w:val="009A706D"/>
    <w:rsid w:val="009B005D"/>
    <w:rsid w:val="009B0CC1"/>
    <w:rsid w:val="009B2C7D"/>
    <w:rsid w:val="009B4DFD"/>
    <w:rsid w:val="009B69F0"/>
    <w:rsid w:val="009B713C"/>
    <w:rsid w:val="009C0C6F"/>
    <w:rsid w:val="009C0F18"/>
    <w:rsid w:val="009C12C6"/>
    <w:rsid w:val="009C19D4"/>
    <w:rsid w:val="009C2555"/>
    <w:rsid w:val="009C2858"/>
    <w:rsid w:val="009C2DA6"/>
    <w:rsid w:val="009C5B4F"/>
    <w:rsid w:val="009C705A"/>
    <w:rsid w:val="009C7778"/>
    <w:rsid w:val="009C7EE6"/>
    <w:rsid w:val="009D06AE"/>
    <w:rsid w:val="009D096E"/>
    <w:rsid w:val="009D09E2"/>
    <w:rsid w:val="009D1E42"/>
    <w:rsid w:val="009D2205"/>
    <w:rsid w:val="009D282B"/>
    <w:rsid w:val="009D38BF"/>
    <w:rsid w:val="009D4624"/>
    <w:rsid w:val="009D5C90"/>
    <w:rsid w:val="009D6568"/>
    <w:rsid w:val="009D7148"/>
    <w:rsid w:val="009D77DC"/>
    <w:rsid w:val="009E02FD"/>
    <w:rsid w:val="009E200A"/>
    <w:rsid w:val="009E34F8"/>
    <w:rsid w:val="009E34FA"/>
    <w:rsid w:val="009E3928"/>
    <w:rsid w:val="009E4C74"/>
    <w:rsid w:val="009E56CC"/>
    <w:rsid w:val="009E59F1"/>
    <w:rsid w:val="009E5CD8"/>
    <w:rsid w:val="009E62B6"/>
    <w:rsid w:val="009F06C4"/>
    <w:rsid w:val="009F0A1A"/>
    <w:rsid w:val="009F0EA5"/>
    <w:rsid w:val="009F26CA"/>
    <w:rsid w:val="009F35DA"/>
    <w:rsid w:val="009F3C0D"/>
    <w:rsid w:val="009F4034"/>
    <w:rsid w:val="009F43D0"/>
    <w:rsid w:val="00A000F0"/>
    <w:rsid w:val="00A00568"/>
    <w:rsid w:val="00A00843"/>
    <w:rsid w:val="00A00884"/>
    <w:rsid w:val="00A00EEB"/>
    <w:rsid w:val="00A020CE"/>
    <w:rsid w:val="00A02EAE"/>
    <w:rsid w:val="00A02F62"/>
    <w:rsid w:val="00A02FA3"/>
    <w:rsid w:val="00A030C3"/>
    <w:rsid w:val="00A03490"/>
    <w:rsid w:val="00A04803"/>
    <w:rsid w:val="00A0623A"/>
    <w:rsid w:val="00A06EBF"/>
    <w:rsid w:val="00A10147"/>
    <w:rsid w:val="00A10EDE"/>
    <w:rsid w:val="00A11331"/>
    <w:rsid w:val="00A12348"/>
    <w:rsid w:val="00A131E6"/>
    <w:rsid w:val="00A13337"/>
    <w:rsid w:val="00A13843"/>
    <w:rsid w:val="00A146A5"/>
    <w:rsid w:val="00A1552C"/>
    <w:rsid w:val="00A160C2"/>
    <w:rsid w:val="00A17466"/>
    <w:rsid w:val="00A204B3"/>
    <w:rsid w:val="00A20576"/>
    <w:rsid w:val="00A21593"/>
    <w:rsid w:val="00A221F7"/>
    <w:rsid w:val="00A2227F"/>
    <w:rsid w:val="00A22C21"/>
    <w:rsid w:val="00A230BC"/>
    <w:rsid w:val="00A23412"/>
    <w:rsid w:val="00A24AFA"/>
    <w:rsid w:val="00A25CA2"/>
    <w:rsid w:val="00A2604E"/>
    <w:rsid w:val="00A30FA1"/>
    <w:rsid w:val="00A31CCE"/>
    <w:rsid w:val="00A33316"/>
    <w:rsid w:val="00A33C79"/>
    <w:rsid w:val="00A33C95"/>
    <w:rsid w:val="00A34FF3"/>
    <w:rsid w:val="00A35351"/>
    <w:rsid w:val="00A361C7"/>
    <w:rsid w:val="00A36723"/>
    <w:rsid w:val="00A36728"/>
    <w:rsid w:val="00A41224"/>
    <w:rsid w:val="00A43140"/>
    <w:rsid w:val="00A44C7B"/>
    <w:rsid w:val="00A46623"/>
    <w:rsid w:val="00A46DF5"/>
    <w:rsid w:val="00A5149A"/>
    <w:rsid w:val="00A53650"/>
    <w:rsid w:val="00A53E51"/>
    <w:rsid w:val="00A55D6D"/>
    <w:rsid w:val="00A56F51"/>
    <w:rsid w:val="00A57183"/>
    <w:rsid w:val="00A60693"/>
    <w:rsid w:val="00A6196D"/>
    <w:rsid w:val="00A619C0"/>
    <w:rsid w:val="00A61ADF"/>
    <w:rsid w:val="00A62012"/>
    <w:rsid w:val="00A624CB"/>
    <w:rsid w:val="00A62AC0"/>
    <w:rsid w:val="00A647ED"/>
    <w:rsid w:val="00A65CBA"/>
    <w:rsid w:val="00A66645"/>
    <w:rsid w:val="00A66ECE"/>
    <w:rsid w:val="00A72A9C"/>
    <w:rsid w:val="00A74FE6"/>
    <w:rsid w:val="00A75118"/>
    <w:rsid w:val="00A761A1"/>
    <w:rsid w:val="00A76BD2"/>
    <w:rsid w:val="00A7731A"/>
    <w:rsid w:val="00A800EF"/>
    <w:rsid w:val="00A8267D"/>
    <w:rsid w:val="00A82E14"/>
    <w:rsid w:val="00A8481E"/>
    <w:rsid w:val="00A84F12"/>
    <w:rsid w:val="00A85862"/>
    <w:rsid w:val="00A85F13"/>
    <w:rsid w:val="00A8688E"/>
    <w:rsid w:val="00A86CFE"/>
    <w:rsid w:val="00A8722B"/>
    <w:rsid w:val="00A901E9"/>
    <w:rsid w:val="00A90ABC"/>
    <w:rsid w:val="00A917B6"/>
    <w:rsid w:val="00A91831"/>
    <w:rsid w:val="00A91B3B"/>
    <w:rsid w:val="00A92205"/>
    <w:rsid w:val="00A93B4F"/>
    <w:rsid w:val="00A94F7A"/>
    <w:rsid w:val="00A95D3B"/>
    <w:rsid w:val="00A96B0F"/>
    <w:rsid w:val="00A97341"/>
    <w:rsid w:val="00AA0081"/>
    <w:rsid w:val="00AA05D6"/>
    <w:rsid w:val="00AA09C9"/>
    <w:rsid w:val="00AA4E4D"/>
    <w:rsid w:val="00AA5E38"/>
    <w:rsid w:val="00AB05C9"/>
    <w:rsid w:val="00AB09ED"/>
    <w:rsid w:val="00AB1637"/>
    <w:rsid w:val="00AB3DC0"/>
    <w:rsid w:val="00AB4CBB"/>
    <w:rsid w:val="00AC082D"/>
    <w:rsid w:val="00AC11EC"/>
    <w:rsid w:val="00AC125E"/>
    <w:rsid w:val="00AC276D"/>
    <w:rsid w:val="00AC3E43"/>
    <w:rsid w:val="00AC45DF"/>
    <w:rsid w:val="00AC474D"/>
    <w:rsid w:val="00AC4DFD"/>
    <w:rsid w:val="00AC4F47"/>
    <w:rsid w:val="00AC5663"/>
    <w:rsid w:val="00AC58FD"/>
    <w:rsid w:val="00AC6694"/>
    <w:rsid w:val="00AD0F6D"/>
    <w:rsid w:val="00AD1156"/>
    <w:rsid w:val="00AD1166"/>
    <w:rsid w:val="00AD19D2"/>
    <w:rsid w:val="00AD1A96"/>
    <w:rsid w:val="00AD1CAD"/>
    <w:rsid w:val="00AD235A"/>
    <w:rsid w:val="00AD3042"/>
    <w:rsid w:val="00AD4A9A"/>
    <w:rsid w:val="00AD70DF"/>
    <w:rsid w:val="00AD793A"/>
    <w:rsid w:val="00AE0120"/>
    <w:rsid w:val="00AE0622"/>
    <w:rsid w:val="00AE0725"/>
    <w:rsid w:val="00AE1725"/>
    <w:rsid w:val="00AE3038"/>
    <w:rsid w:val="00AE3D4A"/>
    <w:rsid w:val="00AE4AAB"/>
    <w:rsid w:val="00AE5956"/>
    <w:rsid w:val="00AE619F"/>
    <w:rsid w:val="00AE7A88"/>
    <w:rsid w:val="00AF060F"/>
    <w:rsid w:val="00AF13D2"/>
    <w:rsid w:val="00AF2A56"/>
    <w:rsid w:val="00AF45B0"/>
    <w:rsid w:val="00AF51D1"/>
    <w:rsid w:val="00AF6307"/>
    <w:rsid w:val="00AF6321"/>
    <w:rsid w:val="00AF63AB"/>
    <w:rsid w:val="00B00988"/>
    <w:rsid w:val="00B01784"/>
    <w:rsid w:val="00B031C0"/>
    <w:rsid w:val="00B0388B"/>
    <w:rsid w:val="00B03BEE"/>
    <w:rsid w:val="00B0517E"/>
    <w:rsid w:val="00B11314"/>
    <w:rsid w:val="00B113E3"/>
    <w:rsid w:val="00B1156A"/>
    <w:rsid w:val="00B138E3"/>
    <w:rsid w:val="00B13FB5"/>
    <w:rsid w:val="00B1445E"/>
    <w:rsid w:val="00B14898"/>
    <w:rsid w:val="00B178FA"/>
    <w:rsid w:val="00B17D8E"/>
    <w:rsid w:val="00B207C3"/>
    <w:rsid w:val="00B21333"/>
    <w:rsid w:val="00B21443"/>
    <w:rsid w:val="00B22468"/>
    <w:rsid w:val="00B229FD"/>
    <w:rsid w:val="00B23267"/>
    <w:rsid w:val="00B23906"/>
    <w:rsid w:val="00B23F96"/>
    <w:rsid w:val="00B257BF"/>
    <w:rsid w:val="00B27149"/>
    <w:rsid w:val="00B30AB2"/>
    <w:rsid w:val="00B31D5D"/>
    <w:rsid w:val="00B3279A"/>
    <w:rsid w:val="00B34BB7"/>
    <w:rsid w:val="00B35B4D"/>
    <w:rsid w:val="00B362F0"/>
    <w:rsid w:val="00B36652"/>
    <w:rsid w:val="00B4199F"/>
    <w:rsid w:val="00B425AB"/>
    <w:rsid w:val="00B42B94"/>
    <w:rsid w:val="00B43417"/>
    <w:rsid w:val="00B434C2"/>
    <w:rsid w:val="00B437FD"/>
    <w:rsid w:val="00B44436"/>
    <w:rsid w:val="00B45279"/>
    <w:rsid w:val="00B47090"/>
    <w:rsid w:val="00B513A4"/>
    <w:rsid w:val="00B532D1"/>
    <w:rsid w:val="00B57301"/>
    <w:rsid w:val="00B57925"/>
    <w:rsid w:val="00B601BB"/>
    <w:rsid w:val="00B602A5"/>
    <w:rsid w:val="00B61E3E"/>
    <w:rsid w:val="00B6432A"/>
    <w:rsid w:val="00B668E5"/>
    <w:rsid w:val="00B67A79"/>
    <w:rsid w:val="00B70227"/>
    <w:rsid w:val="00B70852"/>
    <w:rsid w:val="00B722AE"/>
    <w:rsid w:val="00B72335"/>
    <w:rsid w:val="00B72D62"/>
    <w:rsid w:val="00B767AF"/>
    <w:rsid w:val="00B77926"/>
    <w:rsid w:val="00B80511"/>
    <w:rsid w:val="00B80798"/>
    <w:rsid w:val="00B80876"/>
    <w:rsid w:val="00B82C3C"/>
    <w:rsid w:val="00B82DE6"/>
    <w:rsid w:val="00B831CD"/>
    <w:rsid w:val="00B846F6"/>
    <w:rsid w:val="00B85329"/>
    <w:rsid w:val="00B85446"/>
    <w:rsid w:val="00B8701A"/>
    <w:rsid w:val="00B91B73"/>
    <w:rsid w:val="00B91B9D"/>
    <w:rsid w:val="00B926E1"/>
    <w:rsid w:val="00B930C4"/>
    <w:rsid w:val="00B93ECF"/>
    <w:rsid w:val="00B94CAF"/>
    <w:rsid w:val="00B95465"/>
    <w:rsid w:val="00B965B5"/>
    <w:rsid w:val="00B97675"/>
    <w:rsid w:val="00B97BCF"/>
    <w:rsid w:val="00BA1B71"/>
    <w:rsid w:val="00BA29A2"/>
    <w:rsid w:val="00BA3176"/>
    <w:rsid w:val="00BA5417"/>
    <w:rsid w:val="00BA5E20"/>
    <w:rsid w:val="00BA5ED1"/>
    <w:rsid w:val="00BA607C"/>
    <w:rsid w:val="00BA60E5"/>
    <w:rsid w:val="00BA656F"/>
    <w:rsid w:val="00BA6734"/>
    <w:rsid w:val="00BB384D"/>
    <w:rsid w:val="00BB3E2A"/>
    <w:rsid w:val="00BB48A7"/>
    <w:rsid w:val="00BB7121"/>
    <w:rsid w:val="00BC0437"/>
    <w:rsid w:val="00BC0479"/>
    <w:rsid w:val="00BC1651"/>
    <w:rsid w:val="00BC16F5"/>
    <w:rsid w:val="00BC18FF"/>
    <w:rsid w:val="00BC287D"/>
    <w:rsid w:val="00BC2A38"/>
    <w:rsid w:val="00BC4315"/>
    <w:rsid w:val="00BC46EB"/>
    <w:rsid w:val="00BC57FE"/>
    <w:rsid w:val="00BC5F0D"/>
    <w:rsid w:val="00BC643B"/>
    <w:rsid w:val="00BD0246"/>
    <w:rsid w:val="00BD2A41"/>
    <w:rsid w:val="00BD32E5"/>
    <w:rsid w:val="00BD36C4"/>
    <w:rsid w:val="00BD4443"/>
    <w:rsid w:val="00BD48FC"/>
    <w:rsid w:val="00BD4BC6"/>
    <w:rsid w:val="00BD6E1A"/>
    <w:rsid w:val="00BD79DE"/>
    <w:rsid w:val="00BE0BBA"/>
    <w:rsid w:val="00BE1095"/>
    <w:rsid w:val="00BE150A"/>
    <w:rsid w:val="00BE5E5D"/>
    <w:rsid w:val="00BE6767"/>
    <w:rsid w:val="00BE686C"/>
    <w:rsid w:val="00BE78EC"/>
    <w:rsid w:val="00BF00AC"/>
    <w:rsid w:val="00BF1EB9"/>
    <w:rsid w:val="00BF46EE"/>
    <w:rsid w:val="00BF4A6E"/>
    <w:rsid w:val="00BF646E"/>
    <w:rsid w:val="00BF6521"/>
    <w:rsid w:val="00C00051"/>
    <w:rsid w:val="00C003FB"/>
    <w:rsid w:val="00C04C1A"/>
    <w:rsid w:val="00C05333"/>
    <w:rsid w:val="00C05E81"/>
    <w:rsid w:val="00C0613C"/>
    <w:rsid w:val="00C0683F"/>
    <w:rsid w:val="00C07190"/>
    <w:rsid w:val="00C07BD8"/>
    <w:rsid w:val="00C07DD1"/>
    <w:rsid w:val="00C10D05"/>
    <w:rsid w:val="00C13970"/>
    <w:rsid w:val="00C13DF9"/>
    <w:rsid w:val="00C14FBA"/>
    <w:rsid w:val="00C15484"/>
    <w:rsid w:val="00C15EA1"/>
    <w:rsid w:val="00C16DBC"/>
    <w:rsid w:val="00C174DB"/>
    <w:rsid w:val="00C17A8E"/>
    <w:rsid w:val="00C217E5"/>
    <w:rsid w:val="00C2378F"/>
    <w:rsid w:val="00C24E3E"/>
    <w:rsid w:val="00C24F70"/>
    <w:rsid w:val="00C25615"/>
    <w:rsid w:val="00C25DC2"/>
    <w:rsid w:val="00C26A06"/>
    <w:rsid w:val="00C30323"/>
    <w:rsid w:val="00C328CB"/>
    <w:rsid w:val="00C33479"/>
    <w:rsid w:val="00C40ED2"/>
    <w:rsid w:val="00C41BC5"/>
    <w:rsid w:val="00C41F10"/>
    <w:rsid w:val="00C432DD"/>
    <w:rsid w:val="00C4423A"/>
    <w:rsid w:val="00C4748A"/>
    <w:rsid w:val="00C47BD5"/>
    <w:rsid w:val="00C501FE"/>
    <w:rsid w:val="00C510A4"/>
    <w:rsid w:val="00C52BDB"/>
    <w:rsid w:val="00C52FD9"/>
    <w:rsid w:val="00C56957"/>
    <w:rsid w:val="00C5784B"/>
    <w:rsid w:val="00C6031A"/>
    <w:rsid w:val="00C61DE7"/>
    <w:rsid w:val="00C639FF"/>
    <w:rsid w:val="00C63CB4"/>
    <w:rsid w:val="00C6442A"/>
    <w:rsid w:val="00C6492D"/>
    <w:rsid w:val="00C64D15"/>
    <w:rsid w:val="00C66088"/>
    <w:rsid w:val="00C67C4C"/>
    <w:rsid w:val="00C67D6D"/>
    <w:rsid w:val="00C67F21"/>
    <w:rsid w:val="00C711A6"/>
    <w:rsid w:val="00C74B5D"/>
    <w:rsid w:val="00C74F74"/>
    <w:rsid w:val="00C7554B"/>
    <w:rsid w:val="00C76CFF"/>
    <w:rsid w:val="00C8094C"/>
    <w:rsid w:val="00C80951"/>
    <w:rsid w:val="00C8205E"/>
    <w:rsid w:val="00C8223A"/>
    <w:rsid w:val="00C82EB5"/>
    <w:rsid w:val="00C85D24"/>
    <w:rsid w:val="00C86D1E"/>
    <w:rsid w:val="00C87966"/>
    <w:rsid w:val="00C902DE"/>
    <w:rsid w:val="00C90F29"/>
    <w:rsid w:val="00C916AE"/>
    <w:rsid w:val="00C91C74"/>
    <w:rsid w:val="00C93AAA"/>
    <w:rsid w:val="00C93DBC"/>
    <w:rsid w:val="00C95FCD"/>
    <w:rsid w:val="00C97188"/>
    <w:rsid w:val="00CA0639"/>
    <w:rsid w:val="00CA11D0"/>
    <w:rsid w:val="00CA2437"/>
    <w:rsid w:val="00CA2E02"/>
    <w:rsid w:val="00CA583A"/>
    <w:rsid w:val="00CA5EC6"/>
    <w:rsid w:val="00CA72B4"/>
    <w:rsid w:val="00CA787C"/>
    <w:rsid w:val="00CB0BD8"/>
    <w:rsid w:val="00CB1857"/>
    <w:rsid w:val="00CB1E33"/>
    <w:rsid w:val="00CB1ED4"/>
    <w:rsid w:val="00CB30EA"/>
    <w:rsid w:val="00CB5744"/>
    <w:rsid w:val="00CB7022"/>
    <w:rsid w:val="00CB7BC5"/>
    <w:rsid w:val="00CC141E"/>
    <w:rsid w:val="00CC18DD"/>
    <w:rsid w:val="00CC3C11"/>
    <w:rsid w:val="00CC586D"/>
    <w:rsid w:val="00CC7DBC"/>
    <w:rsid w:val="00CD1BA3"/>
    <w:rsid w:val="00CD1D23"/>
    <w:rsid w:val="00CD321D"/>
    <w:rsid w:val="00CD3612"/>
    <w:rsid w:val="00CD3E69"/>
    <w:rsid w:val="00CD4224"/>
    <w:rsid w:val="00CD4948"/>
    <w:rsid w:val="00CD6B7D"/>
    <w:rsid w:val="00CD7CE8"/>
    <w:rsid w:val="00CD7D29"/>
    <w:rsid w:val="00CD7D3A"/>
    <w:rsid w:val="00CE0847"/>
    <w:rsid w:val="00CE0B6C"/>
    <w:rsid w:val="00CE11D0"/>
    <w:rsid w:val="00CE3024"/>
    <w:rsid w:val="00CE4708"/>
    <w:rsid w:val="00CE4C50"/>
    <w:rsid w:val="00CE6858"/>
    <w:rsid w:val="00CE7450"/>
    <w:rsid w:val="00CE770C"/>
    <w:rsid w:val="00CF0B3B"/>
    <w:rsid w:val="00CF2F8A"/>
    <w:rsid w:val="00CF4A4D"/>
    <w:rsid w:val="00CF50BE"/>
    <w:rsid w:val="00CF538C"/>
    <w:rsid w:val="00CF7625"/>
    <w:rsid w:val="00D01E66"/>
    <w:rsid w:val="00D020EE"/>
    <w:rsid w:val="00D04601"/>
    <w:rsid w:val="00D04860"/>
    <w:rsid w:val="00D0506A"/>
    <w:rsid w:val="00D066FB"/>
    <w:rsid w:val="00D10FA1"/>
    <w:rsid w:val="00D1289C"/>
    <w:rsid w:val="00D138B8"/>
    <w:rsid w:val="00D151DC"/>
    <w:rsid w:val="00D1666F"/>
    <w:rsid w:val="00D2071A"/>
    <w:rsid w:val="00D22F44"/>
    <w:rsid w:val="00D2350E"/>
    <w:rsid w:val="00D25177"/>
    <w:rsid w:val="00D26E94"/>
    <w:rsid w:val="00D30F73"/>
    <w:rsid w:val="00D30F97"/>
    <w:rsid w:val="00D313A0"/>
    <w:rsid w:val="00D31B06"/>
    <w:rsid w:val="00D322A1"/>
    <w:rsid w:val="00D34533"/>
    <w:rsid w:val="00D36FE0"/>
    <w:rsid w:val="00D40799"/>
    <w:rsid w:val="00D41A06"/>
    <w:rsid w:val="00D42ABF"/>
    <w:rsid w:val="00D42F40"/>
    <w:rsid w:val="00D45B67"/>
    <w:rsid w:val="00D5034A"/>
    <w:rsid w:val="00D51F49"/>
    <w:rsid w:val="00D52AE4"/>
    <w:rsid w:val="00D5500B"/>
    <w:rsid w:val="00D55EE8"/>
    <w:rsid w:val="00D560D1"/>
    <w:rsid w:val="00D562CB"/>
    <w:rsid w:val="00D569D1"/>
    <w:rsid w:val="00D56AD8"/>
    <w:rsid w:val="00D56C05"/>
    <w:rsid w:val="00D57030"/>
    <w:rsid w:val="00D5785A"/>
    <w:rsid w:val="00D62769"/>
    <w:rsid w:val="00D63293"/>
    <w:rsid w:val="00D6375F"/>
    <w:rsid w:val="00D63E44"/>
    <w:rsid w:val="00D64C48"/>
    <w:rsid w:val="00D65CE5"/>
    <w:rsid w:val="00D66603"/>
    <w:rsid w:val="00D6680B"/>
    <w:rsid w:val="00D66AF7"/>
    <w:rsid w:val="00D6782C"/>
    <w:rsid w:val="00D704D0"/>
    <w:rsid w:val="00D7113D"/>
    <w:rsid w:val="00D72F4F"/>
    <w:rsid w:val="00D731C4"/>
    <w:rsid w:val="00D74EB4"/>
    <w:rsid w:val="00D76467"/>
    <w:rsid w:val="00D801FC"/>
    <w:rsid w:val="00D81652"/>
    <w:rsid w:val="00D836A5"/>
    <w:rsid w:val="00D84116"/>
    <w:rsid w:val="00D85BE0"/>
    <w:rsid w:val="00D87FD7"/>
    <w:rsid w:val="00D91466"/>
    <w:rsid w:val="00D915ED"/>
    <w:rsid w:val="00D91DE4"/>
    <w:rsid w:val="00D92300"/>
    <w:rsid w:val="00D924C5"/>
    <w:rsid w:val="00D925ED"/>
    <w:rsid w:val="00D94AFC"/>
    <w:rsid w:val="00D950E6"/>
    <w:rsid w:val="00D95774"/>
    <w:rsid w:val="00D95857"/>
    <w:rsid w:val="00D966BA"/>
    <w:rsid w:val="00D97047"/>
    <w:rsid w:val="00DA30F2"/>
    <w:rsid w:val="00DA3619"/>
    <w:rsid w:val="00DA6AB5"/>
    <w:rsid w:val="00DA7AE4"/>
    <w:rsid w:val="00DB0AA0"/>
    <w:rsid w:val="00DB0B88"/>
    <w:rsid w:val="00DB1652"/>
    <w:rsid w:val="00DB203E"/>
    <w:rsid w:val="00DB2330"/>
    <w:rsid w:val="00DB5773"/>
    <w:rsid w:val="00DB58A6"/>
    <w:rsid w:val="00DB6B99"/>
    <w:rsid w:val="00DB716F"/>
    <w:rsid w:val="00DC001A"/>
    <w:rsid w:val="00DC0D0B"/>
    <w:rsid w:val="00DC41DD"/>
    <w:rsid w:val="00DC62EE"/>
    <w:rsid w:val="00DC62F8"/>
    <w:rsid w:val="00DC778A"/>
    <w:rsid w:val="00DD22BB"/>
    <w:rsid w:val="00DD2952"/>
    <w:rsid w:val="00DD4F44"/>
    <w:rsid w:val="00DD686C"/>
    <w:rsid w:val="00DD7940"/>
    <w:rsid w:val="00DD7941"/>
    <w:rsid w:val="00DD7C1E"/>
    <w:rsid w:val="00DD7E0C"/>
    <w:rsid w:val="00DE2AC3"/>
    <w:rsid w:val="00DE2E40"/>
    <w:rsid w:val="00DE3598"/>
    <w:rsid w:val="00DE3FBD"/>
    <w:rsid w:val="00DE43F5"/>
    <w:rsid w:val="00DE4952"/>
    <w:rsid w:val="00DE65FB"/>
    <w:rsid w:val="00DF05ED"/>
    <w:rsid w:val="00DF234F"/>
    <w:rsid w:val="00DF420A"/>
    <w:rsid w:val="00DF52A2"/>
    <w:rsid w:val="00DF635E"/>
    <w:rsid w:val="00E02472"/>
    <w:rsid w:val="00E036A1"/>
    <w:rsid w:val="00E041F0"/>
    <w:rsid w:val="00E0600A"/>
    <w:rsid w:val="00E06DBF"/>
    <w:rsid w:val="00E10D27"/>
    <w:rsid w:val="00E128D8"/>
    <w:rsid w:val="00E130C3"/>
    <w:rsid w:val="00E14738"/>
    <w:rsid w:val="00E15418"/>
    <w:rsid w:val="00E15688"/>
    <w:rsid w:val="00E170ED"/>
    <w:rsid w:val="00E17502"/>
    <w:rsid w:val="00E17EDF"/>
    <w:rsid w:val="00E2074D"/>
    <w:rsid w:val="00E2082D"/>
    <w:rsid w:val="00E221E2"/>
    <w:rsid w:val="00E2330D"/>
    <w:rsid w:val="00E24303"/>
    <w:rsid w:val="00E279A2"/>
    <w:rsid w:val="00E27A16"/>
    <w:rsid w:val="00E27AD1"/>
    <w:rsid w:val="00E320C4"/>
    <w:rsid w:val="00E32AE2"/>
    <w:rsid w:val="00E344B0"/>
    <w:rsid w:val="00E3451E"/>
    <w:rsid w:val="00E356F8"/>
    <w:rsid w:val="00E375B4"/>
    <w:rsid w:val="00E406FC"/>
    <w:rsid w:val="00E40F7B"/>
    <w:rsid w:val="00E419C1"/>
    <w:rsid w:val="00E43E48"/>
    <w:rsid w:val="00E46CB5"/>
    <w:rsid w:val="00E46D60"/>
    <w:rsid w:val="00E47C33"/>
    <w:rsid w:val="00E47F58"/>
    <w:rsid w:val="00E502B3"/>
    <w:rsid w:val="00E527FD"/>
    <w:rsid w:val="00E54BB5"/>
    <w:rsid w:val="00E54BFC"/>
    <w:rsid w:val="00E55248"/>
    <w:rsid w:val="00E561A1"/>
    <w:rsid w:val="00E56D9D"/>
    <w:rsid w:val="00E57873"/>
    <w:rsid w:val="00E602E0"/>
    <w:rsid w:val="00E60E2E"/>
    <w:rsid w:val="00E63459"/>
    <w:rsid w:val="00E67104"/>
    <w:rsid w:val="00E71A2D"/>
    <w:rsid w:val="00E724C5"/>
    <w:rsid w:val="00E72621"/>
    <w:rsid w:val="00E72FB3"/>
    <w:rsid w:val="00E74A73"/>
    <w:rsid w:val="00E75CA7"/>
    <w:rsid w:val="00E77B59"/>
    <w:rsid w:val="00E8095E"/>
    <w:rsid w:val="00E80F9F"/>
    <w:rsid w:val="00E823C1"/>
    <w:rsid w:val="00E82DB7"/>
    <w:rsid w:val="00E83C85"/>
    <w:rsid w:val="00E8579C"/>
    <w:rsid w:val="00E865FE"/>
    <w:rsid w:val="00E86950"/>
    <w:rsid w:val="00E91408"/>
    <w:rsid w:val="00E91759"/>
    <w:rsid w:val="00E9654B"/>
    <w:rsid w:val="00EA13E4"/>
    <w:rsid w:val="00EA18DB"/>
    <w:rsid w:val="00EA2FBA"/>
    <w:rsid w:val="00EA3F54"/>
    <w:rsid w:val="00EA4C32"/>
    <w:rsid w:val="00EA4DC5"/>
    <w:rsid w:val="00EA5664"/>
    <w:rsid w:val="00EA6131"/>
    <w:rsid w:val="00EA66DF"/>
    <w:rsid w:val="00EA6ADC"/>
    <w:rsid w:val="00EB0609"/>
    <w:rsid w:val="00EB13A7"/>
    <w:rsid w:val="00EB14DF"/>
    <w:rsid w:val="00EB1A4D"/>
    <w:rsid w:val="00EB2BAA"/>
    <w:rsid w:val="00EB34EC"/>
    <w:rsid w:val="00EB3A07"/>
    <w:rsid w:val="00EB54FA"/>
    <w:rsid w:val="00EB5539"/>
    <w:rsid w:val="00EC05BA"/>
    <w:rsid w:val="00EC20B8"/>
    <w:rsid w:val="00EC3BEA"/>
    <w:rsid w:val="00EC3F31"/>
    <w:rsid w:val="00EC52E7"/>
    <w:rsid w:val="00EC71B3"/>
    <w:rsid w:val="00EC7E0E"/>
    <w:rsid w:val="00ED0195"/>
    <w:rsid w:val="00ED06D5"/>
    <w:rsid w:val="00ED138F"/>
    <w:rsid w:val="00ED172A"/>
    <w:rsid w:val="00ED1BEB"/>
    <w:rsid w:val="00ED3698"/>
    <w:rsid w:val="00ED4794"/>
    <w:rsid w:val="00ED7B59"/>
    <w:rsid w:val="00ED7D72"/>
    <w:rsid w:val="00EE265C"/>
    <w:rsid w:val="00EE3A4E"/>
    <w:rsid w:val="00EE5A60"/>
    <w:rsid w:val="00EE5C63"/>
    <w:rsid w:val="00EE67D7"/>
    <w:rsid w:val="00EE6DCB"/>
    <w:rsid w:val="00EF1DE0"/>
    <w:rsid w:val="00EF359C"/>
    <w:rsid w:val="00EF3714"/>
    <w:rsid w:val="00EF416F"/>
    <w:rsid w:val="00EF74EC"/>
    <w:rsid w:val="00F00449"/>
    <w:rsid w:val="00F0095C"/>
    <w:rsid w:val="00F01129"/>
    <w:rsid w:val="00F01CCA"/>
    <w:rsid w:val="00F01F2C"/>
    <w:rsid w:val="00F02104"/>
    <w:rsid w:val="00F04EF6"/>
    <w:rsid w:val="00F06C02"/>
    <w:rsid w:val="00F06C17"/>
    <w:rsid w:val="00F071E9"/>
    <w:rsid w:val="00F121B2"/>
    <w:rsid w:val="00F12ED1"/>
    <w:rsid w:val="00F135F2"/>
    <w:rsid w:val="00F138B4"/>
    <w:rsid w:val="00F13C82"/>
    <w:rsid w:val="00F151C9"/>
    <w:rsid w:val="00F1632B"/>
    <w:rsid w:val="00F202CA"/>
    <w:rsid w:val="00F21E0D"/>
    <w:rsid w:val="00F223A7"/>
    <w:rsid w:val="00F23A01"/>
    <w:rsid w:val="00F249C3"/>
    <w:rsid w:val="00F26A64"/>
    <w:rsid w:val="00F334CB"/>
    <w:rsid w:val="00F3495A"/>
    <w:rsid w:val="00F34E2C"/>
    <w:rsid w:val="00F370BC"/>
    <w:rsid w:val="00F37143"/>
    <w:rsid w:val="00F430C2"/>
    <w:rsid w:val="00F47666"/>
    <w:rsid w:val="00F501C4"/>
    <w:rsid w:val="00F502C5"/>
    <w:rsid w:val="00F50562"/>
    <w:rsid w:val="00F507D0"/>
    <w:rsid w:val="00F50A92"/>
    <w:rsid w:val="00F50B0B"/>
    <w:rsid w:val="00F50D01"/>
    <w:rsid w:val="00F51B80"/>
    <w:rsid w:val="00F52D4E"/>
    <w:rsid w:val="00F546B9"/>
    <w:rsid w:val="00F56BC1"/>
    <w:rsid w:val="00F6054A"/>
    <w:rsid w:val="00F618C4"/>
    <w:rsid w:val="00F61B07"/>
    <w:rsid w:val="00F61B58"/>
    <w:rsid w:val="00F622C2"/>
    <w:rsid w:val="00F6237D"/>
    <w:rsid w:val="00F6544B"/>
    <w:rsid w:val="00F65774"/>
    <w:rsid w:val="00F65A34"/>
    <w:rsid w:val="00F65F4C"/>
    <w:rsid w:val="00F65FB4"/>
    <w:rsid w:val="00F715E9"/>
    <w:rsid w:val="00F71A60"/>
    <w:rsid w:val="00F7221A"/>
    <w:rsid w:val="00F725DA"/>
    <w:rsid w:val="00F7536E"/>
    <w:rsid w:val="00F75652"/>
    <w:rsid w:val="00F76137"/>
    <w:rsid w:val="00F7782D"/>
    <w:rsid w:val="00F8168B"/>
    <w:rsid w:val="00F81CF2"/>
    <w:rsid w:val="00F81F93"/>
    <w:rsid w:val="00F82230"/>
    <w:rsid w:val="00F8368A"/>
    <w:rsid w:val="00F85415"/>
    <w:rsid w:val="00F857D1"/>
    <w:rsid w:val="00F86296"/>
    <w:rsid w:val="00F86C0B"/>
    <w:rsid w:val="00F86FD9"/>
    <w:rsid w:val="00F91DCC"/>
    <w:rsid w:val="00F9323F"/>
    <w:rsid w:val="00F943FE"/>
    <w:rsid w:val="00F94BD4"/>
    <w:rsid w:val="00F95814"/>
    <w:rsid w:val="00F95CE9"/>
    <w:rsid w:val="00F97100"/>
    <w:rsid w:val="00FA01D9"/>
    <w:rsid w:val="00FA473D"/>
    <w:rsid w:val="00FA738F"/>
    <w:rsid w:val="00FB0401"/>
    <w:rsid w:val="00FB190C"/>
    <w:rsid w:val="00FB22D0"/>
    <w:rsid w:val="00FC1DFB"/>
    <w:rsid w:val="00FC1EF2"/>
    <w:rsid w:val="00FC3343"/>
    <w:rsid w:val="00FC33BA"/>
    <w:rsid w:val="00FC35AB"/>
    <w:rsid w:val="00FC6134"/>
    <w:rsid w:val="00FC654D"/>
    <w:rsid w:val="00FC77CF"/>
    <w:rsid w:val="00FD0555"/>
    <w:rsid w:val="00FD06F5"/>
    <w:rsid w:val="00FD1F02"/>
    <w:rsid w:val="00FD2C46"/>
    <w:rsid w:val="00FD3297"/>
    <w:rsid w:val="00FD440B"/>
    <w:rsid w:val="00FD5961"/>
    <w:rsid w:val="00FD6087"/>
    <w:rsid w:val="00FE208E"/>
    <w:rsid w:val="00FE3EFA"/>
    <w:rsid w:val="00FE5C56"/>
    <w:rsid w:val="00FE5E20"/>
    <w:rsid w:val="00FE7AAC"/>
    <w:rsid w:val="00FE7B06"/>
    <w:rsid w:val="00FE7E98"/>
    <w:rsid w:val="00FF00D7"/>
    <w:rsid w:val="00FF06BC"/>
    <w:rsid w:val="00FF06E2"/>
    <w:rsid w:val="00FF20AC"/>
    <w:rsid w:val="00FF2459"/>
    <w:rsid w:val="00FF2ADF"/>
    <w:rsid w:val="00FF3801"/>
    <w:rsid w:val="00FF3A27"/>
    <w:rsid w:val="00FF3B27"/>
    <w:rsid w:val="00FF4E8D"/>
    <w:rsid w:val="00FF5CFA"/>
    <w:rsid w:val="034BC57F"/>
    <w:rsid w:val="044EAEA9"/>
    <w:rsid w:val="0566F13F"/>
    <w:rsid w:val="06DA6DB6"/>
    <w:rsid w:val="0750C99E"/>
    <w:rsid w:val="07FA0ABF"/>
    <w:rsid w:val="0AACF03D"/>
    <w:rsid w:val="0AD18943"/>
    <w:rsid w:val="0B3D8E67"/>
    <w:rsid w:val="0B3EB724"/>
    <w:rsid w:val="0E473F13"/>
    <w:rsid w:val="0E4901C7"/>
    <w:rsid w:val="0E8478D2"/>
    <w:rsid w:val="0F691573"/>
    <w:rsid w:val="0F6FA18E"/>
    <w:rsid w:val="1251A786"/>
    <w:rsid w:val="12982B5C"/>
    <w:rsid w:val="14502C36"/>
    <w:rsid w:val="146D1666"/>
    <w:rsid w:val="146D28AD"/>
    <w:rsid w:val="15AD3758"/>
    <w:rsid w:val="15D3F960"/>
    <w:rsid w:val="169EF5C8"/>
    <w:rsid w:val="174D7249"/>
    <w:rsid w:val="19039326"/>
    <w:rsid w:val="1B300431"/>
    <w:rsid w:val="1BE1E4E6"/>
    <w:rsid w:val="1C5DC8E4"/>
    <w:rsid w:val="1CC5C9B0"/>
    <w:rsid w:val="1E87BA08"/>
    <w:rsid w:val="1F21B6F3"/>
    <w:rsid w:val="20C4C367"/>
    <w:rsid w:val="2105B7A9"/>
    <w:rsid w:val="265F76AB"/>
    <w:rsid w:val="277F0E57"/>
    <w:rsid w:val="2897BD13"/>
    <w:rsid w:val="2994FEA3"/>
    <w:rsid w:val="2A300975"/>
    <w:rsid w:val="2A98AF41"/>
    <w:rsid w:val="2BA71B11"/>
    <w:rsid w:val="2C676FAB"/>
    <w:rsid w:val="2DD349E1"/>
    <w:rsid w:val="30F5D30F"/>
    <w:rsid w:val="323A9D62"/>
    <w:rsid w:val="325A73C2"/>
    <w:rsid w:val="32E53F91"/>
    <w:rsid w:val="3362BFCA"/>
    <w:rsid w:val="356F3064"/>
    <w:rsid w:val="3640BDB9"/>
    <w:rsid w:val="3721DD25"/>
    <w:rsid w:val="372F1D10"/>
    <w:rsid w:val="37383C8D"/>
    <w:rsid w:val="3820CB39"/>
    <w:rsid w:val="39333DFC"/>
    <w:rsid w:val="3ACEDFFD"/>
    <w:rsid w:val="3B64D35A"/>
    <w:rsid w:val="3E090AFE"/>
    <w:rsid w:val="3EC9E388"/>
    <w:rsid w:val="3F6D449D"/>
    <w:rsid w:val="3FD32EC8"/>
    <w:rsid w:val="40BC3CF2"/>
    <w:rsid w:val="421DC367"/>
    <w:rsid w:val="422DC9BA"/>
    <w:rsid w:val="44E252BB"/>
    <w:rsid w:val="45308D8F"/>
    <w:rsid w:val="453E6D76"/>
    <w:rsid w:val="45761AA5"/>
    <w:rsid w:val="45AA2B91"/>
    <w:rsid w:val="4DE045B5"/>
    <w:rsid w:val="50AD13A8"/>
    <w:rsid w:val="512E9225"/>
    <w:rsid w:val="517411E8"/>
    <w:rsid w:val="51A0CBB4"/>
    <w:rsid w:val="5425B6F4"/>
    <w:rsid w:val="55B5B3F8"/>
    <w:rsid w:val="572BDD9F"/>
    <w:rsid w:val="57798080"/>
    <w:rsid w:val="5BE85AC2"/>
    <w:rsid w:val="5D6790A3"/>
    <w:rsid w:val="5E3EC170"/>
    <w:rsid w:val="60A48B0F"/>
    <w:rsid w:val="64A51960"/>
    <w:rsid w:val="64C42FDB"/>
    <w:rsid w:val="67E53A53"/>
    <w:rsid w:val="67FE4215"/>
    <w:rsid w:val="68599940"/>
    <w:rsid w:val="68927AA1"/>
    <w:rsid w:val="69342431"/>
    <w:rsid w:val="6981AA08"/>
    <w:rsid w:val="69E730A1"/>
    <w:rsid w:val="69FBAED2"/>
    <w:rsid w:val="6A13F98C"/>
    <w:rsid w:val="6BA94672"/>
    <w:rsid w:val="6C66C112"/>
    <w:rsid w:val="6C9EF4BE"/>
    <w:rsid w:val="6E004E5F"/>
    <w:rsid w:val="700EE2DD"/>
    <w:rsid w:val="7199880C"/>
    <w:rsid w:val="71A6A576"/>
    <w:rsid w:val="726C6D45"/>
    <w:rsid w:val="72F3DA06"/>
    <w:rsid w:val="75D54ACF"/>
    <w:rsid w:val="77C9DC5D"/>
    <w:rsid w:val="790128CB"/>
    <w:rsid w:val="7A314F8C"/>
    <w:rsid w:val="7CA03D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92B8C0"/>
  <w15:docId w15:val="{190EA12E-A800-4F7D-9AFA-4BE5F399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qFormat="1"/>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link w:val="Heading4Char"/>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91B67"/>
    <w:rPr>
      <w:color w:val="188A79" w:themeColor="accent1" w:themeShade="BF"/>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Caption"/>
    <w:link w:val="HeadingTableChar"/>
    <w:qFormat/>
    <w:rsid w:val="002F680D"/>
    <w:pPr>
      <w:numPr>
        <w:numId w:val="21"/>
      </w:numPr>
      <w:tabs>
        <w:tab w:val="left" w:pos="1021"/>
      </w:tabs>
      <w:ind w:left="360"/>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746ABF"/>
    <w:rPr>
      <w:rFonts w:asciiTheme="minorHAnsi" w:hAnsiTheme="minorHAnsi"/>
      <w:b/>
      <w:iCs/>
      <w:color w:val="000000" w:themeColor="text2"/>
      <w:szCs w:val="18"/>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character" w:customStyle="1" w:styleId="Heading4Char">
    <w:name w:val="Heading 4 Char"/>
    <w:basedOn w:val="DefaultParagraphFont"/>
    <w:link w:val="Heading4"/>
    <w:uiPriority w:val="4"/>
    <w:rsid w:val="00721432"/>
    <w:rPr>
      <w:rFonts w:asciiTheme="majorHAnsi" w:hAnsiTheme="majorHAnsi"/>
      <w:b/>
      <w:color w:val="117479" w:themeColor="accent2"/>
      <w:szCs w:val="24"/>
    </w:rPr>
  </w:style>
  <w:style w:type="paragraph" w:styleId="Caption">
    <w:name w:val="caption"/>
    <w:aliases w:val="Figure"/>
    <w:basedOn w:val="Normal"/>
    <w:next w:val="Normal"/>
    <w:uiPriority w:val="99"/>
    <w:unhideWhenUsed/>
    <w:qFormat/>
    <w:rsid w:val="00746ABF"/>
    <w:pPr>
      <w:spacing w:after="200" w:line="240" w:lineRule="auto"/>
    </w:pPr>
    <w:rPr>
      <w:b/>
      <w:iCs/>
      <w:color w:val="000000" w:themeColor="text2"/>
      <w:szCs w:val="18"/>
    </w:rPr>
  </w:style>
  <w:style w:type="character" w:customStyle="1" w:styleId="ListParagraphChar">
    <w:name w:val="List Paragraph Char"/>
    <w:basedOn w:val="DefaultParagraphFont"/>
    <w:link w:val="ListParagraph"/>
    <w:uiPriority w:val="34"/>
    <w:rsid w:val="003B5AF3"/>
    <w:rPr>
      <w:rFonts w:asciiTheme="minorHAnsi" w:hAnsiTheme="minorHAnsi"/>
      <w:szCs w:val="24"/>
    </w:rPr>
  </w:style>
  <w:style w:type="table" w:customStyle="1" w:styleId="QQuestionTable">
    <w:name w:val="QQuestionTable"/>
    <w:uiPriority w:val="99"/>
    <w:qFormat/>
    <w:rsid w:val="00EA6131"/>
    <w:pPr>
      <w:jc w:val="center"/>
    </w:pPr>
    <w:rPr>
      <w:rFonts w:asciiTheme="minorHAnsi" w:eastAsiaTheme="minorEastAsia" w:hAnsiTheme="minorHAnsi" w:cstheme="minorBidi"/>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EA6131"/>
    <w:pPr>
      <w:numPr>
        <w:numId w:val="27"/>
      </w:numPr>
    </w:pPr>
  </w:style>
  <w:style w:type="paragraph" w:customStyle="1" w:styleId="QuestionSeparator">
    <w:name w:val="QuestionSeparator"/>
    <w:basedOn w:val="Normal"/>
    <w:qFormat/>
    <w:rsid w:val="00EA6131"/>
    <w:pPr>
      <w:pBdr>
        <w:top w:val="dashed" w:sz="8" w:space="0" w:color="CCCCCC"/>
      </w:pBdr>
      <w:spacing w:before="120" w:after="120" w:line="120" w:lineRule="auto"/>
    </w:pPr>
    <w:rPr>
      <w:rFonts w:eastAsiaTheme="minorEastAsia" w:cstheme="minorBidi"/>
      <w:sz w:val="22"/>
      <w:szCs w:val="22"/>
      <w:lang w:val="en-US" w:eastAsia="en-US"/>
    </w:rPr>
  </w:style>
  <w:style w:type="paragraph" w:customStyle="1" w:styleId="TextEntryLine">
    <w:name w:val="TextEntryLine"/>
    <w:basedOn w:val="Normal"/>
    <w:qFormat/>
    <w:rsid w:val="00EA6131"/>
    <w:pPr>
      <w:spacing w:before="240" w:after="0" w:line="240" w:lineRule="auto"/>
    </w:pPr>
    <w:rPr>
      <w:rFonts w:eastAsiaTheme="minorEastAsia" w:cstheme="minorBidi"/>
      <w:sz w:val="22"/>
      <w:szCs w:val="22"/>
      <w:lang w:val="en-US" w:eastAsia="en-US"/>
    </w:rPr>
  </w:style>
  <w:style w:type="paragraph" w:styleId="Revision">
    <w:name w:val="Revision"/>
    <w:hidden/>
    <w:uiPriority w:val="99"/>
    <w:semiHidden/>
    <w:rsid w:val="00B44436"/>
    <w:rPr>
      <w:rFonts w:asciiTheme="minorHAnsi" w:hAnsiTheme="minorHAnsi"/>
      <w:szCs w:val="24"/>
    </w:rPr>
  </w:style>
  <w:style w:type="character" w:customStyle="1" w:styleId="HeaderChar">
    <w:name w:val="Header Char"/>
    <w:basedOn w:val="DefaultParagraphFont"/>
    <w:link w:val="Header"/>
    <w:uiPriority w:val="99"/>
    <w:rsid w:val="007F473B"/>
    <w:rPr>
      <w:rFonts w:asciiTheme="minorHAnsi" w:hAnsiTheme="minorHAnsi"/>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32338557">
      <w:bodyDiv w:val="1"/>
      <w:marLeft w:val="0"/>
      <w:marRight w:val="0"/>
      <w:marTop w:val="0"/>
      <w:marBottom w:val="0"/>
      <w:divBdr>
        <w:top w:val="none" w:sz="0" w:space="0" w:color="auto"/>
        <w:left w:val="none" w:sz="0" w:space="0" w:color="auto"/>
        <w:bottom w:val="none" w:sz="0" w:space="0" w:color="auto"/>
        <w:right w:val="none" w:sz="0" w:space="0" w:color="auto"/>
      </w:divBdr>
    </w:div>
    <w:div w:id="883250223">
      <w:bodyDiv w:val="1"/>
      <w:marLeft w:val="0"/>
      <w:marRight w:val="0"/>
      <w:marTop w:val="0"/>
      <w:marBottom w:val="0"/>
      <w:divBdr>
        <w:top w:val="none" w:sz="0" w:space="0" w:color="auto"/>
        <w:left w:val="none" w:sz="0" w:space="0" w:color="auto"/>
        <w:bottom w:val="none" w:sz="0" w:space="0" w:color="auto"/>
        <w:right w:val="none" w:sz="0" w:space="0" w:color="auto"/>
      </w:divBdr>
    </w:div>
    <w:div w:id="1138957441">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74591152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2738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socialscienceregistry.org/trials/13173" TargetMode="External"/><Relationship Id="rId26" Type="http://schemas.openxmlformats.org/officeDocument/2006/relationships/image" Target="media/image12.png"/><Relationship Id="rId39" Type="http://schemas.openxmlformats.org/officeDocument/2006/relationships/hyperlink" Target="https://www.wgea.gov.au/publications/gender-segregation-in-australias-workforce"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pmc.gov.au/cca" TargetMode="External"/><Relationship Id="rId47" Type="http://schemas.openxmlformats.org/officeDocument/2006/relationships/hyperlink" Target="mailto:media@pmc.gov.au" TargetMode="External"/><Relationship Id="rId50"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anrows.org.au/publication/migrant-and-refugee-women-in-australia-a-study-of-sexual-harassment-in-the-workplace/" TargetMode="External"/><Relationship Id="rId46" Type="http://schemas.openxmlformats.org/officeDocument/2006/relationships/hyperlink" Target="mailto:beta@pmc.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pn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creativecommons.org/licenses/by/4.0/" TargetMode="External"/><Relationship Id="rId45" Type="http://schemas.openxmlformats.org/officeDocument/2006/relationships/image" Target="media/image25.png"/><Relationship Id="rId53"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3.xml"/><Relationship Id="rId48" Type="http://schemas.openxmlformats.org/officeDocument/2006/relationships/hyperlink" Target="http://www.pmc.gov.au/beta" TargetMode="External"/><Relationship Id="rId8" Type="http://schemas.openxmlformats.org/officeDocument/2006/relationships/settings" Target="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DOC24-171511</ShareHubID>
    <Comments xmlns="http://schemas.microsoft.com/sharepoint/v3" xsi:nil="true"/>
    <TaxCatchAll xmlns="d0dfa800-9ef0-44cb-8a12-633e29de1e0b">
      <Value>4</Value>
    </TaxCatchAll>
    <lcf76f155ced4ddcb4097134ff3c332f xmlns="ce530a30-1469-477c-a42f-e412a5d2cfe7">
      <Terms xmlns="http://schemas.microsoft.com/office/infopath/2007/PartnerControls"/>
    </lcf76f155ced4ddcb4097134ff3c332f>
    <TaxKeywordTaxHTField xmlns="d0dfa800-9ef0-44cb-8a12-633e29de1e0b">
      <Terms xmlns="http://schemas.microsoft.com/office/infopath/2007/PartnerControls"/>
    </TaxKeywordTaxHTField>
    <_dlc_DocId xmlns="d0dfa800-9ef0-44cb-8a12-633e29de1e0b">PMCdoc-213507164-58775</_dlc_DocId>
    <_dlc_DocIdPersistId xmlns="d0dfa800-9ef0-44cb-8a12-633e29de1e0b">false</_dlc_DocIdPersistId>
    <_dlc_DocIdUrl xmlns="d0dfa800-9ef0-44cb-8a12-633e29de1e0b">
      <Url>https://pmc01.sharepoint.com/sites/pmc-ms-cb/_layouts/15/DocIdRedir.aspx?ID=PMCdoc-213507164-58775</Url>
      <Description>PMCdoc-213507164-58775</Description>
    </_dlc_DocIdUr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57397adc744e7436a08adf0d9d67afac">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9ad62d7b73460f0f4dc353dffe08b559"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readOnly="false"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03F95-846D-437E-AF27-3ACAAACD716B}">
  <ds:schemaRefs>
    <ds:schemaRef ds:uri="http://schemas.microsoft.com/sharepoint/events"/>
  </ds:schemaRefs>
</ds:datastoreItem>
</file>

<file path=customXml/itemProps2.xml><?xml version="1.0" encoding="utf-8"?>
<ds:datastoreItem xmlns:ds="http://schemas.openxmlformats.org/officeDocument/2006/customXml" ds:itemID="{F6D4CC1A-1FCC-46CA-B7B5-EAF3FB16A9C2}">
  <ds:schemaRefs>
    <ds:schemaRef ds:uri="d0dfa800-9ef0-44cb-8a12-633e29de1e0b"/>
    <ds:schemaRef ds:uri="http://purl.org/dc/terms/"/>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ce530a30-1469-477c-a42f-e412a5d2cfe7"/>
    <ds:schemaRef ds:uri="e771ab56-0c5d-40e7-b080-2686d2b89623"/>
    <ds:schemaRef ds:uri="http://www.w3.org/XML/1998/namespace"/>
    <ds:schemaRef ds:uri="http://purl.org/dc/dcmitype/"/>
  </ds:schemaRefs>
</ds:datastoreItem>
</file>

<file path=customXml/itemProps3.xml><?xml version="1.0" encoding="utf-8"?>
<ds:datastoreItem xmlns:ds="http://schemas.openxmlformats.org/officeDocument/2006/customXml" ds:itemID="{9A639D24-21E3-4D03-B2BC-E6BED9884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5.xml><?xml version="1.0" encoding="utf-8"?>
<ds:datastoreItem xmlns:ds="http://schemas.openxmlformats.org/officeDocument/2006/customXml" ds:itemID="{9C8F63B9-332E-43B2-9534-2C5B08C40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27</Pages>
  <Words>4840</Words>
  <Characters>28179</Characters>
  <Application>Microsoft Office Word</Application>
  <DocSecurity>0</DocSecurity>
  <Lines>503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and Domestic Violence Leave Survey Experiment: Technical Report</dc:title>
  <dc:subject/>
  <cp:keywords/>
  <dc:description/>
  <cp:revision>96</cp:revision>
  <dcterms:created xsi:type="dcterms:W3CDTF">2024-07-15T23:25:00Z</dcterms:created>
  <dcterms:modified xsi:type="dcterms:W3CDTF">2024-10-04T02:35:00Z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HPRMSecurityLevel">
    <vt:lpwstr>39;#OFFICIAL|11463c70-78df-4e3b-b0ff-f66cd3cb26ec</vt:lpwstr>
  </property>
  <property fmtid="{D5CDD505-2E9C-101B-9397-08002B2CF9AE}" pid="4" name="HPRMSecurityCaveat">
    <vt:lpwstr/>
  </property>
  <property fmtid="{D5CDD505-2E9C-101B-9397-08002B2CF9AE}" pid="5" name="ESearchTags">
    <vt:lpwstr>12;#Cabinet|84cba657-17c1-4642-9e59-a0df180c2be5</vt:lpwstr>
  </property>
  <property fmtid="{D5CDD505-2E9C-101B-9397-08002B2CF9AE}" pid="6" name="PMC.ESearch.TagGeneratedTime">
    <vt:lpwstr>2022-05-24T12:12:44</vt:lpwstr>
  </property>
  <property fmtid="{D5CDD505-2E9C-101B-9397-08002B2CF9AE}" pid="7" name="TaxKeyword">
    <vt:lpwstr/>
  </property>
  <property fmtid="{D5CDD505-2E9C-101B-9397-08002B2CF9AE}" pid="8" name="FolderID">
    <vt:lpwstr/>
  </property>
  <property fmtid="{D5CDD505-2E9C-101B-9397-08002B2CF9AE}" pid="9" name="xd_ProgID">
    <vt:lpwstr/>
  </property>
  <property fmtid="{D5CDD505-2E9C-101B-9397-08002B2CF9AE}" pid="10" name="MediaServiceImageTags">
    <vt:lpwstr/>
  </property>
  <property fmtid="{D5CDD505-2E9C-101B-9397-08002B2CF9AE}" pid="11" name="SecurityClassification">
    <vt:lpwstr>4;#OFFICIAL|9e0ec9cb-4e7f-4d4a-bd32-1ee7525c6d87</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GUID">
    <vt:lpwstr>f40ebaa2-8eda-4e82-88e7-95a83860cb25</vt:lpwstr>
  </property>
  <property fmtid="{D5CDD505-2E9C-101B-9397-08002B2CF9AE}" pid="18" name="SharedWithUsers">
    <vt:lpwstr/>
  </property>
  <property fmtid="{D5CDD505-2E9C-101B-9397-08002B2CF9AE}" pid="19" name="InformationMarker">
    <vt:lpwstr/>
  </property>
  <property fmtid="{D5CDD505-2E9C-101B-9397-08002B2CF9AE}" pid="20" name="PMCNotes">
    <vt:lpwstr/>
  </property>
  <property fmtid="{D5CDD505-2E9C-101B-9397-08002B2CF9AE}" pid="21" name="jd1c641577414dfdab1686c9d5d0dbd0">
    <vt:lpwstr/>
  </property>
  <property fmtid="{D5CDD505-2E9C-101B-9397-08002B2CF9AE}" pid="22" name="_dlc_DocIdItemGuid">
    <vt:lpwstr>3a36446a-11f8-48ba-a32f-454bd84dbac5</vt:lpwstr>
  </property>
</Properties>
</file>