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6D3782" w14:textId="52E5B7F5" w:rsidR="00E77B59" w:rsidRPr="001920C7" w:rsidRDefault="001920C7" w:rsidP="001920C7">
      <w:pPr>
        <w:pStyle w:val="Heading1"/>
        <w:spacing w:before="9360" w:after="100" w:afterAutospacing="1"/>
        <w:ind w:left="4365"/>
        <w:rPr>
          <w:sz w:val="60"/>
          <w:szCs w:val="60"/>
        </w:rPr>
      </w:pPr>
      <w:bookmarkStart w:id="0" w:name="_Toc432437392"/>
      <w:r>
        <w:rPr>
          <w:noProof/>
        </w:rPr>
        <w:drawing>
          <wp:anchor distT="0" distB="0" distL="114300" distR="114300" simplePos="0" relativeHeight="251658242" behindDoc="0" locked="0" layoutInCell="1" allowOverlap="1" wp14:anchorId="445C2C3D" wp14:editId="58800886">
            <wp:simplePos x="0" y="0"/>
            <wp:positionH relativeFrom="margin">
              <wp:posOffset>171450</wp:posOffset>
            </wp:positionH>
            <wp:positionV relativeFrom="paragraph">
              <wp:posOffset>759460</wp:posOffset>
            </wp:positionV>
            <wp:extent cx="6171391" cy="4644000"/>
            <wp:effectExtent l="0" t="0" r="1270" b="4445"/>
            <wp:wrapNone/>
            <wp:docPr id="25" name="Picture 2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3403\Downloads\pexels-timmossholder-942316.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171391" cy="464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44A1" w:rsidRPr="001920C7">
        <w:rPr>
          <w:sz w:val="60"/>
          <w:szCs w:val="60"/>
        </w:rPr>
        <w:t xml:space="preserve">Empowered </w:t>
      </w:r>
      <w:r w:rsidR="007444A1" w:rsidRPr="001920C7">
        <w:rPr>
          <w:sz w:val="60"/>
          <w:szCs w:val="60"/>
        </w:rPr>
        <w:br/>
        <w:t>to switch</w:t>
      </w:r>
    </w:p>
    <w:p w14:paraId="63F75EAD" w14:textId="37F9E581" w:rsidR="00E77B59" w:rsidRPr="008C5EFF" w:rsidRDefault="007444A1" w:rsidP="0092033E">
      <w:pPr>
        <w:spacing w:after="40"/>
        <w:ind w:left="4395"/>
        <w:rPr>
          <w:rFonts w:asciiTheme="majorHAnsi" w:hAnsiTheme="majorHAnsi" w:cstheme="majorHAnsi"/>
          <w:b/>
          <w:sz w:val="32"/>
          <w:szCs w:val="32"/>
        </w:rPr>
      </w:pPr>
      <w:r>
        <w:rPr>
          <w:rFonts w:asciiTheme="majorHAnsi" w:hAnsiTheme="majorHAnsi" w:cstheme="majorHAnsi"/>
          <w:b/>
          <w:sz w:val="32"/>
          <w:szCs w:val="32"/>
        </w:rPr>
        <w:t xml:space="preserve">A partnership to improve the </w:t>
      </w:r>
      <w:r w:rsidR="006953FA">
        <w:rPr>
          <w:rFonts w:asciiTheme="majorHAnsi" w:hAnsiTheme="majorHAnsi" w:cstheme="majorHAnsi"/>
          <w:b/>
          <w:sz w:val="32"/>
          <w:szCs w:val="32"/>
        </w:rPr>
        <w:br/>
      </w:r>
      <w:r w:rsidR="00ED0ADD" w:rsidRPr="00ED0ADD">
        <w:rPr>
          <w:rFonts w:asciiTheme="majorHAnsi" w:hAnsiTheme="majorHAnsi" w:cstheme="majorHAnsi"/>
          <w:b/>
          <w:i/>
          <w:sz w:val="32"/>
          <w:szCs w:val="32"/>
        </w:rPr>
        <w:t>Energy Made Easy</w:t>
      </w:r>
      <w:r w:rsidR="0092033E">
        <w:rPr>
          <w:rFonts w:asciiTheme="majorHAnsi" w:hAnsiTheme="majorHAnsi" w:cstheme="majorHAnsi"/>
          <w:b/>
          <w:sz w:val="32"/>
          <w:szCs w:val="32"/>
        </w:rPr>
        <w:t xml:space="preserve"> comparison website</w:t>
      </w:r>
    </w:p>
    <w:p w14:paraId="23F7F4A2" w14:textId="3CB7A1E2" w:rsidR="00E77B59" w:rsidRPr="0092033E" w:rsidRDefault="003420B5" w:rsidP="004822D6">
      <w:pPr>
        <w:spacing w:before="240" w:after="40"/>
        <w:ind w:left="4395"/>
        <w:rPr>
          <w:rFonts w:asciiTheme="majorHAnsi" w:hAnsiTheme="majorHAnsi" w:cstheme="majorHAnsi"/>
          <w:b/>
          <w:color w:val="2158A9" w:themeColor="accent2"/>
          <w:sz w:val="24"/>
        </w:rPr>
        <w:sectPr w:rsidR="00E77B59" w:rsidRPr="0092033E" w:rsidSect="008D551E">
          <w:headerReference w:type="default" r:id="rId13"/>
          <w:footerReference w:type="default" r:id="rId14"/>
          <w:pgSz w:w="11906" w:h="16838" w:code="9"/>
          <w:pgMar w:top="2126" w:right="720" w:bottom="567" w:left="720" w:header="567" w:footer="567" w:gutter="0"/>
          <w:pgNumType w:start="0"/>
          <w:cols w:space="708"/>
          <w:docGrid w:linePitch="360"/>
        </w:sectPr>
      </w:pPr>
      <w:r>
        <w:rPr>
          <w:rFonts w:asciiTheme="majorHAnsi" w:hAnsiTheme="majorHAnsi" w:cstheme="majorHAnsi"/>
          <w:b/>
          <w:color w:val="2158A9" w:themeColor="accent2"/>
          <w:sz w:val="24"/>
        </w:rPr>
        <w:t>August</w:t>
      </w:r>
      <w:r w:rsidR="00DE1072">
        <w:rPr>
          <w:rFonts w:asciiTheme="majorHAnsi" w:hAnsiTheme="majorHAnsi" w:cstheme="majorHAnsi"/>
          <w:b/>
          <w:color w:val="2158A9" w:themeColor="accent2"/>
          <w:sz w:val="24"/>
        </w:rPr>
        <w:t xml:space="preserve"> 2025</w:t>
      </w:r>
    </w:p>
    <w:p w14:paraId="7A709FE6" w14:textId="77777777" w:rsidR="00EB0609" w:rsidRPr="00E72621" w:rsidRDefault="00EB0609" w:rsidP="00D96485">
      <w:pPr>
        <w:spacing w:before="2000" w:after="120"/>
        <w:outlineLvl w:val="1"/>
        <w:rPr>
          <w:b/>
          <w:color w:val="2158A9" w:themeColor="accent2"/>
          <w:sz w:val="22"/>
        </w:rPr>
      </w:pPr>
      <w:r w:rsidRPr="00E72621">
        <w:rPr>
          <w:b/>
          <w:color w:val="2158A9" w:themeColor="accent2"/>
          <w:sz w:val="22"/>
        </w:rPr>
        <w:lastRenderedPageBreak/>
        <w:t>Other uses</w:t>
      </w:r>
    </w:p>
    <w:p w14:paraId="4DB32B79" w14:textId="77777777" w:rsidR="00EB0609" w:rsidRDefault="00EB0609" w:rsidP="00E72621">
      <w:pPr>
        <w:spacing w:before="120" w:after="120"/>
      </w:pPr>
      <w:r>
        <w:t>Enquiries regarding this license and any other use of this document are welcome at:</w:t>
      </w:r>
    </w:p>
    <w:p w14:paraId="6D97909A" w14:textId="77777777" w:rsidR="00EB0609" w:rsidRDefault="00EB0609" w:rsidP="00E72621">
      <w:pPr>
        <w:spacing w:after="0"/>
      </w:pPr>
      <w:r>
        <w:t>Managing Director</w:t>
      </w:r>
    </w:p>
    <w:p w14:paraId="6A93675E" w14:textId="77777777" w:rsidR="00EB0609" w:rsidRDefault="00EB0609" w:rsidP="00E72621">
      <w:pPr>
        <w:spacing w:after="0"/>
      </w:pPr>
      <w:r>
        <w:t>Behavioural Economics Team of the Australian Government</w:t>
      </w:r>
    </w:p>
    <w:p w14:paraId="33F17211" w14:textId="77777777" w:rsidR="00EB0609" w:rsidRDefault="00EB0609" w:rsidP="00E72621">
      <w:pPr>
        <w:spacing w:after="0"/>
      </w:pPr>
      <w:r>
        <w:t>Department of the Prime Minister and Cabinet</w:t>
      </w:r>
    </w:p>
    <w:p w14:paraId="50B1C5C0" w14:textId="77777777" w:rsidR="00853F8F" w:rsidRDefault="00853F8F" w:rsidP="00E72621">
      <w:pPr>
        <w:spacing w:after="0"/>
      </w:pPr>
      <w:r>
        <w:t>1 National Circuit</w:t>
      </w:r>
    </w:p>
    <w:p w14:paraId="4EFC2CD8" w14:textId="77777777" w:rsidR="00EB0609" w:rsidRDefault="00EB0609" w:rsidP="00E72621">
      <w:pPr>
        <w:spacing w:after="0"/>
      </w:pPr>
      <w:r>
        <w:t>Barton ACT 2600</w:t>
      </w:r>
    </w:p>
    <w:p w14:paraId="3B5128FF" w14:textId="77777777" w:rsidR="00EB0609" w:rsidRDefault="00EB0609" w:rsidP="00E72621">
      <w:pPr>
        <w:spacing w:after="0"/>
      </w:pPr>
      <w:r>
        <w:t xml:space="preserve">Email: </w:t>
      </w:r>
      <w:hyperlink r:id="rId15" w:history="1">
        <w:r w:rsidR="000A1B0D" w:rsidRPr="0092033E">
          <w:rPr>
            <w:rStyle w:val="Hyperlink"/>
            <w:color w:val="2158A9" w:themeColor="accent2"/>
          </w:rPr>
          <w:t>beta@pmc.gov.au</w:t>
        </w:r>
      </w:hyperlink>
      <w:r w:rsidR="000A1B0D" w:rsidRPr="0092033E">
        <w:rPr>
          <w:color w:val="2158A9" w:themeColor="accent2"/>
        </w:rPr>
        <w:t xml:space="preserve"> </w:t>
      </w:r>
    </w:p>
    <w:p w14:paraId="339E7FE6" w14:textId="628E2B57" w:rsidR="00EB0609" w:rsidRDefault="00EB0609" w:rsidP="00E72621">
      <w:pPr>
        <w:spacing w:before="120" w:after="120"/>
      </w:pPr>
      <w:r>
        <w:t>The views expressed in this paper are those of the authors and do not necessarily reflect those of the Department of the Prime Minister and Cabinet or the Australian Government.</w:t>
      </w:r>
    </w:p>
    <w:p w14:paraId="3B464A23" w14:textId="77777777" w:rsidR="00D96485" w:rsidRPr="007C0542" w:rsidRDefault="00D96485" w:rsidP="00D96485">
      <w:pPr>
        <w:pStyle w:val="BackPageH2"/>
        <w:rPr>
          <w:rStyle w:val="Hyperlink"/>
          <w:color w:val="2158A9" w:themeColor="accent2"/>
        </w:rPr>
      </w:pPr>
      <w:r>
        <w:rPr>
          <w:rStyle w:val="Hyperlink"/>
        </w:rPr>
        <w:fldChar w:fldCharType="begin"/>
      </w:r>
      <w:r>
        <w:rPr>
          <w:rStyle w:val="Hyperlink"/>
        </w:rPr>
        <w:instrText xml:space="preserve"> HYPERLINK "https://youropinion.au1.qualtrics.com/jfe/form/SV_3KTVLrC3vE1cqp0?document=empowered" </w:instrText>
      </w:r>
      <w:r>
        <w:rPr>
          <w:rStyle w:val="Hyperlink"/>
        </w:rPr>
        <w:fldChar w:fldCharType="separate"/>
      </w:r>
      <w:r w:rsidRPr="007C0542">
        <w:rPr>
          <w:rStyle w:val="Hyperlink"/>
          <w:color w:val="2158A9" w:themeColor="accent2"/>
        </w:rPr>
        <w:t>Tell us how you’re using this report</w:t>
      </w:r>
    </w:p>
    <w:p w14:paraId="1296E786" w14:textId="77777777" w:rsidR="00D96485" w:rsidRPr="00E95CB7" w:rsidRDefault="00D96485" w:rsidP="00B77216">
      <w:pPr>
        <w:pStyle w:val="BackPageH2"/>
        <w:jc w:val="both"/>
        <w:rPr>
          <w:color w:val="6496E0" w:themeColor="accent2" w:themeTint="99"/>
          <w:u w:val="single"/>
        </w:rPr>
      </w:pPr>
      <w:r w:rsidRPr="00E95CB7">
        <w:rPr>
          <w:rStyle w:val="Hyperlink"/>
          <w:noProof/>
        </w:rPr>
        <w:drawing>
          <wp:inline distT="0" distB="0" distL="0" distR="0" wp14:anchorId="423CCC1B" wp14:editId="0CDD579B">
            <wp:extent cx="1090160" cy="1090160"/>
            <wp:effectExtent l="0" t="0" r="0" b="0"/>
            <wp:docPr id="17" name="Picture 17" descr="Picture of QR code to tell us how you're using thi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3403\Downloads\qrcode_youropinion.au1.qualtrics.com.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090160" cy="1090160"/>
                    </a:xfrm>
                    <a:prstGeom prst="rect">
                      <a:avLst/>
                    </a:prstGeom>
                    <a:noFill/>
                    <a:ln>
                      <a:noFill/>
                    </a:ln>
                  </pic:spPr>
                </pic:pic>
              </a:graphicData>
            </a:graphic>
          </wp:inline>
        </w:drawing>
      </w:r>
      <w:r>
        <w:rPr>
          <w:rStyle w:val="Hyperlink"/>
        </w:rPr>
        <w:fldChar w:fldCharType="end"/>
      </w:r>
    </w:p>
    <w:p w14:paraId="629D7C69" w14:textId="77777777" w:rsidR="00EB0609" w:rsidRPr="00E72621" w:rsidRDefault="00EB0609" w:rsidP="00E72621">
      <w:pPr>
        <w:spacing w:before="240" w:after="120"/>
        <w:outlineLvl w:val="1"/>
        <w:rPr>
          <w:b/>
          <w:color w:val="2158A9" w:themeColor="accent2"/>
          <w:sz w:val="22"/>
        </w:rPr>
      </w:pPr>
      <w:r w:rsidRPr="00E72621">
        <w:rPr>
          <w:b/>
          <w:color w:val="2158A9" w:themeColor="accent2"/>
          <w:sz w:val="22"/>
        </w:rPr>
        <w:t>Research team</w:t>
      </w:r>
    </w:p>
    <w:p w14:paraId="4EBAAA86" w14:textId="7612ACCF" w:rsidR="00EB0609" w:rsidRDefault="00855FD7" w:rsidP="00E72621">
      <w:pPr>
        <w:spacing w:before="120" w:after="120"/>
      </w:pPr>
      <w:r>
        <w:t xml:space="preserve">Laura Bennetts Kneebone </w:t>
      </w:r>
      <w:r w:rsidR="00EB0609">
        <w:t xml:space="preserve">was the principal investigator for this project. Other (current and former) staff who contributed to the report were: </w:t>
      </w:r>
      <w:r>
        <w:t>Micha</w:t>
      </w:r>
      <w:r w:rsidR="00E6381E">
        <w:t xml:space="preserve">el Ridgway, Martin Brumpton, </w:t>
      </w:r>
      <w:r w:rsidR="0000617C">
        <w:t xml:space="preserve">Parima Vyas, </w:t>
      </w:r>
      <w:r w:rsidR="00BE35DC">
        <w:t xml:space="preserve">Ruisi Chen, </w:t>
      </w:r>
      <w:r w:rsidR="00E6381E">
        <w:t>Harry Greenwell and Jacqui Brewer.</w:t>
      </w:r>
    </w:p>
    <w:p w14:paraId="6A2CC379" w14:textId="77777777" w:rsidR="00EB0609" w:rsidRPr="00E72621" w:rsidRDefault="00EB0609" w:rsidP="00E72621">
      <w:pPr>
        <w:spacing w:before="240" w:after="120"/>
        <w:outlineLvl w:val="1"/>
        <w:rPr>
          <w:b/>
          <w:color w:val="2158A9" w:themeColor="accent2"/>
          <w:sz w:val="22"/>
        </w:rPr>
      </w:pPr>
      <w:r w:rsidRPr="00E72621">
        <w:rPr>
          <w:b/>
          <w:color w:val="2158A9" w:themeColor="accent2"/>
          <w:sz w:val="22"/>
        </w:rPr>
        <w:t>Acknowledgments</w:t>
      </w:r>
    </w:p>
    <w:p w14:paraId="5253EF45" w14:textId="7B52E3B4" w:rsidR="00EB0609" w:rsidRDefault="00EB0609" w:rsidP="00E72621">
      <w:pPr>
        <w:spacing w:before="120" w:after="120"/>
      </w:pPr>
      <w:r>
        <w:t xml:space="preserve">Thank you to </w:t>
      </w:r>
      <w:r w:rsidR="00855FD7">
        <w:t>Australian Energy Regulator</w:t>
      </w:r>
      <w:r>
        <w:t xml:space="preserve"> and </w:t>
      </w:r>
      <w:r w:rsidR="00855FD7">
        <w:t xml:space="preserve">Pretzel Team </w:t>
      </w:r>
      <w:r>
        <w:t xml:space="preserve">for their support and valuable contribution in making this project happen. In particular, special thanks to </w:t>
      </w:r>
      <w:r w:rsidR="00855FD7">
        <w:t>Jon Milne, Ti</w:t>
      </w:r>
      <w:r w:rsidR="00E86F06">
        <w:t xml:space="preserve">ger Hu, Victor Cabello, Benita Botha and </w:t>
      </w:r>
      <w:r w:rsidR="00855FD7">
        <w:t xml:space="preserve">Peter Sahlani </w:t>
      </w:r>
      <w:r>
        <w:t>for their work on this project.</w:t>
      </w:r>
    </w:p>
    <w:p w14:paraId="790EFCA2" w14:textId="43F31824" w:rsidR="00EB0609" w:rsidRDefault="00EB0609" w:rsidP="00E72621">
      <w:pPr>
        <w:spacing w:before="120" w:after="120"/>
      </w:pPr>
      <w:r>
        <w:t xml:space="preserve">The </w:t>
      </w:r>
      <w:r w:rsidR="00357E47">
        <w:t>two</w:t>
      </w:r>
      <w:r w:rsidR="00D10E29">
        <w:t xml:space="preserve"> survey experiments discussed in this report were</w:t>
      </w:r>
      <w:r>
        <w:t xml:space="preserve"> pre-registered on the American Economic Association registry:</w:t>
      </w:r>
    </w:p>
    <w:p w14:paraId="442586D4" w14:textId="3E687A75" w:rsidR="00D96485" w:rsidRDefault="00D26AAB" w:rsidP="001769F0">
      <w:pPr>
        <w:spacing w:before="120" w:after="120"/>
        <w:rPr>
          <w:color w:val="2158A9" w:themeColor="accent2"/>
          <w:u w:val="single"/>
        </w:rPr>
      </w:pPr>
      <w:hyperlink r:id="rId17" w:history="1">
        <w:r w:rsidR="002249D5" w:rsidRPr="0092033E">
          <w:rPr>
            <w:rStyle w:val="Hyperlink"/>
            <w:color w:val="2158A9" w:themeColor="accent2"/>
          </w:rPr>
          <w:t>AEA RCT Registry (socialscienceregistry.org)</w:t>
        </w:r>
      </w:hyperlink>
    </w:p>
    <w:p w14:paraId="492EBBD6" w14:textId="3D469D9D" w:rsidR="00D96485" w:rsidRDefault="00D96485" w:rsidP="00D96485">
      <w:pPr>
        <w:tabs>
          <w:tab w:val="left" w:pos="5306"/>
        </w:tabs>
      </w:pPr>
      <w:r>
        <w:tab/>
      </w:r>
    </w:p>
    <w:p w14:paraId="29BD3449" w14:textId="5B14AFCC" w:rsidR="001769F0" w:rsidRPr="00D96485" w:rsidRDefault="00D96485" w:rsidP="00D96485">
      <w:pPr>
        <w:tabs>
          <w:tab w:val="left" w:pos="5306"/>
        </w:tabs>
        <w:sectPr w:rsidR="001769F0" w:rsidRPr="00D96485" w:rsidSect="008253C4">
          <w:headerReference w:type="even" r:id="rId18"/>
          <w:headerReference w:type="default" r:id="rId19"/>
          <w:footerReference w:type="default" r:id="rId20"/>
          <w:headerReference w:type="first" r:id="rId21"/>
          <w:pgSz w:w="11906" w:h="16838" w:code="9"/>
          <w:pgMar w:top="2041" w:right="2381" w:bottom="1247" w:left="1247" w:header="720" w:footer="851" w:gutter="0"/>
          <w:cols w:space="708"/>
          <w:docGrid w:linePitch="360"/>
        </w:sectPr>
      </w:pPr>
      <w:r>
        <w:tab/>
      </w:r>
    </w:p>
    <w:p w14:paraId="6EB23B52" w14:textId="77777777" w:rsidR="001769F0" w:rsidRPr="003E6102" w:rsidRDefault="0092033E" w:rsidP="001769F0">
      <w:pPr>
        <w:pStyle w:val="TOCHeading"/>
        <w:pBdr>
          <w:bottom w:val="single" w:sz="24" w:space="21" w:color="ABDBF6" w:themeColor="accent1"/>
        </w:pBdr>
      </w:pPr>
      <w:r>
        <w:rPr>
          <w:noProof/>
        </w:rPr>
        <w:lastRenderedPageBreak/>
        <mc:AlternateContent>
          <mc:Choice Requires="wps">
            <w:drawing>
              <wp:anchor distT="0" distB="0" distL="114300" distR="114300" simplePos="0" relativeHeight="251658240" behindDoc="1" locked="0" layoutInCell="1" allowOverlap="1" wp14:anchorId="3B420119" wp14:editId="3C4DA1FB">
                <wp:simplePos x="0" y="0"/>
                <wp:positionH relativeFrom="column">
                  <wp:posOffset>-1033386</wp:posOffset>
                </wp:positionH>
                <wp:positionV relativeFrom="paragraph">
                  <wp:posOffset>-1416805</wp:posOffset>
                </wp:positionV>
                <wp:extent cx="8074325" cy="10938127"/>
                <wp:effectExtent l="0" t="0" r="22225" b="15875"/>
                <wp:wrapNone/>
                <wp:docPr id="2" name="Rectangle 2" descr="Background colour"/>
                <wp:cNvGraphicFramePr/>
                <a:graphic xmlns:a="http://schemas.openxmlformats.org/drawingml/2006/main">
                  <a:graphicData uri="http://schemas.microsoft.com/office/word/2010/wordprocessingShape">
                    <wps:wsp>
                      <wps:cNvSpPr/>
                      <wps:spPr>
                        <a:xfrm>
                          <a:off x="0" y="0"/>
                          <a:ext cx="8074325" cy="10938127"/>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B84D7" id="Rectangle 2" o:spid="_x0000_s1026" alt="Background colour" style="position:absolute;margin-left:-81.35pt;margin-top:-111.55pt;width:635.75pt;height:86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" fillcolor="#2d276c [3209]" strokecolor="#2d276c [3209]" strokeweight="2pt"/>
            </w:pict>
          </mc:Fallback>
        </mc:AlternateContent>
      </w:r>
      <w:r w:rsidR="001769F0" w:rsidRPr="003E6102">
        <w:t>Who?</w:t>
      </w:r>
    </w:p>
    <w:p w14:paraId="469A9D7E" w14:textId="77777777" w:rsidR="001769F0" w:rsidRPr="001540CB" w:rsidRDefault="001769F0" w:rsidP="001769F0">
      <w:pPr>
        <w:pStyle w:val="Heading3"/>
        <w:rPr>
          <w:color w:val="FFFFFF" w:themeColor="background1"/>
        </w:rPr>
      </w:pPr>
      <w:r w:rsidRPr="001540CB">
        <w:rPr>
          <w:color w:val="FFFFFF" w:themeColor="background1"/>
        </w:rPr>
        <w:t>Who are we?</w:t>
      </w:r>
    </w:p>
    <w:p w14:paraId="3498C969" w14:textId="77777777" w:rsidR="001769F0" w:rsidRPr="001540CB" w:rsidRDefault="001769F0" w:rsidP="001769F0">
      <w:pPr>
        <w:pStyle w:val="NormalWhite"/>
      </w:pPr>
      <w:r w:rsidRPr="001540CB">
        <w:t xml:space="preserve">We are the Behavioural Economics Team of the Australian Government, or BETA. We are the Australian Government’s first central unit applying behavioural economics to improve public policy, programs and processes. </w:t>
      </w:r>
    </w:p>
    <w:p w14:paraId="6473846E" w14:textId="77777777" w:rsidR="001769F0" w:rsidRPr="001540CB" w:rsidRDefault="001769F0" w:rsidP="001769F0">
      <w:pPr>
        <w:pStyle w:val="NormalWhite"/>
      </w:pPr>
      <w:r w:rsidRPr="001540CB">
        <w:t>We use behavioural economics, science and psychology to improve policy outcomes. Our mission is to advance the wellbeing of Australians through the application and rigorous evaluation of behavioural insights to public policy and administration.</w:t>
      </w:r>
    </w:p>
    <w:p w14:paraId="3EAC4E25" w14:textId="77777777" w:rsidR="001769F0" w:rsidRPr="001540CB" w:rsidRDefault="001769F0" w:rsidP="001769F0">
      <w:pPr>
        <w:pStyle w:val="Heading3"/>
        <w:rPr>
          <w:color w:val="FFFFFF" w:themeColor="background1"/>
        </w:rPr>
      </w:pPr>
      <w:r w:rsidRPr="001540CB">
        <w:rPr>
          <w:color w:val="FFFFFF" w:themeColor="background1"/>
        </w:rPr>
        <w:t>What is behavioural economics?</w:t>
      </w:r>
    </w:p>
    <w:p w14:paraId="733EC7A4" w14:textId="203B414E" w:rsidR="001769F0" w:rsidRPr="001540CB" w:rsidRDefault="001769F0" w:rsidP="001769F0">
      <w:pPr>
        <w:pStyle w:val="NormalWhite"/>
      </w:pPr>
      <w:r w:rsidRPr="001540CB">
        <w:t>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that conflict with our own interests.</w:t>
      </w:r>
    </w:p>
    <w:p w14:paraId="4A7DD57D" w14:textId="3A7ED159" w:rsidR="001769F0" w:rsidRPr="001540CB" w:rsidRDefault="001769F0" w:rsidP="001769F0">
      <w:pPr>
        <w:pStyle w:val="Heading3"/>
        <w:rPr>
          <w:color w:val="FFFFFF" w:themeColor="background1"/>
        </w:rPr>
      </w:pPr>
      <w:r w:rsidRPr="001540CB">
        <w:rPr>
          <w:color w:val="FFFFFF" w:themeColor="background1"/>
        </w:rPr>
        <w:t>What are behavioural insights and how are they useful for policy design?</w:t>
      </w:r>
      <w:r w:rsidR="00C263A9">
        <w:rPr>
          <w:color w:val="FFFFFF" w:themeColor="background1"/>
        </w:rPr>
        <w:t xml:space="preserve"> </w:t>
      </w:r>
    </w:p>
    <w:p w14:paraId="58740070" w14:textId="77777777" w:rsidR="001769F0" w:rsidRPr="004909C3" w:rsidRDefault="001769F0" w:rsidP="001769F0">
      <w:pPr>
        <w:pStyle w:val="NormalWhite"/>
      </w:pPr>
      <w:r w:rsidRPr="001540CB">
        <w:t xml:space="preserve">Behavioural insights apply behavioural economics concepts to the real world by drawing on empirically-tested results. These new tools can inform the design of government interventions to improve </w:t>
      </w:r>
      <w:r w:rsidRPr="004909C3">
        <w:t>the welfare of citizens.</w:t>
      </w:r>
    </w:p>
    <w:p w14:paraId="7541B555" w14:textId="479B665A" w:rsidR="001769F0" w:rsidRDefault="001769F0" w:rsidP="001769F0">
      <w:pPr>
        <w:pStyle w:val="NormalWhite"/>
      </w:pPr>
      <w:r w:rsidRPr="004909C3">
        <w:t>Rather than expect citizens to be optimal decision makers, drawing on behavioural insights ensures policy makers will design policies that go with the grain of human behaviour. For example, citizens may struggle to make choices in their own best interests, such as saving more money. Policy makers can apply behavioural insights that preserve freedom, but encourage a different choice – by helping citizens to set a plan to save regularly.</w:t>
      </w:r>
    </w:p>
    <w:p w14:paraId="2FB265F6" w14:textId="77777777" w:rsidR="001769F0" w:rsidRDefault="001769F0" w:rsidP="001769F0">
      <w:pPr>
        <w:pStyle w:val="NormalWhite"/>
      </w:pPr>
    </w:p>
    <w:bookmarkEnd w:id="0" w:displacedByCustomXml="next"/>
    <w:sdt>
      <w:sdtPr>
        <w:id w:val="667208857"/>
        <w:docPartObj>
          <w:docPartGallery w:val="Table of Contents"/>
          <w:docPartUnique/>
        </w:docPartObj>
      </w:sdtPr>
      <w:sdtEndPr>
        <w:rPr>
          <w:noProof/>
        </w:rPr>
      </w:sdtEndPr>
      <w:sdtContent>
        <w:p w14:paraId="4CE3ACE2" w14:textId="77777777" w:rsidR="001769F0" w:rsidRDefault="001769F0" w:rsidP="00164614"/>
        <w:p w14:paraId="32569EA1" w14:textId="77777777" w:rsidR="001769F0" w:rsidRDefault="001769F0" w:rsidP="00E8105F">
          <w:r>
            <w:br w:type="page"/>
          </w:r>
        </w:p>
        <w:p w14:paraId="30BA0884" w14:textId="556C2F12" w:rsidR="004909C3" w:rsidRPr="0097749C" w:rsidRDefault="0092033E" w:rsidP="003E6102">
          <w:pPr>
            <w:pStyle w:val="TOCHeading"/>
          </w:pPr>
          <w:r>
            <w:rPr>
              <w:noProof/>
            </w:rPr>
            <w:lastRenderedPageBreak/>
            <mc:AlternateContent>
              <mc:Choice Requires="wps">
                <w:drawing>
                  <wp:anchor distT="0" distB="0" distL="114300" distR="114300" simplePos="0" relativeHeight="251658241" behindDoc="1" locked="0" layoutInCell="1" allowOverlap="1" wp14:anchorId="01A0FBDC" wp14:editId="4924B059">
                    <wp:simplePos x="0" y="0"/>
                    <wp:positionH relativeFrom="column">
                      <wp:posOffset>-1035050</wp:posOffset>
                    </wp:positionH>
                    <wp:positionV relativeFrom="paragraph">
                      <wp:posOffset>-1502757</wp:posOffset>
                    </wp:positionV>
                    <wp:extent cx="8074325" cy="10938127"/>
                    <wp:effectExtent l="0" t="0" r="22225" b="15875"/>
                    <wp:wrapNone/>
                    <wp:docPr id="4" name="Rectangle 4" descr="Blue background"/>
                    <wp:cNvGraphicFramePr/>
                    <a:graphic xmlns:a="http://schemas.openxmlformats.org/drawingml/2006/main">
                      <a:graphicData uri="http://schemas.microsoft.com/office/word/2010/wordprocessingShape">
                        <wps:wsp>
                          <wps:cNvSpPr/>
                          <wps:spPr>
                            <a:xfrm>
                              <a:off x="0" y="0"/>
                              <a:ext cx="8074325" cy="10938127"/>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5ED78" id="Rectangle 4" o:spid="_x0000_s1026" alt="Blue background" style="position:absolute;margin-left:-81.5pt;margin-top:-118.35pt;width:635.75pt;height:861.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" fillcolor="#2d276c [3209]" strokecolor="#2d276c [3209]" strokeweight="2pt"/>
                </w:pict>
              </mc:Fallback>
            </mc:AlternateContent>
          </w:r>
          <w:r w:rsidR="004909C3" w:rsidRPr="0097749C">
            <w:t>Contents</w:t>
          </w:r>
        </w:p>
        <w:p w14:paraId="18EF5D35" w14:textId="40AE2E4A" w:rsidR="00E63ADA" w:rsidRDefault="003B499C">
          <w:pPr>
            <w:pStyle w:val="TOC1"/>
            <w:rPr>
              <w:rFonts w:eastAsiaTheme="minorEastAsia" w:cstheme="minorBidi"/>
              <w:b w:val="0"/>
              <w:color w:val="auto"/>
              <w:sz w:val="22"/>
              <w:szCs w:val="22"/>
            </w:rPr>
          </w:pPr>
          <w:r>
            <w:rPr>
              <w:b w:val="0"/>
            </w:rPr>
            <w:fldChar w:fldCharType="begin"/>
          </w:r>
          <w:r>
            <w:rPr>
              <w:b w:val="0"/>
            </w:rPr>
            <w:instrText xml:space="preserve"> TOC \h \z \t "Heading 2,1" </w:instrText>
          </w:r>
          <w:r>
            <w:rPr>
              <w:b w:val="0"/>
            </w:rPr>
            <w:fldChar w:fldCharType="separate"/>
          </w:r>
          <w:hyperlink w:anchor="_Toc200642886" w:history="1">
            <w:r w:rsidR="00E63ADA" w:rsidRPr="002E0B2B">
              <w:rPr>
                <w:rStyle w:val="Hyperlink"/>
              </w:rPr>
              <w:t>Executive summary</w:t>
            </w:r>
            <w:r w:rsidR="00E63ADA">
              <w:rPr>
                <w:webHidden/>
              </w:rPr>
              <w:tab/>
            </w:r>
            <w:r w:rsidR="00E63ADA">
              <w:rPr>
                <w:webHidden/>
              </w:rPr>
              <w:fldChar w:fldCharType="begin"/>
            </w:r>
            <w:r w:rsidR="00E63ADA">
              <w:rPr>
                <w:webHidden/>
              </w:rPr>
              <w:instrText xml:space="preserve"> PAGEREF _Toc200642886 \h </w:instrText>
            </w:r>
            <w:r w:rsidR="00E63ADA">
              <w:rPr>
                <w:webHidden/>
              </w:rPr>
            </w:r>
            <w:r w:rsidR="00E63ADA">
              <w:rPr>
                <w:webHidden/>
              </w:rPr>
              <w:fldChar w:fldCharType="separate"/>
            </w:r>
            <w:r w:rsidR="00E63ADA">
              <w:rPr>
                <w:webHidden/>
              </w:rPr>
              <w:t>4</w:t>
            </w:r>
            <w:r w:rsidR="00E63ADA">
              <w:rPr>
                <w:webHidden/>
              </w:rPr>
              <w:fldChar w:fldCharType="end"/>
            </w:r>
          </w:hyperlink>
        </w:p>
        <w:p w14:paraId="31D78303" w14:textId="24C091DA" w:rsidR="00E63ADA" w:rsidRDefault="00D26AAB">
          <w:pPr>
            <w:pStyle w:val="TOC1"/>
            <w:rPr>
              <w:rFonts w:eastAsiaTheme="minorEastAsia" w:cstheme="minorBidi"/>
              <w:b w:val="0"/>
              <w:color w:val="auto"/>
              <w:sz w:val="22"/>
              <w:szCs w:val="22"/>
            </w:rPr>
          </w:pPr>
          <w:hyperlink w:anchor="_Toc200642887" w:history="1">
            <w:r w:rsidR="00E63ADA" w:rsidRPr="002E0B2B">
              <w:rPr>
                <w:rStyle w:val="Hyperlink"/>
              </w:rPr>
              <w:t>Why?</w:t>
            </w:r>
            <w:r w:rsidR="00E63ADA">
              <w:rPr>
                <w:webHidden/>
              </w:rPr>
              <w:tab/>
            </w:r>
            <w:r w:rsidR="00E63ADA">
              <w:rPr>
                <w:webHidden/>
              </w:rPr>
              <w:fldChar w:fldCharType="begin"/>
            </w:r>
            <w:r w:rsidR="00E63ADA">
              <w:rPr>
                <w:webHidden/>
              </w:rPr>
              <w:instrText xml:space="preserve"> PAGEREF _Toc200642887 \h </w:instrText>
            </w:r>
            <w:r w:rsidR="00E63ADA">
              <w:rPr>
                <w:webHidden/>
              </w:rPr>
            </w:r>
            <w:r w:rsidR="00E63ADA">
              <w:rPr>
                <w:webHidden/>
              </w:rPr>
              <w:fldChar w:fldCharType="separate"/>
            </w:r>
            <w:r w:rsidR="00E63ADA">
              <w:rPr>
                <w:webHidden/>
              </w:rPr>
              <w:t>5</w:t>
            </w:r>
            <w:r w:rsidR="00E63ADA">
              <w:rPr>
                <w:webHidden/>
              </w:rPr>
              <w:fldChar w:fldCharType="end"/>
            </w:r>
          </w:hyperlink>
        </w:p>
        <w:p w14:paraId="33C9CBE1" w14:textId="1E9AF3FA" w:rsidR="00E63ADA" w:rsidRDefault="00D26AAB">
          <w:pPr>
            <w:pStyle w:val="TOC1"/>
            <w:rPr>
              <w:rFonts w:eastAsiaTheme="minorEastAsia" w:cstheme="minorBidi"/>
              <w:b w:val="0"/>
              <w:color w:val="auto"/>
              <w:sz w:val="22"/>
              <w:szCs w:val="22"/>
            </w:rPr>
          </w:pPr>
          <w:hyperlink w:anchor="_Toc200642888" w:history="1">
            <w:r w:rsidR="00E63ADA" w:rsidRPr="002E0B2B">
              <w:rPr>
                <w:rStyle w:val="Hyperlink"/>
              </w:rPr>
              <w:t>What we did</w:t>
            </w:r>
            <w:r w:rsidR="00E63ADA">
              <w:rPr>
                <w:webHidden/>
              </w:rPr>
              <w:tab/>
            </w:r>
            <w:r w:rsidR="00E63ADA">
              <w:rPr>
                <w:webHidden/>
              </w:rPr>
              <w:fldChar w:fldCharType="begin"/>
            </w:r>
            <w:r w:rsidR="00E63ADA">
              <w:rPr>
                <w:webHidden/>
              </w:rPr>
              <w:instrText xml:space="preserve"> PAGEREF _Toc200642888 \h </w:instrText>
            </w:r>
            <w:r w:rsidR="00E63ADA">
              <w:rPr>
                <w:webHidden/>
              </w:rPr>
            </w:r>
            <w:r w:rsidR="00E63ADA">
              <w:rPr>
                <w:webHidden/>
              </w:rPr>
              <w:fldChar w:fldCharType="separate"/>
            </w:r>
            <w:r w:rsidR="00E63ADA">
              <w:rPr>
                <w:webHidden/>
              </w:rPr>
              <w:t>7</w:t>
            </w:r>
            <w:r w:rsidR="00E63ADA">
              <w:rPr>
                <w:webHidden/>
              </w:rPr>
              <w:fldChar w:fldCharType="end"/>
            </w:r>
          </w:hyperlink>
        </w:p>
        <w:p w14:paraId="5F9F3CA5" w14:textId="7B57C732" w:rsidR="00E63ADA" w:rsidRDefault="00D26AAB">
          <w:pPr>
            <w:pStyle w:val="TOC1"/>
            <w:rPr>
              <w:rFonts w:eastAsiaTheme="minorEastAsia" w:cstheme="minorBidi"/>
              <w:b w:val="0"/>
              <w:color w:val="auto"/>
              <w:sz w:val="22"/>
              <w:szCs w:val="22"/>
            </w:rPr>
          </w:pPr>
          <w:hyperlink w:anchor="_Toc200642889" w:history="1">
            <w:r w:rsidR="00E63ADA" w:rsidRPr="002E0B2B">
              <w:rPr>
                <w:rStyle w:val="Hyperlink"/>
              </w:rPr>
              <w:t>What we found</w:t>
            </w:r>
            <w:r w:rsidR="00E63ADA">
              <w:rPr>
                <w:webHidden/>
              </w:rPr>
              <w:tab/>
            </w:r>
            <w:r w:rsidR="00E63ADA">
              <w:rPr>
                <w:webHidden/>
              </w:rPr>
              <w:fldChar w:fldCharType="begin"/>
            </w:r>
            <w:r w:rsidR="00E63ADA">
              <w:rPr>
                <w:webHidden/>
              </w:rPr>
              <w:instrText xml:space="preserve"> PAGEREF _Toc200642889 \h </w:instrText>
            </w:r>
            <w:r w:rsidR="00E63ADA">
              <w:rPr>
                <w:webHidden/>
              </w:rPr>
            </w:r>
            <w:r w:rsidR="00E63ADA">
              <w:rPr>
                <w:webHidden/>
              </w:rPr>
              <w:fldChar w:fldCharType="separate"/>
            </w:r>
            <w:r w:rsidR="00E63ADA">
              <w:rPr>
                <w:webHidden/>
              </w:rPr>
              <w:t>8</w:t>
            </w:r>
            <w:r w:rsidR="00E63ADA">
              <w:rPr>
                <w:webHidden/>
              </w:rPr>
              <w:fldChar w:fldCharType="end"/>
            </w:r>
          </w:hyperlink>
        </w:p>
        <w:p w14:paraId="7AE671D6" w14:textId="4A4A0883" w:rsidR="00E63ADA" w:rsidRDefault="00D26AAB">
          <w:pPr>
            <w:pStyle w:val="TOC1"/>
            <w:rPr>
              <w:rFonts w:eastAsiaTheme="minorEastAsia" w:cstheme="minorBidi"/>
              <w:b w:val="0"/>
              <w:color w:val="auto"/>
              <w:sz w:val="22"/>
              <w:szCs w:val="22"/>
            </w:rPr>
          </w:pPr>
          <w:hyperlink w:anchor="_Toc200642890" w:history="1">
            <w:r w:rsidR="00E63ADA" w:rsidRPr="002E0B2B">
              <w:rPr>
                <w:rStyle w:val="Hyperlink"/>
              </w:rPr>
              <w:t>Evaluating changes to the website</w:t>
            </w:r>
            <w:r w:rsidR="00E63ADA">
              <w:rPr>
                <w:webHidden/>
              </w:rPr>
              <w:tab/>
            </w:r>
            <w:r w:rsidR="00E63ADA">
              <w:rPr>
                <w:webHidden/>
              </w:rPr>
              <w:fldChar w:fldCharType="begin"/>
            </w:r>
            <w:r w:rsidR="00E63ADA">
              <w:rPr>
                <w:webHidden/>
              </w:rPr>
              <w:instrText xml:space="preserve"> PAGEREF _Toc200642890 \h </w:instrText>
            </w:r>
            <w:r w:rsidR="00E63ADA">
              <w:rPr>
                <w:webHidden/>
              </w:rPr>
            </w:r>
            <w:r w:rsidR="00E63ADA">
              <w:rPr>
                <w:webHidden/>
              </w:rPr>
              <w:fldChar w:fldCharType="separate"/>
            </w:r>
            <w:r w:rsidR="00E63ADA">
              <w:rPr>
                <w:webHidden/>
              </w:rPr>
              <w:t>18</w:t>
            </w:r>
            <w:r w:rsidR="00E63ADA">
              <w:rPr>
                <w:webHidden/>
              </w:rPr>
              <w:fldChar w:fldCharType="end"/>
            </w:r>
          </w:hyperlink>
        </w:p>
        <w:p w14:paraId="75AA0E28" w14:textId="6BDD6840" w:rsidR="00E63ADA" w:rsidRDefault="00D26AAB">
          <w:pPr>
            <w:pStyle w:val="TOC1"/>
            <w:rPr>
              <w:rFonts w:eastAsiaTheme="minorEastAsia" w:cstheme="minorBidi"/>
              <w:b w:val="0"/>
              <w:color w:val="auto"/>
              <w:sz w:val="22"/>
              <w:szCs w:val="22"/>
            </w:rPr>
          </w:pPr>
          <w:hyperlink w:anchor="_Toc200642891" w:history="1">
            <w:r w:rsidR="00E63ADA" w:rsidRPr="002E0B2B">
              <w:rPr>
                <w:rStyle w:val="Hyperlink"/>
              </w:rPr>
              <w:t>References</w:t>
            </w:r>
            <w:r w:rsidR="00E63ADA">
              <w:rPr>
                <w:webHidden/>
              </w:rPr>
              <w:tab/>
            </w:r>
            <w:r w:rsidR="00E63ADA">
              <w:rPr>
                <w:webHidden/>
              </w:rPr>
              <w:fldChar w:fldCharType="begin"/>
            </w:r>
            <w:r w:rsidR="00E63ADA">
              <w:rPr>
                <w:webHidden/>
              </w:rPr>
              <w:instrText xml:space="preserve"> PAGEREF _Toc200642891 \h </w:instrText>
            </w:r>
            <w:r w:rsidR="00E63ADA">
              <w:rPr>
                <w:webHidden/>
              </w:rPr>
            </w:r>
            <w:r w:rsidR="00E63ADA">
              <w:rPr>
                <w:webHidden/>
              </w:rPr>
              <w:fldChar w:fldCharType="separate"/>
            </w:r>
            <w:r w:rsidR="00E63ADA">
              <w:rPr>
                <w:webHidden/>
              </w:rPr>
              <w:t>26</w:t>
            </w:r>
            <w:r w:rsidR="00E63ADA">
              <w:rPr>
                <w:webHidden/>
              </w:rPr>
              <w:fldChar w:fldCharType="end"/>
            </w:r>
          </w:hyperlink>
        </w:p>
        <w:p w14:paraId="17EE18A2" w14:textId="06C74794" w:rsidR="00E63ADA" w:rsidRDefault="00D26AAB">
          <w:pPr>
            <w:pStyle w:val="TOC1"/>
            <w:rPr>
              <w:rFonts w:eastAsiaTheme="minorEastAsia" w:cstheme="minorBidi"/>
              <w:b w:val="0"/>
              <w:color w:val="auto"/>
              <w:sz w:val="22"/>
              <w:szCs w:val="22"/>
            </w:rPr>
          </w:pPr>
          <w:hyperlink w:anchor="_Toc200642892" w:history="1">
            <w:r w:rsidR="00E63ADA" w:rsidRPr="002E0B2B">
              <w:rPr>
                <w:rStyle w:val="Hyperlink"/>
              </w:rPr>
              <w:t>Appendix A: Methodology</w:t>
            </w:r>
            <w:r w:rsidR="00E63ADA">
              <w:rPr>
                <w:webHidden/>
              </w:rPr>
              <w:tab/>
            </w:r>
            <w:r w:rsidR="00E63ADA">
              <w:rPr>
                <w:webHidden/>
              </w:rPr>
              <w:fldChar w:fldCharType="begin"/>
            </w:r>
            <w:r w:rsidR="00E63ADA">
              <w:rPr>
                <w:webHidden/>
              </w:rPr>
              <w:instrText xml:space="preserve"> PAGEREF _Toc200642892 \h </w:instrText>
            </w:r>
            <w:r w:rsidR="00E63ADA">
              <w:rPr>
                <w:webHidden/>
              </w:rPr>
            </w:r>
            <w:r w:rsidR="00E63ADA">
              <w:rPr>
                <w:webHidden/>
              </w:rPr>
              <w:fldChar w:fldCharType="separate"/>
            </w:r>
            <w:r w:rsidR="00E63ADA">
              <w:rPr>
                <w:webHidden/>
              </w:rPr>
              <w:t>30</w:t>
            </w:r>
            <w:r w:rsidR="00E63ADA">
              <w:rPr>
                <w:webHidden/>
              </w:rPr>
              <w:fldChar w:fldCharType="end"/>
            </w:r>
          </w:hyperlink>
        </w:p>
        <w:p w14:paraId="2433BB52" w14:textId="0D55BA2F" w:rsidR="00E63ADA" w:rsidRDefault="00D26AAB">
          <w:pPr>
            <w:pStyle w:val="TOC1"/>
            <w:rPr>
              <w:rFonts w:eastAsiaTheme="minorEastAsia" w:cstheme="minorBidi"/>
              <w:b w:val="0"/>
              <w:color w:val="auto"/>
              <w:sz w:val="22"/>
              <w:szCs w:val="22"/>
            </w:rPr>
          </w:pPr>
          <w:hyperlink w:anchor="_Toc200642893" w:history="1">
            <w:r w:rsidR="00E63ADA" w:rsidRPr="002E0B2B">
              <w:rPr>
                <w:rStyle w:val="Hyperlink"/>
              </w:rPr>
              <w:t>Appendix B:  Technical details</w:t>
            </w:r>
            <w:r w:rsidR="00E63ADA">
              <w:rPr>
                <w:webHidden/>
              </w:rPr>
              <w:tab/>
            </w:r>
            <w:r w:rsidR="00E63ADA">
              <w:rPr>
                <w:webHidden/>
              </w:rPr>
              <w:fldChar w:fldCharType="begin"/>
            </w:r>
            <w:r w:rsidR="00E63ADA">
              <w:rPr>
                <w:webHidden/>
              </w:rPr>
              <w:instrText xml:space="preserve"> PAGEREF _Toc200642893 \h </w:instrText>
            </w:r>
            <w:r w:rsidR="00E63ADA">
              <w:rPr>
                <w:webHidden/>
              </w:rPr>
            </w:r>
            <w:r w:rsidR="00E63ADA">
              <w:rPr>
                <w:webHidden/>
              </w:rPr>
              <w:fldChar w:fldCharType="separate"/>
            </w:r>
            <w:r w:rsidR="00E63ADA">
              <w:rPr>
                <w:webHidden/>
              </w:rPr>
              <w:t>34</w:t>
            </w:r>
            <w:r w:rsidR="00E63ADA">
              <w:rPr>
                <w:webHidden/>
              </w:rPr>
              <w:fldChar w:fldCharType="end"/>
            </w:r>
          </w:hyperlink>
        </w:p>
        <w:p w14:paraId="6FA602AA" w14:textId="7A8B3A7D" w:rsidR="00E63ADA" w:rsidRDefault="00D26AAB">
          <w:pPr>
            <w:pStyle w:val="TOC1"/>
            <w:rPr>
              <w:rFonts w:eastAsiaTheme="minorEastAsia" w:cstheme="minorBidi"/>
              <w:b w:val="0"/>
              <w:color w:val="auto"/>
              <w:sz w:val="22"/>
              <w:szCs w:val="22"/>
            </w:rPr>
          </w:pPr>
          <w:hyperlink w:anchor="_Toc200642894" w:history="1">
            <w:r w:rsidR="00E63ADA" w:rsidRPr="002E0B2B">
              <w:rPr>
                <w:rStyle w:val="Hyperlink"/>
              </w:rPr>
              <w:t>Appendix C:  Special offers RCT</w:t>
            </w:r>
            <w:r w:rsidR="00E63ADA">
              <w:rPr>
                <w:webHidden/>
              </w:rPr>
              <w:tab/>
            </w:r>
            <w:r w:rsidR="00E63ADA">
              <w:rPr>
                <w:webHidden/>
              </w:rPr>
              <w:fldChar w:fldCharType="begin"/>
            </w:r>
            <w:r w:rsidR="00E63ADA">
              <w:rPr>
                <w:webHidden/>
              </w:rPr>
              <w:instrText xml:space="preserve"> PAGEREF _Toc200642894 \h </w:instrText>
            </w:r>
            <w:r w:rsidR="00E63ADA">
              <w:rPr>
                <w:webHidden/>
              </w:rPr>
            </w:r>
            <w:r w:rsidR="00E63ADA">
              <w:rPr>
                <w:webHidden/>
              </w:rPr>
              <w:fldChar w:fldCharType="separate"/>
            </w:r>
            <w:r w:rsidR="00E63ADA">
              <w:rPr>
                <w:webHidden/>
              </w:rPr>
              <w:t>36</w:t>
            </w:r>
            <w:r w:rsidR="00E63ADA">
              <w:rPr>
                <w:webHidden/>
              </w:rPr>
              <w:fldChar w:fldCharType="end"/>
            </w:r>
          </w:hyperlink>
        </w:p>
        <w:p w14:paraId="4EC137B5" w14:textId="3445EFEE" w:rsidR="00E63ADA" w:rsidRDefault="00D26AAB">
          <w:pPr>
            <w:pStyle w:val="TOC1"/>
            <w:rPr>
              <w:rFonts w:eastAsiaTheme="minorEastAsia" w:cstheme="minorBidi"/>
              <w:b w:val="0"/>
              <w:color w:val="auto"/>
              <w:sz w:val="22"/>
              <w:szCs w:val="22"/>
            </w:rPr>
          </w:pPr>
          <w:hyperlink w:anchor="_Toc200642895" w:history="1">
            <w:r w:rsidR="00E63ADA" w:rsidRPr="002E0B2B">
              <w:rPr>
                <w:rStyle w:val="Hyperlink"/>
              </w:rPr>
              <w:t>Appendix D:  Retailer comparison RCT</w:t>
            </w:r>
            <w:r w:rsidR="00E63ADA">
              <w:rPr>
                <w:webHidden/>
              </w:rPr>
              <w:tab/>
            </w:r>
            <w:r w:rsidR="00E63ADA">
              <w:rPr>
                <w:webHidden/>
              </w:rPr>
              <w:fldChar w:fldCharType="begin"/>
            </w:r>
            <w:r w:rsidR="00E63ADA">
              <w:rPr>
                <w:webHidden/>
              </w:rPr>
              <w:instrText xml:space="preserve"> PAGEREF _Toc200642895 \h </w:instrText>
            </w:r>
            <w:r w:rsidR="00E63ADA">
              <w:rPr>
                <w:webHidden/>
              </w:rPr>
            </w:r>
            <w:r w:rsidR="00E63ADA">
              <w:rPr>
                <w:webHidden/>
              </w:rPr>
              <w:fldChar w:fldCharType="separate"/>
            </w:r>
            <w:r w:rsidR="00E63ADA">
              <w:rPr>
                <w:webHidden/>
              </w:rPr>
              <w:t>39</w:t>
            </w:r>
            <w:r w:rsidR="00E63ADA">
              <w:rPr>
                <w:webHidden/>
              </w:rPr>
              <w:fldChar w:fldCharType="end"/>
            </w:r>
          </w:hyperlink>
        </w:p>
        <w:p w14:paraId="5C03CB0A" w14:textId="571CF787" w:rsidR="004909C3" w:rsidRDefault="003B499C" w:rsidP="00E327E3">
          <w:pPr>
            <w:spacing w:after="0" w:line="240" w:lineRule="auto"/>
            <w:jc w:val="right"/>
          </w:pPr>
          <w:r>
            <w:rPr>
              <w:b/>
              <w:noProof/>
              <w:color w:val="FFFFFF" w:themeColor="background1"/>
              <w:sz w:val="28"/>
            </w:rPr>
            <w:fldChar w:fldCharType="end"/>
          </w:r>
        </w:p>
      </w:sdtContent>
    </w:sdt>
    <w:p w14:paraId="18912969" w14:textId="77777777" w:rsidR="008253C4" w:rsidRDefault="008253C4" w:rsidP="004909C3">
      <w:pPr>
        <w:rPr>
          <w:noProof/>
        </w:rPr>
      </w:pPr>
    </w:p>
    <w:p w14:paraId="13EE4E67" w14:textId="77777777" w:rsidR="004909C3" w:rsidRDefault="004909C3" w:rsidP="004909C3">
      <w:pPr>
        <w:rPr>
          <w:noProof/>
        </w:rPr>
      </w:pPr>
    </w:p>
    <w:p w14:paraId="3842942B" w14:textId="6D2CB023" w:rsidR="008253C4" w:rsidRDefault="008253C4" w:rsidP="00087D4E">
      <w:pPr>
        <w:rPr>
          <w:b/>
          <w:noProof/>
          <w:color w:val="FFFFFF" w:themeColor="background1"/>
          <w:sz w:val="28"/>
        </w:rPr>
        <w:sectPr w:rsidR="008253C4" w:rsidSect="008253C4">
          <w:headerReference w:type="even" r:id="rId22"/>
          <w:headerReference w:type="default" r:id="rId23"/>
          <w:footerReference w:type="default" r:id="rId24"/>
          <w:headerReference w:type="first" r:id="rId25"/>
          <w:pgSz w:w="11906" w:h="16838" w:code="9"/>
          <w:pgMar w:top="2041" w:right="2381" w:bottom="1247" w:left="1247" w:header="720" w:footer="851" w:gutter="0"/>
          <w:cols w:space="708"/>
          <w:docGrid w:linePitch="360"/>
        </w:sectPr>
      </w:pPr>
    </w:p>
    <w:p w14:paraId="6D3B0BC9" w14:textId="77777777" w:rsidR="0004635E" w:rsidRDefault="0004635E">
      <w:pPr>
        <w:spacing w:after="0" w:line="240" w:lineRule="auto"/>
        <w:rPr>
          <w:rFonts w:asciiTheme="majorHAnsi" w:hAnsiTheme="majorHAnsi"/>
          <w:b/>
          <w:sz w:val="96"/>
          <w:szCs w:val="44"/>
        </w:rPr>
      </w:pPr>
      <w:r>
        <w:br w:type="page"/>
      </w:r>
    </w:p>
    <w:p w14:paraId="0D4019E1" w14:textId="77777777" w:rsidR="004B4BC0" w:rsidRPr="00F546B9" w:rsidRDefault="00CA787C" w:rsidP="00191A5D">
      <w:pPr>
        <w:pStyle w:val="Heading2"/>
      </w:pPr>
      <w:bookmarkStart w:id="1" w:name="_Toc112341171"/>
      <w:bookmarkStart w:id="2" w:name="_Toc184198591"/>
      <w:bookmarkStart w:id="3" w:name="_Toc200588782"/>
      <w:bookmarkStart w:id="4" w:name="_Toc200642886"/>
      <w:r w:rsidRPr="00F546B9">
        <w:lastRenderedPageBreak/>
        <w:t>Executive</w:t>
      </w:r>
      <w:r w:rsidR="007C6C73">
        <w:t xml:space="preserve"> </w:t>
      </w:r>
      <w:r w:rsidRPr="00F546B9">
        <w:t>summary</w:t>
      </w:r>
      <w:bookmarkEnd w:id="1"/>
      <w:bookmarkEnd w:id="2"/>
      <w:bookmarkEnd w:id="3"/>
      <w:bookmarkEnd w:id="4"/>
    </w:p>
    <w:p w14:paraId="4DB0B83A" w14:textId="7E5F6F37" w:rsidR="00001E75" w:rsidRPr="00E6234C" w:rsidRDefault="00001E75" w:rsidP="00D73117">
      <w:pPr>
        <w:pStyle w:val="Heading3"/>
      </w:pPr>
      <w:r w:rsidRPr="00E6234C">
        <w:t>Energy plans are sticky</w:t>
      </w:r>
    </w:p>
    <w:p w14:paraId="50C4E2F9" w14:textId="6B55D7FC" w:rsidR="00896F9B" w:rsidRDefault="00001E75" w:rsidP="006B0EE3">
      <w:r>
        <w:t xml:space="preserve">For energy retail pricing to be competitive, </w:t>
      </w:r>
      <w:r w:rsidR="001C69F7">
        <w:t>consumers</w:t>
      </w:r>
      <w:r>
        <w:t xml:space="preserve"> need to walk away from expensive plans</w:t>
      </w:r>
      <w:r w:rsidR="000C2DD3">
        <w:t>. I</w:t>
      </w:r>
      <w:r>
        <w:t>n reality</w:t>
      </w:r>
      <w:r w:rsidR="000C2DD3">
        <w:t>,</w:t>
      </w:r>
      <w:r>
        <w:t xml:space="preserve"> </w:t>
      </w:r>
      <w:r w:rsidR="00896F9B">
        <w:t>many consumers never switch. Time, effort and search costs are amplified by behavioural barriers such as plan complexity, retailer bundling tactics, choice overload and brand loyalty.</w:t>
      </w:r>
    </w:p>
    <w:p w14:paraId="59EA5790" w14:textId="5B718042" w:rsidR="0005403C" w:rsidRDefault="0005403C" w:rsidP="006B0EE3">
      <w:r w:rsidRPr="008412AC">
        <w:rPr>
          <w:i/>
        </w:rPr>
        <w:t>Energy Made Easy</w:t>
      </w:r>
      <w:r>
        <w:t xml:space="preserve"> (EME) </w:t>
      </w:r>
      <w:r w:rsidR="00896F9B">
        <w:t>is a free, independent</w:t>
      </w:r>
      <w:r w:rsidR="00941347">
        <w:t>,</w:t>
      </w:r>
      <w:r w:rsidR="00896F9B">
        <w:t xml:space="preserve"> government comparison website that allows consumers to see and compare energy plans from all providers, to find the right plan for them.</w:t>
      </w:r>
    </w:p>
    <w:p w14:paraId="7EE68064" w14:textId="6E337D64" w:rsidR="001C69F7" w:rsidRDefault="001C69F7" w:rsidP="008412AC">
      <w:pPr>
        <w:pStyle w:val="Heading3"/>
      </w:pPr>
      <w:r>
        <w:t xml:space="preserve">We found </w:t>
      </w:r>
      <w:r w:rsidR="00665502">
        <w:t>ways</w:t>
      </w:r>
      <w:r>
        <w:t xml:space="preserve"> to help consumers switch </w:t>
      </w:r>
      <w:r w:rsidR="00665502">
        <w:t xml:space="preserve">to better </w:t>
      </w:r>
      <w:r>
        <w:t>plans</w:t>
      </w:r>
    </w:p>
    <w:p w14:paraId="316CA5C6" w14:textId="764CE41F" w:rsidR="001C69F7" w:rsidRDefault="001C69F7">
      <w:r>
        <w:t>BETA’s rese</w:t>
      </w:r>
      <w:r w:rsidR="00F10FD8">
        <w:t xml:space="preserve">arch identified improvements </w:t>
      </w:r>
      <w:r w:rsidR="00665502">
        <w:t>which</w:t>
      </w:r>
      <w:r>
        <w:t>:</w:t>
      </w:r>
    </w:p>
    <w:p w14:paraId="5A9CFA3A" w14:textId="7ED87A6F" w:rsidR="001C69F7" w:rsidRDefault="001C69F7" w:rsidP="008412AC">
      <w:pPr>
        <w:pStyle w:val="ListBullet"/>
      </w:pPr>
      <w:r>
        <w:t xml:space="preserve">Steer consumers through the search questions and </w:t>
      </w:r>
      <w:r w:rsidR="00051D98">
        <w:t>filters</w:t>
      </w:r>
      <w:r>
        <w:t>.</w:t>
      </w:r>
    </w:p>
    <w:p w14:paraId="77EA570D" w14:textId="1EBFB38A" w:rsidR="001C69F7" w:rsidRDefault="001C69F7" w:rsidP="008412AC">
      <w:pPr>
        <w:pStyle w:val="ListBullet"/>
      </w:pPr>
      <w:r>
        <w:t>Focus attention on critical information, such as the mai</w:t>
      </w:r>
      <w:r w:rsidR="00B8262D">
        <w:t xml:space="preserve">n </w:t>
      </w:r>
      <w:r w:rsidR="00665502">
        <w:t>cost</w:t>
      </w:r>
      <w:r w:rsidR="00B8262D">
        <w:t>s and conditions</w:t>
      </w:r>
      <w:r w:rsidR="0005403C">
        <w:t>.</w:t>
      </w:r>
    </w:p>
    <w:p w14:paraId="043B6017" w14:textId="5AC6DA7E" w:rsidR="0005403C" w:rsidRPr="001C69F7" w:rsidRDefault="0005403C" w:rsidP="008412AC">
      <w:pPr>
        <w:pStyle w:val="ListBullet"/>
      </w:pPr>
      <w:r>
        <w:t>Build confidence by showing consumers how their current plan compares to other options.</w:t>
      </w:r>
    </w:p>
    <w:p w14:paraId="65769AF7" w14:textId="6BA63141" w:rsidR="00E6234C" w:rsidRDefault="0083233A" w:rsidP="00D73117">
      <w:pPr>
        <w:pStyle w:val="Heading3"/>
      </w:pPr>
      <w:r>
        <w:rPr>
          <w:noProof/>
        </w:rPr>
        <w:t>The implementation of these changes has made switching easier</w:t>
      </w:r>
    </w:p>
    <w:p w14:paraId="71FED161" w14:textId="683E769B" w:rsidR="00B8262D" w:rsidRDefault="00B8262D" w:rsidP="000C2DD3">
      <w:pPr>
        <w:rPr>
          <w:noProof/>
        </w:rPr>
      </w:pPr>
      <w:r>
        <w:rPr>
          <w:noProof/>
        </w:rPr>
        <w:t>BETA’s research findings and recommendations informed the 2023 redesign of the EME website by the A</w:t>
      </w:r>
      <w:r w:rsidR="00051D98">
        <w:rPr>
          <w:noProof/>
        </w:rPr>
        <w:t>ustralian Energy Regulator (AER)</w:t>
      </w:r>
      <w:r>
        <w:rPr>
          <w:noProof/>
        </w:rPr>
        <w:t xml:space="preserve">. </w:t>
      </w:r>
    </w:p>
    <w:p w14:paraId="39E7A539" w14:textId="0CBB877A" w:rsidR="00182852" w:rsidRPr="00D73117" w:rsidRDefault="00B71874" w:rsidP="00112236">
      <w:r w:rsidRPr="00D73117">
        <w:t xml:space="preserve">The redesigned EME website has </w:t>
      </w:r>
      <w:r w:rsidR="00182852" w:rsidRPr="00D73117">
        <w:t>resulted in</w:t>
      </w:r>
      <w:r w:rsidR="008F3942" w:rsidRPr="00D73117">
        <w:t xml:space="preserve"> more users</w:t>
      </w:r>
      <w:r w:rsidR="00182852" w:rsidRPr="00D73117">
        <w:t>:</w:t>
      </w:r>
    </w:p>
    <w:p w14:paraId="6E2D8DF5" w14:textId="62FB3BB3" w:rsidR="00B71874" w:rsidRPr="00164614" w:rsidRDefault="001412A0" w:rsidP="00112236">
      <w:pPr>
        <w:pStyle w:val="ListBullet"/>
      </w:pPr>
      <w:r>
        <w:t>c</w:t>
      </w:r>
      <w:r w:rsidR="00182852" w:rsidRPr="00164614">
        <w:t>ompleting</w:t>
      </w:r>
      <w:r w:rsidR="00B71874" w:rsidRPr="00164614">
        <w:t xml:space="preserve"> a search and reach</w:t>
      </w:r>
      <w:r w:rsidR="00182852" w:rsidRPr="00164614">
        <w:t>ing</w:t>
      </w:r>
      <w:r>
        <w:t xml:space="preserve"> the results page</w:t>
      </w:r>
      <w:r w:rsidR="0083233A">
        <w:t>;</w:t>
      </w:r>
    </w:p>
    <w:p w14:paraId="33023255" w14:textId="7452EE6F" w:rsidR="00182852" w:rsidRPr="00164614" w:rsidRDefault="001412A0" w:rsidP="00112236">
      <w:pPr>
        <w:pStyle w:val="ListBullet"/>
      </w:pPr>
      <w:r>
        <w:t>t</w:t>
      </w:r>
      <w:r w:rsidR="00182852" w:rsidRPr="00164614">
        <w:t>aking a high accuracy pathwa</w:t>
      </w:r>
      <w:r>
        <w:t>y to see more precise estimates</w:t>
      </w:r>
      <w:r w:rsidR="0083233A">
        <w:t>;</w:t>
      </w:r>
    </w:p>
    <w:p w14:paraId="3A731A95" w14:textId="51DC913B" w:rsidR="00182852" w:rsidRDefault="00665502" w:rsidP="00112236">
      <w:pPr>
        <w:pStyle w:val="ListBullet"/>
      </w:pPr>
      <w:r>
        <w:t>looking</w:t>
      </w:r>
      <w:r w:rsidR="00182852" w:rsidRPr="00164614">
        <w:t xml:space="preserve"> at i</w:t>
      </w:r>
      <w:r w:rsidR="001412A0">
        <w:t>ndividual plan details</w:t>
      </w:r>
      <w:r w:rsidR="0083233A">
        <w:t>; and</w:t>
      </w:r>
    </w:p>
    <w:p w14:paraId="23C0B52E" w14:textId="5BE738DD" w:rsidR="001B6A13" w:rsidRDefault="001B6A13" w:rsidP="00112236">
      <w:pPr>
        <w:pStyle w:val="ListBullet"/>
      </w:pPr>
      <w:r>
        <w:t>making a switch to another retailer.</w:t>
      </w:r>
      <w:bookmarkStart w:id="5" w:name="_Toc112341172"/>
      <w:bookmarkStart w:id="6" w:name="_Ref115014063"/>
      <w:bookmarkStart w:id="7" w:name="_Toc184198592"/>
    </w:p>
    <w:p w14:paraId="1F373CA2" w14:textId="534CAFE8" w:rsidR="00F10FD8" w:rsidRDefault="00355DE5" w:rsidP="001B6A13">
      <w:pPr>
        <w:rPr>
          <w:rFonts w:asciiTheme="majorHAnsi" w:hAnsiTheme="majorHAnsi"/>
          <w:b/>
          <w:sz w:val="72"/>
          <w:szCs w:val="44"/>
        </w:rPr>
      </w:pPr>
      <w:r>
        <w:t>This report is one part of a suite of work done in partnership between BETA and the AER. An</w:t>
      </w:r>
      <w:r w:rsidR="00896F9B">
        <w:t xml:space="preserve"> </w:t>
      </w:r>
      <w:r>
        <w:t>earlier</w:t>
      </w:r>
      <w:r w:rsidR="0083233A">
        <w:t xml:space="preserve"> unpublished</w:t>
      </w:r>
      <w:r w:rsidR="00896F9B">
        <w:t xml:space="preserve"> </w:t>
      </w:r>
      <w:r>
        <w:t xml:space="preserve">version of this report was </w:t>
      </w:r>
      <w:r w:rsidR="00896F9B">
        <w:t>provided to the AER in mid</w:t>
      </w:r>
      <w:r>
        <w:t>-</w:t>
      </w:r>
      <w:r w:rsidR="00896F9B">
        <w:t>2022</w:t>
      </w:r>
      <w:r>
        <w:t xml:space="preserve"> to inform the refresh of the EME website. </w:t>
      </w:r>
      <w:r w:rsidRPr="008412AC">
        <w:rPr>
          <w:i/>
        </w:rPr>
        <w:t>This</w:t>
      </w:r>
      <w:r>
        <w:t xml:space="preserve"> version i</w:t>
      </w:r>
      <w:r w:rsidR="00896F9B">
        <w:t>nclud</w:t>
      </w:r>
      <w:r>
        <w:t>es</w:t>
      </w:r>
      <w:r w:rsidR="00896F9B">
        <w:t xml:space="preserve"> a </w:t>
      </w:r>
      <w:r>
        <w:t xml:space="preserve">new </w:t>
      </w:r>
      <w:r w:rsidR="00896F9B">
        <w:t>section describing the impact</w:t>
      </w:r>
      <w:r>
        <w:t xml:space="preserve"> of the website refresh on consumer</w:t>
      </w:r>
      <w:r w:rsidR="00665502">
        <w:t>s</w:t>
      </w:r>
      <w:r w:rsidR="00896F9B">
        <w:t>.</w:t>
      </w:r>
      <w:r>
        <w:t xml:space="preserve"> BETA’s earlier</w:t>
      </w:r>
      <w:r w:rsidR="00896F9B">
        <w:t xml:space="preserve"> </w:t>
      </w:r>
      <w:r w:rsidR="001B6A13" w:rsidRPr="00112236">
        <w:rPr>
          <w:i/>
        </w:rPr>
        <w:t>Improving Energy Bills (2021)</w:t>
      </w:r>
      <w:r w:rsidR="001B6A13">
        <w:t xml:space="preserve"> report</w:t>
      </w:r>
      <w:r>
        <w:t xml:space="preserve"> informed the</w:t>
      </w:r>
      <w:r w:rsidR="00112236">
        <w:t xml:space="preserve"> development of the</w:t>
      </w:r>
      <w:r>
        <w:t xml:space="preserve"> </w:t>
      </w:r>
      <w:r>
        <w:rPr>
          <w:i/>
        </w:rPr>
        <w:t>Better Bills Guideline</w:t>
      </w:r>
      <w:r w:rsidR="001B6A13">
        <w:t>.</w:t>
      </w:r>
      <w:r w:rsidR="0083233A">
        <w:t xml:space="preserve"> The </w:t>
      </w:r>
      <w:r w:rsidR="0083233A">
        <w:rPr>
          <w:i/>
        </w:rPr>
        <w:t xml:space="preserve">Better Bills Guideline </w:t>
      </w:r>
      <w:r>
        <w:t xml:space="preserve">made many </w:t>
      </w:r>
      <w:r w:rsidR="00112236">
        <w:t xml:space="preserve">mandatory </w:t>
      </w:r>
      <w:r>
        <w:t>changes to energy bills, to make it easier</w:t>
      </w:r>
      <w:r w:rsidR="00112236">
        <w:t xml:space="preserve"> for consumers</w:t>
      </w:r>
      <w:r>
        <w:t xml:space="preserve"> to engage with the market. These included a plan summary on every bill, and a </w:t>
      </w:r>
      <w:r w:rsidRPr="00112236">
        <w:rPr>
          <w:i/>
        </w:rPr>
        <w:t>Better offer message</w:t>
      </w:r>
      <w:r>
        <w:t xml:space="preserve"> every 3 months </w:t>
      </w:r>
      <w:r w:rsidR="00112236">
        <w:t>encouraging</w:t>
      </w:r>
      <w:r>
        <w:t xml:space="preserve"> consumers to compare plans on </w:t>
      </w:r>
      <w:r>
        <w:rPr>
          <w:i/>
        </w:rPr>
        <w:t>Energy Made Easy.</w:t>
      </w:r>
      <w:r>
        <w:t xml:space="preserve"> </w:t>
      </w:r>
      <w:r w:rsidR="00112236">
        <w:t xml:space="preserve">The </w:t>
      </w:r>
      <w:r w:rsidR="00112236" w:rsidRPr="0045168D">
        <w:rPr>
          <w:i/>
        </w:rPr>
        <w:t>Better Bills Impact Report (2025)</w:t>
      </w:r>
      <w:r w:rsidR="00112236">
        <w:t xml:space="preserve"> describes the effect of the </w:t>
      </w:r>
      <w:r w:rsidR="00112236">
        <w:rPr>
          <w:i/>
        </w:rPr>
        <w:t xml:space="preserve">Better Bills Guideline </w:t>
      </w:r>
      <w:r w:rsidR="00112236">
        <w:t xml:space="preserve">in driving more consumers to visit the refreshed </w:t>
      </w:r>
      <w:r w:rsidR="00112236">
        <w:rPr>
          <w:i/>
        </w:rPr>
        <w:t xml:space="preserve">Energy Made Easy </w:t>
      </w:r>
      <w:r w:rsidR="00112236">
        <w:t xml:space="preserve">website. </w:t>
      </w:r>
    </w:p>
    <w:p w14:paraId="2421AACD" w14:textId="33D8CCD8" w:rsidR="00973B23" w:rsidRPr="003E396D" w:rsidRDefault="00973B23" w:rsidP="003E396D">
      <w:pPr>
        <w:pStyle w:val="Heading2"/>
      </w:pPr>
      <w:bookmarkStart w:id="8" w:name="_Toc200588783"/>
      <w:bookmarkStart w:id="9" w:name="_Toc200642887"/>
      <w:r>
        <w:lastRenderedPageBreak/>
        <w:t>Why?</w:t>
      </w:r>
      <w:bookmarkEnd w:id="5"/>
      <w:bookmarkEnd w:id="6"/>
      <w:bookmarkEnd w:id="7"/>
      <w:bookmarkEnd w:id="8"/>
      <w:bookmarkEnd w:id="9"/>
    </w:p>
    <w:p w14:paraId="3AA24B9F" w14:textId="77777777" w:rsidR="00973B23" w:rsidRPr="0068479D" w:rsidRDefault="00E375B4" w:rsidP="00E375B4">
      <w:pPr>
        <w:pStyle w:val="Heading3"/>
      </w:pPr>
      <w:r>
        <w:t>Policy context</w:t>
      </w:r>
    </w:p>
    <w:p w14:paraId="2A3722CE" w14:textId="1D2ADD92" w:rsidR="00B92934" w:rsidRDefault="00B92934" w:rsidP="00B92934">
      <w:r w:rsidRPr="00553D20">
        <w:t xml:space="preserve">The </w:t>
      </w:r>
      <w:r w:rsidR="00ED0ADD" w:rsidRPr="00ED0ADD">
        <w:rPr>
          <w:i/>
        </w:rPr>
        <w:t>Energy Made Easy</w:t>
      </w:r>
      <w:r w:rsidRPr="00553D20">
        <w:t xml:space="preserve"> (EME) website </w:t>
      </w:r>
      <w:r w:rsidR="00051D98">
        <w:t xml:space="preserve">is an independent and </w:t>
      </w:r>
      <w:r w:rsidR="00665502">
        <w:t>comprehensive interactive</w:t>
      </w:r>
      <w:r w:rsidR="00051D98">
        <w:t xml:space="preserve"> resource that </w:t>
      </w:r>
      <w:r w:rsidRPr="00553D20">
        <w:t>helps consumers compa</w:t>
      </w:r>
      <w:r>
        <w:t xml:space="preserve">re energy plans currently available </w:t>
      </w:r>
      <w:r w:rsidRPr="00553D20">
        <w:t xml:space="preserve">in the market. The </w:t>
      </w:r>
      <w:r w:rsidR="00051D98">
        <w:t>Australian Energy Regulator (</w:t>
      </w:r>
      <w:r w:rsidRPr="00553D20">
        <w:t>AER</w:t>
      </w:r>
      <w:r w:rsidR="00051D98">
        <w:t>)</w:t>
      </w:r>
      <w:r w:rsidRPr="00553D20">
        <w:t xml:space="preserve"> engaged BETA to apply behavioural insights to </w:t>
      </w:r>
      <w:r>
        <w:t xml:space="preserve">improve </w:t>
      </w:r>
      <w:r w:rsidRPr="00553D20">
        <w:t xml:space="preserve">the </w:t>
      </w:r>
      <w:r>
        <w:t xml:space="preserve">EME </w:t>
      </w:r>
      <w:r w:rsidRPr="00553D20">
        <w:t xml:space="preserve">website. </w:t>
      </w:r>
      <w:r>
        <w:t xml:space="preserve">BETA undertook </w:t>
      </w:r>
      <w:r w:rsidRPr="0042300A">
        <w:t xml:space="preserve">a </w:t>
      </w:r>
      <w:r w:rsidR="00CE2734">
        <w:t>scan</w:t>
      </w:r>
      <w:r w:rsidR="00CE2734" w:rsidRPr="0042300A">
        <w:t xml:space="preserve"> </w:t>
      </w:r>
      <w:r w:rsidRPr="0042300A">
        <w:t>of relevant behavioural science literature and use</w:t>
      </w:r>
      <w:r>
        <w:t>d</w:t>
      </w:r>
      <w:r w:rsidRPr="0042300A">
        <w:t xml:space="preserve"> </w:t>
      </w:r>
      <w:r w:rsidR="00665502">
        <w:t xml:space="preserve">primary </w:t>
      </w:r>
      <w:r w:rsidRPr="0042300A">
        <w:t>qualitative and quantitative research</w:t>
      </w:r>
      <w:r>
        <w:t xml:space="preserve"> to inform </w:t>
      </w:r>
      <w:r w:rsidR="00665502">
        <w:t xml:space="preserve">the </w:t>
      </w:r>
      <w:r>
        <w:t xml:space="preserve">website </w:t>
      </w:r>
      <w:r w:rsidR="0019358E">
        <w:t>re</w:t>
      </w:r>
      <w:r>
        <w:t xml:space="preserve">design. </w:t>
      </w:r>
    </w:p>
    <w:p w14:paraId="7916D8FD" w14:textId="1082DB6C" w:rsidR="00B92934" w:rsidRDefault="00665502" w:rsidP="00B92934">
      <w:r>
        <w:t xml:space="preserve">This </w:t>
      </w:r>
      <w:r w:rsidR="005B23AD">
        <w:t>research</w:t>
      </w:r>
      <w:r w:rsidR="00A112B4">
        <w:t xml:space="preserve"> </w:t>
      </w:r>
      <w:r w:rsidR="00B92934">
        <w:t>was done in partnership with the AER and Pretzel</w:t>
      </w:r>
      <w:r w:rsidR="00F5357B">
        <w:t xml:space="preserve"> lab</w:t>
      </w:r>
      <w:r w:rsidR="00B92934">
        <w:t>, a graphic/web design agency responsible for building the prototype and website</w:t>
      </w:r>
      <w:r w:rsidR="00B92934" w:rsidRPr="0042300A">
        <w:t>.</w:t>
      </w:r>
      <w:r w:rsidR="00B92934">
        <w:t xml:space="preserve"> </w:t>
      </w:r>
      <w:r w:rsidR="00B92934" w:rsidRPr="0042300A">
        <w:t xml:space="preserve">The resulting recommendations </w:t>
      </w:r>
      <w:r w:rsidR="00B92934">
        <w:t xml:space="preserve">and insights were provided iteratively during the design and testing phase. </w:t>
      </w:r>
    </w:p>
    <w:p w14:paraId="41829D9C" w14:textId="07286640" w:rsidR="000667BE" w:rsidRPr="00553D20" w:rsidRDefault="000667BE" w:rsidP="00B92934">
      <w:r w:rsidRPr="00553D20">
        <w:t xml:space="preserve">The aim of the research </w:t>
      </w:r>
      <w:r>
        <w:t>wa</w:t>
      </w:r>
      <w:r w:rsidRPr="00553D20">
        <w:t>s to increase the rate of switching to better energy plans.</w:t>
      </w:r>
      <w:r>
        <w:t xml:space="preserve"> </w:t>
      </w:r>
      <w:r w:rsidR="0000617C">
        <w:t>T</w:t>
      </w:r>
      <w:r w:rsidRPr="00B92934">
        <w:t>he project also aim</w:t>
      </w:r>
      <w:r>
        <w:t>ed</w:t>
      </w:r>
      <w:r w:rsidRPr="00B92934">
        <w:t xml:space="preserve"> to improve the user journey by id</w:t>
      </w:r>
      <w:r>
        <w:t>entifying and removing barriers</w:t>
      </w:r>
      <w:r w:rsidRPr="00B92934">
        <w:t xml:space="preserve"> to</w:t>
      </w:r>
      <w:r w:rsidR="00880D5A">
        <w:t xml:space="preserve"> finding a better energy plan using the website</w:t>
      </w:r>
      <w:r w:rsidRPr="00B92934">
        <w:t xml:space="preserve">. </w:t>
      </w:r>
    </w:p>
    <w:p w14:paraId="374FD45F" w14:textId="77777777" w:rsidR="00973B23" w:rsidRPr="001540CB" w:rsidRDefault="000A1193" w:rsidP="001540CB">
      <w:pPr>
        <w:pStyle w:val="Heading3"/>
      </w:pPr>
      <w:r>
        <w:t>The p</w:t>
      </w:r>
      <w:r w:rsidR="00E375B4">
        <w:t>roblem</w:t>
      </w:r>
    </w:p>
    <w:p w14:paraId="506D0E81" w14:textId="5BE32128" w:rsidR="009E73E6" w:rsidRDefault="009820EC" w:rsidP="00665502">
      <w:r>
        <w:t>Switching energy plans and providers can lead to substantial savings for Australians, but only 34% of respondents</w:t>
      </w:r>
      <w:r w:rsidR="00665502">
        <w:t xml:space="preserve"> to our survey</w:t>
      </w:r>
      <w:r>
        <w:t xml:space="preserve"> had ever switched to a different retailer (excluding moving house)</w:t>
      </w:r>
      <w:r w:rsidR="00665502">
        <w:t xml:space="preserve"> (</w:t>
      </w:r>
      <w:r w:rsidR="00665502">
        <w:rPr>
          <w:i/>
        </w:rPr>
        <w:t>‘</w:t>
      </w:r>
      <w:r w:rsidR="00665502" w:rsidRPr="00B96CE8">
        <w:rPr>
          <w:i/>
        </w:rPr>
        <w:t>Panel Survey data</w:t>
      </w:r>
      <w:r w:rsidR="00665502">
        <w:rPr>
          <w:i/>
        </w:rPr>
        <w:t xml:space="preserve">’ </w:t>
      </w:r>
      <w:r w:rsidR="00665502">
        <w:t>2022)</w:t>
      </w:r>
      <w:r>
        <w:t>.</w:t>
      </w:r>
      <w:r w:rsidR="000667BE" w:rsidRPr="000667BE">
        <w:t xml:space="preserve"> The EME website, like other price comparison websites, is </w:t>
      </w:r>
      <w:r>
        <w:t>a</w:t>
      </w:r>
      <w:r w:rsidR="000667BE" w:rsidRPr="000667BE">
        <w:t xml:space="preserve"> tool that ca</w:t>
      </w:r>
      <w:r w:rsidR="00585387">
        <w:t xml:space="preserve">n help consumers overcome </w:t>
      </w:r>
      <w:r w:rsidR="00585387" w:rsidRPr="00585387">
        <w:rPr>
          <w:i/>
        </w:rPr>
        <w:t>switching inertia</w:t>
      </w:r>
      <w:r>
        <w:t xml:space="preserve">, or the tendency to not switch, </w:t>
      </w:r>
      <w:r w:rsidR="000667BE" w:rsidRPr="000667BE">
        <w:t xml:space="preserve">by allowing them compare their current energy plan with others in the market. </w:t>
      </w:r>
    </w:p>
    <w:p w14:paraId="5D074DEF" w14:textId="23CE6E46" w:rsidR="00665502" w:rsidRDefault="009E73E6" w:rsidP="008412AC">
      <w:pPr>
        <w:pStyle w:val="Heading3"/>
      </w:pPr>
      <w:r>
        <w:t>A behavioural lens</w:t>
      </w:r>
    </w:p>
    <w:p w14:paraId="4AC29451" w14:textId="51470331" w:rsidR="00880D5A" w:rsidRDefault="000667BE" w:rsidP="00164614">
      <w:r w:rsidRPr="000667BE">
        <w:t xml:space="preserve">BETA investigated the determinants of switching inertia by reviewing literature from the fields of behavioural economics, marketing and psychology. In addition, we drew </w:t>
      </w:r>
      <w:r w:rsidR="00233A11">
        <w:t>from</w:t>
      </w:r>
      <w:r w:rsidRPr="000667BE">
        <w:t xml:space="preserve"> research on online web design and choice architecture</w:t>
      </w:r>
      <w:r w:rsidR="009820EC">
        <w:t xml:space="preserve"> (how information and options are presented to consumers) </w:t>
      </w:r>
      <w:r w:rsidRPr="000667BE">
        <w:t>to understand how consumers choose from a set of alternatives</w:t>
      </w:r>
      <w:r w:rsidR="001C4C50">
        <w:t>:</w:t>
      </w:r>
    </w:p>
    <w:p w14:paraId="725EFE75" w14:textId="2C5255FB" w:rsidR="0007504E" w:rsidRDefault="0007504E" w:rsidP="001412A0">
      <w:pPr>
        <w:pStyle w:val="ListBullet"/>
      </w:pPr>
      <w:r>
        <w:t xml:space="preserve">The number of options and the order in which they are presented (choice architecture) matters and has a direct influence on how </w:t>
      </w:r>
      <w:r w:rsidR="001C69F7">
        <w:t>consumers</w:t>
      </w:r>
      <w:r>
        <w:t xml:space="preserve"> acquire information and then use th</w:t>
      </w:r>
      <w:r w:rsidR="00656E1E">
        <w:t xml:space="preserve">at information to make choices </w:t>
      </w:r>
      <w:r w:rsidR="00656E1E" w:rsidRPr="00656E1E">
        <w:t>(Shi, Wedel &amp; Pieters, 2013; Yang, Toubia &amp; de Jong, 2018; Etco, Sénécal &amp; Fredette, 2017)</w:t>
      </w:r>
      <w:r w:rsidR="00755650">
        <w:t>.</w:t>
      </w:r>
    </w:p>
    <w:p w14:paraId="4154C005" w14:textId="27761DF9" w:rsidR="0007504E" w:rsidRDefault="0007504E" w:rsidP="001412A0">
      <w:pPr>
        <w:pStyle w:val="ListBullet"/>
      </w:pPr>
      <w:r>
        <w:t>The layout of plan attributes and the ability to search and filter non-price attributes can be influential in the decision-making process</w:t>
      </w:r>
      <w:r w:rsidR="0026332D">
        <w:t xml:space="preserve"> (Hauser, Urban, Liberali &amp; Braun, 2009; Ariely, 2000)</w:t>
      </w:r>
      <w:r>
        <w:t>.</w:t>
      </w:r>
    </w:p>
    <w:p w14:paraId="2828FC7E" w14:textId="6DB9363A" w:rsidR="0007504E" w:rsidRDefault="0007504E" w:rsidP="001412A0">
      <w:pPr>
        <w:pStyle w:val="ListBullet"/>
      </w:pPr>
      <w:r>
        <w:t xml:space="preserve">There is emerging evidence that commercial price comparison websites do </w:t>
      </w:r>
      <w:r w:rsidR="001C69F7">
        <w:t>consumer</w:t>
      </w:r>
      <w:r>
        <w:t>s a disservice by only sharing information about plans from a small number of retailers</w:t>
      </w:r>
      <w:r w:rsidR="0026332D">
        <w:t xml:space="preserve"> (Mountain, 2019; Antal, 2020)</w:t>
      </w:r>
      <w:r>
        <w:t xml:space="preserve">. A 2020 study found that the best price offer </w:t>
      </w:r>
      <w:r>
        <w:lastRenderedPageBreak/>
        <w:t>on EME is on average 4% lower than the best price offers on private third-party price comparators (Centre for Market Design).</w:t>
      </w:r>
    </w:p>
    <w:p w14:paraId="3F969981" w14:textId="4E15B5D9" w:rsidR="000667BE" w:rsidRPr="001540CB" w:rsidRDefault="001C4C50" w:rsidP="0087684D">
      <w:r>
        <w:t xml:space="preserve">Switching </w:t>
      </w:r>
      <w:r w:rsidR="00851D9C">
        <w:t>inertia</w:t>
      </w:r>
      <w:r w:rsidR="009820EC">
        <w:t xml:space="preserve"> </w:t>
      </w:r>
      <w:r w:rsidR="00851D9C">
        <w:t>presents a formidable barrier</w:t>
      </w:r>
      <w:r w:rsidR="00F25295">
        <w:t>, for example:</w:t>
      </w:r>
    </w:p>
    <w:p w14:paraId="0F8BB7B8" w14:textId="64EDB2CC" w:rsidR="000667BE" w:rsidRDefault="000667BE" w:rsidP="00755650">
      <w:pPr>
        <w:pStyle w:val="ListBullet"/>
      </w:pPr>
      <w:r>
        <w:t>There is significant evidence energy consumers do not switch to better-priced plans</w:t>
      </w:r>
      <w:r w:rsidR="00482835">
        <w:t xml:space="preserve"> even when aware of cheaper alternatives (Klemperer, 1995; Salies, 2005; Wilson, 2012; Gamble et al., 2009)</w:t>
      </w:r>
      <w:r>
        <w:t>.</w:t>
      </w:r>
      <w:r w:rsidR="00482835">
        <w:t xml:space="preserve"> </w:t>
      </w:r>
    </w:p>
    <w:p w14:paraId="7E13B6C0" w14:textId="7333956B" w:rsidR="000667BE" w:rsidRDefault="000667BE" w:rsidP="00755650">
      <w:pPr>
        <w:pStyle w:val="ListBullet"/>
      </w:pPr>
      <w:r>
        <w:t>Much of this inertia can be attributed to behavioural barriers that impact the cost of search such as brand loyalty, choice overload, bundling tactics and lack of attention</w:t>
      </w:r>
      <w:r w:rsidR="00482835">
        <w:t xml:space="preserve"> (</w:t>
      </w:r>
      <w:r w:rsidR="00482835" w:rsidRPr="00482835">
        <w:t>Burnett, 2014; Greenstein, 2014; Lee, 2017</w:t>
      </w:r>
      <w:r w:rsidR="00482835">
        <w:t xml:space="preserve">; </w:t>
      </w:r>
      <w:r w:rsidR="00482835" w:rsidRPr="00482835">
        <w:t>Giulietti, 2005</w:t>
      </w:r>
      <w:r w:rsidR="00482835">
        <w:t xml:space="preserve">; </w:t>
      </w:r>
      <w:r w:rsidR="00482835" w:rsidRPr="00482835">
        <w:t>Murakami, 2021</w:t>
      </w:r>
      <w:r w:rsidR="00482835">
        <w:t>; McShane and Böckenholt 2017; Chernev et al. 2015; and Scheilbehenne et al. 2010</w:t>
      </w:r>
      <w:r w:rsidR="00656E1E">
        <w:t xml:space="preserve">; Hortaçsu et al. </w:t>
      </w:r>
      <w:r w:rsidR="00656E1E" w:rsidRPr="00656E1E">
        <w:t>2018</w:t>
      </w:r>
      <w:r w:rsidR="00656E1E">
        <w:t>).</w:t>
      </w:r>
    </w:p>
    <w:p w14:paraId="523275EA" w14:textId="04977F06" w:rsidR="00DC3F7B" w:rsidRDefault="000667BE" w:rsidP="00755650">
      <w:pPr>
        <w:pStyle w:val="ListBullet"/>
      </w:pPr>
      <w:r>
        <w:t xml:space="preserve">Demographic characteristics are related to switching rates; areas </w:t>
      </w:r>
      <w:r w:rsidR="00F635DE">
        <w:t>with</w:t>
      </w:r>
      <w:r>
        <w:t xml:space="preserve"> lower education, lower income and older citizens have lower rates of switching</w:t>
      </w:r>
      <w:r w:rsidR="00656E1E">
        <w:t xml:space="preserve"> (Carthy, Lunn &amp; Lyons, </w:t>
      </w:r>
      <w:r w:rsidR="00656E1E" w:rsidRPr="00482835">
        <w:t>2020</w:t>
      </w:r>
      <w:r w:rsidR="00656E1E">
        <w:t xml:space="preserve">; </w:t>
      </w:r>
      <w:r w:rsidR="00656E1E" w:rsidRPr="00482835">
        <w:t>Hortaçsu et al. 2018)</w:t>
      </w:r>
      <w:r>
        <w:t>.</w:t>
      </w:r>
    </w:p>
    <w:p w14:paraId="4D2BFF3A" w14:textId="23EA6B1D" w:rsidR="00973B23" w:rsidRDefault="00973B23" w:rsidP="00164614"/>
    <w:p w14:paraId="03F4F75B" w14:textId="77777777" w:rsidR="00851D9C" w:rsidRDefault="00851D9C">
      <w:pPr>
        <w:spacing w:after="0" w:line="240" w:lineRule="auto"/>
        <w:rPr>
          <w:rFonts w:asciiTheme="majorHAnsi" w:hAnsiTheme="majorHAnsi"/>
          <w:b/>
          <w:sz w:val="72"/>
          <w:szCs w:val="44"/>
        </w:rPr>
      </w:pPr>
      <w:bookmarkStart w:id="10" w:name="_Toc112341173"/>
      <w:bookmarkStart w:id="11" w:name="_Ref115014102"/>
      <w:r>
        <w:br w:type="page"/>
      </w:r>
    </w:p>
    <w:p w14:paraId="2BEB42D1" w14:textId="3A6D08BC" w:rsidR="00191A5D" w:rsidRDefault="008A5FEA" w:rsidP="00191A5D">
      <w:pPr>
        <w:pStyle w:val="Heading2"/>
      </w:pPr>
      <w:bookmarkStart w:id="12" w:name="_Toc184198593"/>
      <w:bookmarkStart w:id="13" w:name="_Toc200588784"/>
      <w:bookmarkStart w:id="14" w:name="_Toc200642888"/>
      <w:r>
        <w:lastRenderedPageBreak/>
        <w:t>What we did</w:t>
      </w:r>
      <w:bookmarkEnd w:id="10"/>
      <w:bookmarkEnd w:id="11"/>
      <w:bookmarkEnd w:id="12"/>
      <w:bookmarkEnd w:id="13"/>
      <w:bookmarkEnd w:id="14"/>
    </w:p>
    <w:p w14:paraId="115A4944" w14:textId="4D410845" w:rsidR="000667BE" w:rsidRDefault="00851D9C" w:rsidP="000667BE">
      <w:pPr>
        <w:pStyle w:val="Heading3"/>
      </w:pPr>
      <w:r>
        <w:t>Our</w:t>
      </w:r>
      <w:r w:rsidR="000667BE">
        <w:t xml:space="preserve"> research program</w:t>
      </w:r>
    </w:p>
    <w:p w14:paraId="2C1619B3" w14:textId="0A8F1247" w:rsidR="000667BE" w:rsidRDefault="000667BE" w:rsidP="000667BE">
      <w:r>
        <w:t xml:space="preserve">Our research program included a number of distinct approaches </w:t>
      </w:r>
      <w:r w:rsidR="003C2EB1">
        <w:t>that</w:t>
      </w:r>
      <w:r>
        <w:t xml:space="preserve"> enable</w:t>
      </w:r>
      <w:r w:rsidR="003C2EB1">
        <w:t>d</w:t>
      </w:r>
      <w:r>
        <w:t xml:space="preserve"> us to comprehend</w:t>
      </w:r>
      <w:r w:rsidR="00B17C5B">
        <w:t>:</w:t>
      </w:r>
      <w:r>
        <w:t xml:space="preserve"> </w:t>
      </w:r>
    </w:p>
    <w:p w14:paraId="6C3E479D" w14:textId="0076F013" w:rsidR="00676F7D" w:rsidRDefault="00676F7D" w:rsidP="00F032C6">
      <w:pPr>
        <w:pStyle w:val="ListBullet"/>
      </w:pPr>
      <w:r>
        <w:t xml:space="preserve">The </w:t>
      </w:r>
      <w:r w:rsidR="00EB741A">
        <w:t xml:space="preserve">population: </w:t>
      </w:r>
      <w:r>
        <w:t>current and future users of the websi</w:t>
      </w:r>
      <w:r w:rsidR="00EB741A">
        <w:t>te, their needs and preferences</w:t>
      </w:r>
      <w:r w:rsidR="00F032C6">
        <w:t>.</w:t>
      </w:r>
    </w:p>
    <w:p w14:paraId="37114B19" w14:textId="415D2E46" w:rsidR="000667BE" w:rsidRDefault="00676F7D" w:rsidP="00F032C6">
      <w:pPr>
        <w:pStyle w:val="ListBullet"/>
      </w:pPr>
      <w:r>
        <w:t>T</w:t>
      </w:r>
      <w:r w:rsidR="00EB741A">
        <w:t xml:space="preserve">he status quo: </w:t>
      </w:r>
      <w:r w:rsidR="000667BE">
        <w:t xml:space="preserve">what was and was </w:t>
      </w:r>
      <w:r w:rsidR="006D71A4">
        <w:t>not</w:t>
      </w:r>
      <w:r w:rsidR="000667BE">
        <w:t xml:space="preserve"> working, how </w:t>
      </w:r>
      <w:r w:rsidR="001C69F7">
        <w:t>consumers</w:t>
      </w:r>
      <w:r>
        <w:t xml:space="preserve"> </w:t>
      </w:r>
      <w:r w:rsidR="00C5390A">
        <w:t xml:space="preserve">were </w:t>
      </w:r>
      <w:r>
        <w:t>actually</w:t>
      </w:r>
      <w:r w:rsidR="00EB741A">
        <w:t xml:space="preserve"> using the website</w:t>
      </w:r>
      <w:r w:rsidR="00F032C6">
        <w:t>.</w:t>
      </w:r>
    </w:p>
    <w:p w14:paraId="239EC0D7" w14:textId="77777777" w:rsidR="00B44D8F" w:rsidRDefault="005B23AD">
      <w:pPr>
        <w:pStyle w:val="ListBullet"/>
      </w:pPr>
      <w:r>
        <w:t xml:space="preserve">Reactions </w:t>
      </w:r>
      <w:r w:rsidR="00676F7D">
        <w:t>to new designs and proto</w:t>
      </w:r>
      <w:r w:rsidR="00EB741A">
        <w:t xml:space="preserve">types: </w:t>
      </w:r>
      <w:r w:rsidR="00676F7D">
        <w:t>whether they were solving identified problems, and how</w:t>
      </w:r>
      <w:r w:rsidR="00EB741A">
        <w:t xml:space="preserve"> they might be further improved</w:t>
      </w:r>
      <w:r w:rsidR="00676F7D">
        <w:t>.</w:t>
      </w:r>
    </w:p>
    <w:p w14:paraId="2FB5ADD0" w14:textId="024EC9C2" w:rsidR="00552BCA" w:rsidRDefault="003C2EB1" w:rsidP="008412AC">
      <w:r>
        <w:t xml:space="preserve">See Appendix A for full methodology. </w:t>
      </w:r>
    </w:p>
    <w:p w14:paraId="1FD6F50C" w14:textId="4B29B4EB" w:rsidR="00552BCA" w:rsidRDefault="00552BCA" w:rsidP="00552BCA">
      <w:pPr>
        <w:pStyle w:val="Heading3"/>
      </w:pPr>
      <w:r>
        <w:t>Summary of research methodology</w:t>
      </w:r>
    </w:p>
    <w:p w14:paraId="1A0E8758" w14:textId="2EC51044" w:rsidR="00552BCA" w:rsidRDefault="00552BCA" w:rsidP="008412AC">
      <w:r>
        <w:t xml:space="preserve">Following a literature </w:t>
      </w:r>
      <w:r w:rsidR="00C5390A">
        <w:t>scan</w:t>
      </w:r>
      <w:r w:rsidR="00E07BCD">
        <w:t xml:space="preserve"> </w:t>
      </w:r>
      <w:r>
        <w:t>on consumer switching and comparison websites, BETA</w:t>
      </w:r>
      <w:r w:rsidR="00E07BCD">
        <w:t xml:space="preserve"> built a contemporary understanding of consumer experience. We</w:t>
      </w:r>
      <w:r>
        <w:t xml:space="preserve"> conducted analysis using existing data to identify barriers and pain points (</w:t>
      </w:r>
      <w:r w:rsidRPr="008412AC">
        <w:rPr>
          <w:i/>
        </w:rPr>
        <w:t xml:space="preserve">‘Call-centre data’ </w:t>
      </w:r>
      <w:r>
        <w:t xml:space="preserve">2021 and </w:t>
      </w:r>
      <w:r w:rsidR="000303AD" w:rsidRPr="008412AC">
        <w:rPr>
          <w:i/>
        </w:rPr>
        <w:t>‘Website</w:t>
      </w:r>
      <w:r w:rsidRPr="008412AC">
        <w:rPr>
          <w:i/>
        </w:rPr>
        <w:t xml:space="preserve"> Google Analytics data’</w:t>
      </w:r>
      <w:r>
        <w:t xml:space="preserve"> 2021).</w:t>
      </w:r>
      <w:r w:rsidR="00FE4048">
        <w:t xml:space="preserve"> </w:t>
      </w:r>
      <w:r w:rsidR="00E07BCD">
        <w:t>S</w:t>
      </w:r>
      <w:r w:rsidR="00FE4048">
        <w:t xml:space="preserve">uggestions for improvements were captured using a </w:t>
      </w:r>
      <w:r w:rsidR="00FE4048" w:rsidRPr="008412AC">
        <w:rPr>
          <w:i/>
        </w:rPr>
        <w:t>Give Feedback</w:t>
      </w:r>
      <w:r w:rsidR="00FE4048">
        <w:t xml:space="preserve"> widget on the EME website (</w:t>
      </w:r>
      <w:r w:rsidR="00FE4048" w:rsidRPr="008412AC">
        <w:rPr>
          <w:i/>
        </w:rPr>
        <w:t xml:space="preserve">‘Website Feedback data’ </w:t>
      </w:r>
      <w:r w:rsidR="00FE4048">
        <w:t xml:space="preserve">2022). </w:t>
      </w:r>
    </w:p>
    <w:p w14:paraId="76B1350B" w14:textId="590DDC90" w:rsidR="00CB2DEC" w:rsidRDefault="00E07BCD" w:rsidP="008412AC">
      <w:r>
        <w:t xml:space="preserve">To inform the website redesign process, </w:t>
      </w:r>
      <w:r w:rsidR="00FE4048">
        <w:t>EME u</w:t>
      </w:r>
      <w:r>
        <w:t>sers were</w:t>
      </w:r>
      <w:r w:rsidR="00FE4048">
        <w:t xml:space="preserve"> surveyed to better understand why they were on the website (</w:t>
      </w:r>
      <w:r w:rsidR="00FE4048">
        <w:rPr>
          <w:i/>
        </w:rPr>
        <w:t>‘</w:t>
      </w:r>
      <w:r w:rsidR="00FE4048" w:rsidRPr="00B96CE8">
        <w:rPr>
          <w:i/>
        </w:rPr>
        <w:t>Website Search Pathway Survey data</w:t>
      </w:r>
      <w:r w:rsidR="00FE4048">
        <w:rPr>
          <w:i/>
        </w:rPr>
        <w:t>’</w:t>
      </w:r>
      <w:r>
        <w:t xml:space="preserve"> 2021)</w:t>
      </w:r>
      <w:r w:rsidR="00FE4048">
        <w:t xml:space="preserve"> and the drivers and barriers of switching energy plans (</w:t>
      </w:r>
      <w:r w:rsidR="00FE4048" w:rsidRPr="008412AC">
        <w:rPr>
          <w:i/>
        </w:rPr>
        <w:t xml:space="preserve">‘Website User Survey Series’ </w:t>
      </w:r>
      <w:r w:rsidR="00FE4048">
        <w:t>2022).</w:t>
      </w:r>
      <w:r w:rsidR="00CB2DEC">
        <w:t xml:space="preserve"> This was used to </w:t>
      </w:r>
      <w:r w:rsidR="00FE4048">
        <w:t>deve</w:t>
      </w:r>
      <w:r w:rsidR="00CB2DEC">
        <w:t xml:space="preserve">lop user personas </w:t>
      </w:r>
      <w:r>
        <w:t xml:space="preserve">that informed qualitative </w:t>
      </w:r>
      <w:r w:rsidR="00A6431C">
        <w:t>user-testing</w:t>
      </w:r>
      <w:r>
        <w:t>.</w:t>
      </w:r>
    </w:p>
    <w:p w14:paraId="274FDE64" w14:textId="03D374AE" w:rsidR="00983D92" w:rsidRDefault="00CB2DEC">
      <w:r>
        <w:t xml:space="preserve">Clickable </w:t>
      </w:r>
      <w:r w:rsidR="00A631A5">
        <w:t>prototypes</w:t>
      </w:r>
      <w:r>
        <w:t xml:space="preserve"> were designed and iteratively refined across f</w:t>
      </w:r>
      <w:r w:rsidR="00E07BCD">
        <w:t>our rounds of</w:t>
      </w:r>
      <w:r>
        <w:t xml:space="preserve"> </w:t>
      </w:r>
      <w:r w:rsidR="00A6431C">
        <w:t>user-testing</w:t>
      </w:r>
      <w:r>
        <w:t xml:space="preserve"> (</w:t>
      </w:r>
      <w:r w:rsidR="00FE4048" w:rsidRPr="008412AC">
        <w:rPr>
          <w:i/>
        </w:rPr>
        <w:t>‘Website user-testing data</w:t>
      </w:r>
      <w:r w:rsidR="000303AD" w:rsidRPr="008412AC">
        <w:rPr>
          <w:i/>
        </w:rPr>
        <w:t>’</w:t>
      </w:r>
      <w:r w:rsidR="00FE4048" w:rsidRPr="008412AC">
        <w:rPr>
          <w:i/>
        </w:rPr>
        <w:t xml:space="preserve"> </w:t>
      </w:r>
      <w:r w:rsidR="00FE4048">
        <w:t>2022</w:t>
      </w:r>
      <w:r>
        <w:t xml:space="preserve">). </w:t>
      </w:r>
      <w:r w:rsidR="00E07BCD">
        <w:t>The d</w:t>
      </w:r>
      <w:r>
        <w:t>esign ideas wer</w:t>
      </w:r>
      <w:r w:rsidR="00A631A5">
        <w:t xml:space="preserve">e </w:t>
      </w:r>
      <w:r w:rsidR="00E07BCD">
        <w:t xml:space="preserve">then </w:t>
      </w:r>
      <w:r>
        <w:t xml:space="preserve">tested with a broadly representative sample of survey participants </w:t>
      </w:r>
      <w:r w:rsidR="00A631A5">
        <w:t>(</w:t>
      </w:r>
      <w:r w:rsidR="00A631A5">
        <w:rPr>
          <w:i/>
        </w:rPr>
        <w:t>‘</w:t>
      </w:r>
      <w:r w:rsidR="00A631A5" w:rsidRPr="00B96CE8">
        <w:rPr>
          <w:i/>
        </w:rPr>
        <w:t>Panel Survey data</w:t>
      </w:r>
      <w:r w:rsidR="00A631A5">
        <w:rPr>
          <w:i/>
        </w:rPr>
        <w:t xml:space="preserve">’ </w:t>
      </w:r>
      <w:r w:rsidR="00A631A5">
        <w:t>2022). This series of surveys also captured energy market consumer attitudes, awareness, and switching behaviour. Additionally, survey experiments tested the impact of two changes to the EME results page: bumping the retailer’s lowest offer to the top of the results, and including information about discounts against plans where relevant (</w:t>
      </w:r>
      <w:r w:rsidR="00A631A5">
        <w:rPr>
          <w:i/>
        </w:rPr>
        <w:t>‘</w:t>
      </w:r>
      <w:r w:rsidR="00A631A5" w:rsidRPr="00B96CE8">
        <w:rPr>
          <w:i/>
        </w:rPr>
        <w:t>Panel Survey-Experiment data</w:t>
      </w:r>
      <w:r w:rsidR="00A631A5">
        <w:rPr>
          <w:i/>
        </w:rPr>
        <w:t>’</w:t>
      </w:r>
      <w:r w:rsidR="00A631A5">
        <w:t xml:space="preserve"> 2022).</w:t>
      </w:r>
    </w:p>
    <w:p w14:paraId="0012BE05" w14:textId="78AE5068" w:rsidR="00E43AEC" w:rsidRDefault="00983D92" w:rsidP="008412AC">
      <w:pPr>
        <w:spacing w:after="0" w:line="240" w:lineRule="auto"/>
      </w:pPr>
      <w:r>
        <w:br w:type="page"/>
      </w:r>
    </w:p>
    <w:p w14:paraId="2709B2EC" w14:textId="36D7B0F6" w:rsidR="00DA7AB8" w:rsidRPr="00DA7AB8" w:rsidRDefault="00637FBA" w:rsidP="00C90039">
      <w:pPr>
        <w:pStyle w:val="Heading2"/>
      </w:pPr>
      <w:bookmarkStart w:id="15" w:name="_Toc112335069"/>
      <w:bookmarkStart w:id="16" w:name="_Toc112335614"/>
      <w:bookmarkStart w:id="17" w:name="_Toc112335660"/>
      <w:bookmarkStart w:id="18" w:name="_Toc112336265"/>
      <w:bookmarkStart w:id="19" w:name="_Toc112335073"/>
      <w:bookmarkStart w:id="20" w:name="_Toc112335618"/>
      <w:bookmarkStart w:id="21" w:name="_Toc112335664"/>
      <w:bookmarkStart w:id="22" w:name="_Toc112336269"/>
      <w:bookmarkStart w:id="23" w:name="_Toc112341176"/>
      <w:bookmarkStart w:id="24" w:name="_Ref115014333"/>
      <w:bookmarkStart w:id="25" w:name="_Toc184198594"/>
      <w:bookmarkStart w:id="26" w:name="_Toc200588785"/>
      <w:bookmarkStart w:id="27" w:name="_Toc200642889"/>
      <w:bookmarkEnd w:id="15"/>
      <w:bookmarkEnd w:id="16"/>
      <w:bookmarkEnd w:id="17"/>
      <w:bookmarkEnd w:id="18"/>
      <w:bookmarkEnd w:id="19"/>
      <w:bookmarkEnd w:id="20"/>
      <w:bookmarkEnd w:id="21"/>
      <w:bookmarkEnd w:id="22"/>
      <w:r>
        <w:lastRenderedPageBreak/>
        <w:t>What we found</w:t>
      </w:r>
      <w:bookmarkEnd w:id="23"/>
      <w:bookmarkEnd w:id="24"/>
      <w:bookmarkEnd w:id="25"/>
      <w:bookmarkEnd w:id="26"/>
      <w:bookmarkEnd w:id="27"/>
    </w:p>
    <w:p w14:paraId="1F1A9BB9" w14:textId="2E1FDFC1" w:rsidR="006308AB" w:rsidRDefault="00CA7291" w:rsidP="0076709E">
      <w:pPr>
        <w:pStyle w:val="EmphasisPanelHeading"/>
        <w:outlineLvl w:val="2"/>
      </w:pPr>
      <w:bookmarkStart w:id="28" w:name="_Toc112335076"/>
      <w:bookmarkEnd w:id="28"/>
      <w:r>
        <w:t>Summary of key findings</w:t>
      </w:r>
    </w:p>
    <w:p w14:paraId="3E1302F6" w14:textId="7190F092" w:rsidR="001F4477" w:rsidRDefault="001F4477" w:rsidP="008412AC">
      <w:pPr>
        <w:pStyle w:val="EmphasisPanelBullet"/>
      </w:pPr>
      <w:r>
        <w:t xml:space="preserve">Asking consumers to use their </w:t>
      </w:r>
      <w:r w:rsidR="00F635DE">
        <w:t>National Metering Identifier (</w:t>
      </w:r>
      <w:r>
        <w:t>NMI</w:t>
      </w:r>
      <w:r w:rsidR="00F635DE">
        <w:t>)</w:t>
      </w:r>
      <w:r>
        <w:t xml:space="preserve"> data by default reduce</w:t>
      </w:r>
      <w:r w:rsidR="0027039E">
        <w:t xml:space="preserve">d </w:t>
      </w:r>
      <w:r>
        <w:t>friction, as this pathway provide</w:t>
      </w:r>
      <w:r w:rsidR="0027039E">
        <w:t>d</w:t>
      </w:r>
      <w:r>
        <w:t xml:space="preserve"> the quickest and most accurate results. A skip option</w:t>
      </w:r>
      <w:r w:rsidR="0027039E">
        <w:t xml:space="preserve"> was designed to</w:t>
      </w:r>
      <w:r>
        <w:t xml:space="preserve"> direct consumers to the </w:t>
      </w:r>
      <w:r w:rsidR="0027039E">
        <w:t>‘</w:t>
      </w:r>
      <w:r>
        <w:t>no bill or no meter data</w:t>
      </w:r>
      <w:r w:rsidR="0027039E">
        <w:t>’</w:t>
      </w:r>
      <w:r>
        <w:t xml:space="preserve"> pathway. This recommendation was implemented on the EME website.</w:t>
      </w:r>
    </w:p>
    <w:p w14:paraId="3D09C04D" w14:textId="670E34C2" w:rsidR="0079303A" w:rsidRDefault="0079303A" w:rsidP="008412AC">
      <w:pPr>
        <w:pStyle w:val="EmphasisPanelBullet"/>
      </w:pPr>
      <w:r>
        <w:t xml:space="preserve">Price was the most important factor to the majority of users, therefore the results page </w:t>
      </w:r>
      <w:r w:rsidR="0027039E">
        <w:t>needed to</w:t>
      </w:r>
      <w:r>
        <w:t xml:space="preserve"> reflect the main pricing structure of a plan</w:t>
      </w:r>
      <w:r w:rsidR="001F4477">
        <w:t>,</w:t>
      </w:r>
      <w:r w:rsidR="0027039E">
        <w:t xml:space="preserve"> rather than </w:t>
      </w:r>
      <w:r>
        <w:t xml:space="preserve">minor </w:t>
      </w:r>
      <w:r w:rsidR="001F4477">
        <w:t xml:space="preserve">or infrequent </w:t>
      </w:r>
      <w:r>
        <w:t>fees. This was implemented on the EME website.</w:t>
      </w:r>
    </w:p>
    <w:p w14:paraId="021AF156" w14:textId="663F7594" w:rsidR="0079303A" w:rsidRDefault="0079303A" w:rsidP="008412AC">
      <w:pPr>
        <w:pStyle w:val="EmphasisPanelBullet"/>
      </w:pPr>
      <w:r>
        <w:t>Special offer messages on the results page dr</w:t>
      </w:r>
      <w:r w:rsidR="0027039E">
        <w:t>ew</w:t>
      </w:r>
      <w:r>
        <w:t xml:space="preserve"> attention to those </w:t>
      </w:r>
      <w:r w:rsidR="009E01D3">
        <w:t>plans, even if they</w:t>
      </w:r>
      <w:r>
        <w:t xml:space="preserve"> d</w:t>
      </w:r>
      <w:r w:rsidR="0027039E">
        <w:t>id</w:t>
      </w:r>
      <w:r>
        <w:t xml:space="preserve"> not present the best </w:t>
      </w:r>
      <w:r w:rsidR="009E01D3">
        <w:t xml:space="preserve">value </w:t>
      </w:r>
      <w:r>
        <w:t xml:space="preserve">to the consumer. BETA recommended removing or de-emphasising special offers on the results page and only presenting discount information on the individual plan page with detailed eligibility information. This was not implemented on the EME website. </w:t>
      </w:r>
    </w:p>
    <w:p w14:paraId="557F5FC4" w14:textId="16D3D5B8" w:rsidR="001F4477" w:rsidRDefault="00944EFF" w:rsidP="008412AC">
      <w:pPr>
        <w:pStyle w:val="EmphasisPanelBullet"/>
      </w:pPr>
      <w:r>
        <w:t>Bumping a consumer’s</w:t>
      </w:r>
      <w:r w:rsidR="001F4477">
        <w:t xml:space="preserve"> current retailer’s lowest offer to the top of the </w:t>
      </w:r>
      <w:r w:rsidR="0027039E">
        <w:t>list of results</w:t>
      </w:r>
      <w:r w:rsidR="001F4477">
        <w:t xml:space="preserve"> </w:t>
      </w:r>
      <w:r w:rsidR="0027039E">
        <w:t>and</w:t>
      </w:r>
      <w:r w:rsidR="001F4477">
        <w:t xml:space="preserve"> stating how much </w:t>
      </w:r>
      <w:r w:rsidR="0027039E">
        <w:t xml:space="preserve">more </w:t>
      </w:r>
      <w:r w:rsidR="001F4477">
        <w:t xml:space="preserve">it cost </w:t>
      </w:r>
      <w:r w:rsidR="0027039E">
        <w:t xml:space="preserve">than </w:t>
      </w:r>
      <w:r w:rsidR="001F4477">
        <w:t xml:space="preserve">the most competitive </w:t>
      </w:r>
      <w:r w:rsidR="0027039E">
        <w:t>plan overall</w:t>
      </w:r>
      <w:r w:rsidR="001F4477">
        <w:t xml:space="preserve"> </w:t>
      </w:r>
      <w:r w:rsidR="0027039E">
        <w:t xml:space="preserve">made the consumer more likely to switch plans. This </w:t>
      </w:r>
      <w:r w:rsidR="001F4477">
        <w:t xml:space="preserve">was implemented on the EME website. </w:t>
      </w:r>
    </w:p>
    <w:p w14:paraId="78718163" w14:textId="3BF1D7EC" w:rsidR="000B2233" w:rsidRDefault="006428E0" w:rsidP="000B2233">
      <w:pPr>
        <w:pStyle w:val="Heading3"/>
      </w:pPr>
      <w:r w:rsidRPr="006428E0">
        <w:t>Consumers needed help to get personalised and accurate results</w:t>
      </w:r>
    </w:p>
    <w:p w14:paraId="50C692C7" w14:textId="15D35212" w:rsidR="00E43AEC" w:rsidRDefault="00801B90">
      <w:r>
        <w:t>To see a personalised list of plans, EME users ha</w:t>
      </w:r>
      <w:r w:rsidR="0027039E">
        <w:t>d</w:t>
      </w:r>
      <w:r>
        <w:t xml:space="preserve"> to answer a set of questions </w:t>
      </w:r>
      <w:r w:rsidR="0027039E">
        <w:t xml:space="preserve">about </w:t>
      </w:r>
      <w:r>
        <w:t>their location and energy usage. This ‘funnel’ on the original website contained pain points that made it difficult for consumers to answer accurately.</w:t>
      </w:r>
    </w:p>
    <w:p w14:paraId="6701684B" w14:textId="2B1D9E1B" w:rsidR="00801B90" w:rsidRDefault="00801B90" w:rsidP="00801B90">
      <w:r>
        <w:t>The original website offered users a choice of 4 alternative pathways</w:t>
      </w:r>
      <w:r w:rsidR="009C5233">
        <w:t xml:space="preserve">. </w:t>
      </w:r>
      <w:r>
        <w:t>3</w:t>
      </w:r>
      <w:r w:rsidR="0027039E">
        <w:t xml:space="preserve"> of these</w:t>
      </w:r>
      <w:r>
        <w:t xml:space="preserve"> </w:t>
      </w:r>
      <w:r w:rsidR="0027039E">
        <w:t>provided</w:t>
      </w:r>
      <w:r>
        <w:t xml:space="preserve"> a personalised result, the 4</w:t>
      </w:r>
      <w:r w:rsidRPr="008412AC">
        <w:rPr>
          <w:vertAlign w:val="superscript"/>
        </w:rPr>
        <w:t>th</w:t>
      </w:r>
      <w:r>
        <w:t xml:space="preserve"> allowed consumers to</w:t>
      </w:r>
      <w:r w:rsidR="0027039E">
        <w:t xml:space="preserve"> continue</w:t>
      </w:r>
      <w:r>
        <w:t xml:space="preserve"> without sharing usage data</w:t>
      </w:r>
      <w:r w:rsidR="009C5233">
        <w:t xml:space="preserve"> (</w:t>
      </w:r>
      <w:r w:rsidR="009C5233">
        <w:fldChar w:fldCharType="begin"/>
      </w:r>
      <w:r w:rsidR="009C5233">
        <w:instrText xml:space="preserve"> REF _Ref184217059 \h </w:instrText>
      </w:r>
      <w:r w:rsidR="009C5233">
        <w:fldChar w:fldCharType="separate"/>
      </w:r>
      <w:r w:rsidR="009C5233">
        <w:t xml:space="preserve">Figure </w:t>
      </w:r>
      <w:r w:rsidR="009C5233">
        <w:rPr>
          <w:noProof/>
        </w:rPr>
        <w:t>1</w:t>
      </w:r>
      <w:r w:rsidR="009C5233">
        <w:fldChar w:fldCharType="end"/>
      </w:r>
      <w:r w:rsidR="009C5233">
        <w:t>)</w:t>
      </w:r>
      <w:r>
        <w:t>.</w:t>
      </w:r>
      <w:r w:rsidR="00EC5612">
        <w:t xml:space="preserve"> </w:t>
      </w:r>
      <w:r w:rsidR="0027039E">
        <w:t>Th</w:t>
      </w:r>
      <w:r>
        <w:t xml:space="preserve">e presentation of these </w:t>
      </w:r>
      <w:r w:rsidR="0027039E">
        <w:t>pathways</w:t>
      </w:r>
      <w:r>
        <w:t xml:space="preserve"> didn’t </w:t>
      </w:r>
      <w:r w:rsidR="0027039E">
        <w:t>tell people how long each one would take</w:t>
      </w:r>
      <w:r>
        <w:t xml:space="preserve">, or </w:t>
      </w:r>
      <w:r w:rsidR="0027039E">
        <w:t>whether</w:t>
      </w:r>
      <w:r>
        <w:t xml:space="preserve"> </w:t>
      </w:r>
      <w:r w:rsidR="0027039E">
        <w:t>some pathways</w:t>
      </w:r>
      <w:r>
        <w:t xml:space="preserve"> would </w:t>
      </w:r>
      <w:r w:rsidR="0027039E">
        <w:t>produce</w:t>
      </w:r>
      <w:r>
        <w:t xml:space="preserve"> more accurate result</w:t>
      </w:r>
      <w:r w:rsidR="0027039E">
        <w:t>s than others.</w:t>
      </w:r>
    </w:p>
    <w:p w14:paraId="5E1125DF" w14:textId="77777777" w:rsidR="00F46EF6" w:rsidRDefault="00400A8C" w:rsidP="00EE4B6E">
      <w:pPr>
        <w:keepNext/>
        <w:jc w:val="both"/>
      </w:pPr>
      <w:r w:rsidRPr="00235DEB">
        <w:rPr>
          <w:noProof/>
        </w:rPr>
        <w:lastRenderedPageBreak/>
        <w:drawing>
          <wp:inline distT="0" distB="0" distL="0" distR="0" wp14:anchorId="7A131B19" wp14:editId="35797A08">
            <wp:extent cx="4677428" cy="1981477"/>
            <wp:effectExtent l="152400" t="152400" r="351790" b="361950"/>
            <wp:docPr id="50" name="Picture 50" descr="Tell us about your energy usage. Provide your usage information for more personalised results. Blue link: Why provider your energy usage to Energy Made Easy? Four option boxes show: Use my meter data, upload PDF bill, I have a paper bill, continue with no bill or no meter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77428" cy="1981477"/>
                    </a:xfrm>
                    <a:prstGeom prst="rect">
                      <a:avLst/>
                    </a:prstGeom>
                    <a:ln>
                      <a:noFill/>
                    </a:ln>
                    <a:effectLst>
                      <a:outerShdw blurRad="292100" dist="139700" dir="2700000" algn="tl" rotWithShape="0">
                        <a:srgbClr val="333333">
                          <a:alpha val="65000"/>
                        </a:srgbClr>
                      </a:outerShdw>
                    </a:effectLst>
                  </pic:spPr>
                </pic:pic>
              </a:graphicData>
            </a:graphic>
          </wp:inline>
        </w:drawing>
      </w:r>
    </w:p>
    <w:p w14:paraId="14CA4804" w14:textId="00919E9B" w:rsidR="00945D72" w:rsidRDefault="00F46EF6" w:rsidP="00D80D4D">
      <w:pPr>
        <w:pStyle w:val="Caption"/>
        <w:outlineLvl w:val="3"/>
      </w:pPr>
      <w:bookmarkStart w:id="29" w:name="_Ref184217059"/>
      <w:r>
        <w:t xml:space="preserve">Figure </w:t>
      </w:r>
      <w:fldSimple w:instr=" SEQ Figure \* ARABIC ">
        <w:r w:rsidR="00AA4280">
          <w:rPr>
            <w:noProof/>
          </w:rPr>
          <w:t>1</w:t>
        </w:r>
      </w:fldSimple>
      <w:bookmarkEnd w:id="29"/>
      <w:r>
        <w:t xml:space="preserve">. </w:t>
      </w:r>
      <w:r>
        <w:tab/>
        <w:t xml:space="preserve">The </w:t>
      </w:r>
      <w:r w:rsidRPr="00A62116">
        <w:t xml:space="preserve">original Energy Made Easy website offered </w:t>
      </w:r>
      <w:r w:rsidR="001C69F7">
        <w:t>consumers</w:t>
      </w:r>
      <w:r w:rsidRPr="00A62116">
        <w:t xml:space="preserve"> four alternate ways to share their data.</w:t>
      </w:r>
    </w:p>
    <w:p w14:paraId="55D7D5CF" w14:textId="2B1D0EB7" w:rsidR="000A5E86" w:rsidRPr="001B5C30" w:rsidRDefault="00040BAE" w:rsidP="00D26AAB">
      <w:pPr>
        <w:pStyle w:val="EmphasisPanelBody"/>
        <w:outlineLvl w:val="3"/>
        <w:rPr>
          <w:b/>
        </w:rPr>
      </w:pPr>
      <w:r w:rsidRPr="001B5C30">
        <w:rPr>
          <w:b/>
        </w:rPr>
        <w:t>Option 1. Us</w:t>
      </w:r>
      <w:r w:rsidR="000A5E86" w:rsidRPr="001B5C30">
        <w:rPr>
          <w:b/>
        </w:rPr>
        <w:t>e my meter data</w:t>
      </w:r>
    </w:p>
    <w:p w14:paraId="3A4B18F6" w14:textId="05346463" w:rsidR="00CE430D" w:rsidRDefault="009B36D8">
      <w:r>
        <w:t xml:space="preserve">This was the quickest method and yielded accurate results. </w:t>
      </w:r>
      <w:r w:rsidR="000A5E86">
        <w:t xml:space="preserve">This pathway </w:t>
      </w:r>
      <w:r w:rsidR="004A0852">
        <w:t xml:space="preserve">asked consumers </w:t>
      </w:r>
      <w:r w:rsidR="000A5E86">
        <w:t xml:space="preserve">to enter their </w:t>
      </w:r>
      <w:r w:rsidR="00EB741A">
        <w:t>NMI</w:t>
      </w:r>
      <w:r w:rsidR="000A5E86">
        <w:t xml:space="preserve"> into the EME website,</w:t>
      </w:r>
      <w:r w:rsidR="00C72CB4">
        <w:t xml:space="preserve"> give</w:t>
      </w:r>
      <w:r w:rsidR="000A5E86">
        <w:t xml:space="preserve"> consent to l</w:t>
      </w:r>
      <w:r w:rsidR="00EB741A">
        <w:t xml:space="preserve">ink to their data held by the </w:t>
      </w:r>
      <w:r w:rsidR="000A5E86">
        <w:t>Australian Energy Market Operator</w:t>
      </w:r>
      <w:r w:rsidR="00EB741A">
        <w:t xml:space="preserve"> (AEMO</w:t>
      </w:r>
      <w:r w:rsidR="000A5E86">
        <w:t xml:space="preserve">), which included consumption over the past year, meter types, solar exports and controlled load. </w:t>
      </w:r>
    </w:p>
    <w:p w14:paraId="2795E862" w14:textId="0B31766D" w:rsidR="000A5E86" w:rsidRDefault="000A5E86">
      <w:r>
        <w:t>When we surveyed</w:t>
      </w:r>
      <w:r w:rsidRPr="00B7719C">
        <w:t xml:space="preserve"> EME users about </w:t>
      </w:r>
      <w:r>
        <w:t>choice of data sharing pathway, only 27% reported choosing the NMI pathway (</w:t>
      </w:r>
      <w:r w:rsidR="00C670CD">
        <w:fldChar w:fldCharType="begin"/>
      </w:r>
      <w:r w:rsidR="00C670CD">
        <w:instrText xml:space="preserve"> REF _Ref185595541 \h </w:instrText>
      </w:r>
      <w:r w:rsidR="00E43AEC">
        <w:instrText xml:space="preserve"> \* MERGEFORMAT </w:instrText>
      </w:r>
      <w:r w:rsidR="00C670CD">
        <w:fldChar w:fldCharType="separate"/>
      </w:r>
      <w:r w:rsidR="00CA7D15">
        <w:t xml:space="preserve">Figure </w:t>
      </w:r>
      <w:r w:rsidR="00CA7D15">
        <w:rPr>
          <w:noProof/>
        </w:rPr>
        <w:t>2</w:t>
      </w:r>
      <w:r w:rsidR="00C670CD">
        <w:fldChar w:fldCharType="end"/>
      </w:r>
      <w:r w:rsidR="00C670CD">
        <w:t xml:space="preserve">, </w:t>
      </w:r>
      <w:r w:rsidR="006B4A44">
        <w:rPr>
          <w:i/>
        </w:rPr>
        <w:t>‘</w:t>
      </w:r>
      <w:r w:rsidR="00B96CE8" w:rsidRPr="00B96CE8">
        <w:rPr>
          <w:i/>
        </w:rPr>
        <w:t>Website Search Pathway Survey data</w:t>
      </w:r>
      <w:r w:rsidR="006B4A44">
        <w:rPr>
          <w:i/>
        </w:rPr>
        <w:t>’</w:t>
      </w:r>
      <w:r w:rsidR="00F23A60">
        <w:t xml:space="preserve"> 202</w:t>
      </w:r>
      <w:r w:rsidR="00D300C9">
        <w:t>1</w:t>
      </w:r>
      <w:r>
        <w:t>). Users who selected this pathway were attracted to the ease, accuracy and convenience of this method, especially when they understood how to find the NMI and that the linkage was instant. Some misconceptions (</w:t>
      </w:r>
      <w:r w:rsidR="006B4A44">
        <w:rPr>
          <w:i/>
        </w:rPr>
        <w:t>‘</w:t>
      </w:r>
      <w:r w:rsidR="00B96CE8" w:rsidRPr="00B96CE8">
        <w:rPr>
          <w:i/>
        </w:rPr>
        <w:t>Website Search Pathway Survey data</w:t>
      </w:r>
      <w:r w:rsidR="006B4A44">
        <w:rPr>
          <w:i/>
        </w:rPr>
        <w:t>’</w:t>
      </w:r>
      <w:r w:rsidR="00D300C9">
        <w:t xml:space="preserve"> 2021</w:t>
      </w:r>
      <w:r>
        <w:t xml:space="preserve">, </w:t>
      </w:r>
      <w:r w:rsidR="006B4A44">
        <w:rPr>
          <w:i/>
        </w:rPr>
        <w:t>‘</w:t>
      </w:r>
      <w:r w:rsidR="00B96CE8" w:rsidRPr="00B96CE8">
        <w:rPr>
          <w:i/>
        </w:rPr>
        <w:t>Website User-Testing data</w:t>
      </w:r>
      <w:r w:rsidR="006B4A44">
        <w:rPr>
          <w:i/>
        </w:rPr>
        <w:t>’</w:t>
      </w:r>
      <w:r w:rsidR="003E2F4E">
        <w:t xml:space="preserve"> </w:t>
      </w:r>
      <w:r w:rsidR="00F23A60">
        <w:t>2022</w:t>
      </w:r>
      <w:r>
        <w:t>) included concerns that they would need to wait for the meter to be read, or need to walk outside and look at their meter.</w:t>
      </w:r>
    </w:p>
    <w:p w14:paraId="62286429" w14:textId="5BC8F930" w:rsidR="00B96CE8" w:rsidRDefault="00B96CE8" w:rsidP="000A5E86">
      <w:r>
        <w:rPr>
          <w:noProof/>
        </w:rPr>
        <w:drawing>
          <wp:inline distT="0" distB="0" distL="0" distR="0" wp14:anchorId="190E0A28" wp14:editId="7E6F5974">
            <wp:extent cx="3678470" cy="2003612"/>
            <wp:effectExtent l="0" t="0" r="0" b="0"/>
            <wp:docPr id="8" name="Picture 8" descr="Column graph showing % of EME users selecting each data sharing pathway on the Energy Made Easy website in December 2021. Use my meter data 27%. Upload PDF bill 20%. I have a paper bill 19%. Continue with no bill or no meter dat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94874" cy="2012547"/>
                    </a:xfrm>
                    <a:prstGeom prst="rect">
                      <a:avLst/>
                    </a:prstGeom>
                    <a:noFill/>
                  </pic:spPr>
                </pic:pic>
              </a:graphicData>
            </a:graphic>
          </wp:inline>
        </w:drawing>
      </w:r>
    </w:p>
    <w:p w14:paraId="2E9F05F4" w14:textId="4D031179" w:rsidR="00C670CD" w:rsidRDefault="00B96CE8" w:rsidP="00C670CD">
      <w:pPr>
        <w:pStyle w:val="Caption"/>
        <w:outlineLvl w:val="3"/>
      </w:pPr>
      <w:bookmarkStart w:id="30" w:name="_Ref185595541"/>
      <w:r>
        <w:t xml:space="preserve">Figure </w:t>
      </w:r>
      <w:fldSimple w:instr=" SEQ Figure \* ARABIC ">
        <w:r w:rsidR="00AA4280">
          <w:rPr>
            <w:noProof/>
          </w:rPr>
          <w:t>2</w:t>
        </w:r>
      </w:fldSimple>
      <w:bookmarkEnd w:id="30"/>
      <w:r>
        <w:t xml:space="preserve">. </w:t>
      </w:r>
      <w:r>
        <w:tab/>
      </w:r>
      <w:r w:rsidR="002328CC">
        <w:t>EME users who completed the pop-up survey in 2021 were most likely to choose not to share any data</w:t>
      </w:r>
      <w:r w:rsidR="002328CC" w:rsidRPr="002328CC">
        <w:rPr>
          <w:b w:val="0"/>
        </w:rPr>
        <w:t xml:space="preserve"> </w:t>
      </w:r>
    </w:p>
    <w:p w14:paraId="3D539754" w14:textId="1246B691" w:rsidR="00C670CD" w:rsidRPr="00C670CD" w:rsidRDefault="006B4A44" w:rsidP="00C670CD">
      <w:pPr>
        <w:pStyle w:val="SourceNotesText"/>
      </w:pPr>
      <w:r>
        <w:lastRenderedPageBreak/>
        <w:t>‘</w:t>
      </w:r>
      <w:r w:rsidR="00C670CD" w:rsidRPr="00C670CD">
        <w:t>Website Search Pathway Survey data</w:t>
      </w:r>
      <w:r>
        <w:t>’</w:t>
      </w:r>
      <w:r w:rsidR="00C670CD" w:rsidRPr="00C670CD">
        <w:t xml:space="preserve"> 2021</w:t>
      </w:r>
      <w:r w:rsidR="00C670CD">
        <w:t>. N=15,306.</w:t>
      </w:r>
    </w:p>
    <w:p w14:paraId="3D00C12F" w14:textId="0F85AF76" w:rsidR="000A5E86" w:rsidRPr="000964D4" w:rsidRDefault="000A5E86" w:rsidP="000A5E86">
      <w:r>
        <w:t xml:space="preserve">General confusion about what the NMI was and where it could be found were larger barriers. In our </w:t>
      </w:r>
      <w:r w:rsidR="00A6431C">
        <w:t>user-testing</w:t>
      </w:r>
      <w:r>
        <w:t>, s</w:t>
      </w:r>
      <w:r w:rsidRPr="000964D4">
        <w:t xml:space="preserve">ome comments </w:t>
      </w:r>
      <w:r>
        <w:t>highlighted this</w:t>
      </w:r>
      <w:r w:rsidRPr="000964D4">
        <w:t xml:space="preserve"> lack of awareness</w:t>
      </w:r>
      <w:r>
        <w:t>,</w:t>
      </w:r>
      <w:r w:rsidRPr="000964D4">
        <w:t xml:space="preserve"> such as, </w:t>
      </w:r>
      <w:r w:rsidR="003E2F4E" w:rsidRPr="00486339">
        <w:rPr>
          <w:color w:val="2158A9" w:themeColor="accent2"/>
        </w:rPr>
        <w:t>‘</w:t>
      </w:r>
      <w:r w:rsidRPr="00486339">
        <w:rPr>
          <w:rStyle w:val="QuoteChar"/>
          <w:color w:val="2158A9" w:themeColor="accent2"/>
        </w:rPr>
        <w:t>I wouldn’t use the NMI regardless because it just is not what I know</w:t>
      </w:r>
      <w:r w:rsidR="003E2F4E" w:rsidRPr="00486339">
        <w:rPr>
          <w:rStyle w:val="QuoteChar"/>
          <w:color w:val="2158A9" w:themeColor="accent2"/>
        </w:rPr>
        <w:t>’</w:t>
      </w:r>
      <w:r w:rsidRPr="00486339">
        <w:rPr>
          <w:color w:val="2158A9" w:themeColor="accent2"/>
        </w:rPr>
        <w:t xml:space="preserve"> </w:t>
      </w:r>
      <w:r w:rsidRPr="003E2F4E">
        <w:t>(</w:t>
      </w:r>
      <w:r w:rsidR="006B4A44">
        <w:rPr>
          <w:i/>
        </w:rPr>
        <w:t>‘</w:t>
      </w:r>
      <w:r w:rsidR="00B96CE8" w:rsidRPr="00B96CE8">
        <w:rPr>
          <w:i/>
        </w:rPr>
        <w:t>Website User-Testing data</w:t>
      </w:r>
      <w:r w:rsidR="006B4A44">
        <w:rPr>
          <w:i/>
        </w:rPr>
        <w:t>’</w:t>
      </w:r>
      <w:r w:rsidR="003E2F4E">
        <w:t xml:space="preserve"> 2022</w:t>
      </w:r>
      <w:r>
        <w:t xml:space="preserve">). </w:t>
      </w:r>
      <w:r w:rsidRPr="000964D4">
        <w:t xml:space="preserve">While this response should not be overstated, it </w:t>
      </w:r>
      <w:r w:rsidR="009B36D8">
        <w:t>suggests</w:t>
      </w:r>
      <w:r>
        <w:t xml:space="preserve"> that</w:t>
      </w:r>
      <w:r w:rsidRPr="000964D4">
        <w:t xml:space="preserve"> </w:t>
      </w:r>
      <w:r>
        <w:t xml:space="preserve">some </w:t>
      </w:r>
      <w:r w:rsidR="001C69F7">
        <w:t>consumers</w:t>
      </w:r>
      <w:r w:rsidRPr="000964D4">
        <w:t xml:space="preserve"> might reject </w:t>
      </w:r>
      <w:r w:rsidR="009B36D8">
        <w:t>this option</w:t>
      </w:r>
      <w:r w:rsidRPr="000964D4">
        <w:t xml:space="preserve"> because it is </w:t>
      </w:r>
      <w:r>
        <w:t>unfamiliar</w:t>
      </w:r>
      <w:r w:rsidRPr="000964D4">
        <w:t xml:space="preserve">. </w:t>
      </w:r>
    </w:p>
    <w:p w14:paraId="54D00A5C" w14:textId="6D8AE39A" w:rsidR="000A5E86" w:rsidRDefault="008901EB" w:rsidP="000A5E86">
      <w:pPr>
        <w:rPr>
          <w:rStyle w:val="QuoteChar"/>
        </w:rPr>
      </w:pPr>
      <w:r>
        <w:t xml:space="preserve">The NMI, </w:t>
      </w:r>
      <w:r w:rsidR="000A5E86">
        <w:t xml:space="preserve">once </w:t>
      </w:r>
      <w:r w:rsidR="001C69F7">
        <w:t>consumers</w:t>
      </w:r>
      <w:r w:rsidR="000A5E86">
        <w:t xml:space="preserve"> saw what it could do</w:t>
      </w:r>
      <w:r w:rsidR="003B7A38">
        <w:t xml:space="preserve"> in </w:t>
      </w:r>
      <w:r w:rsidR="00A6431C">
        <w:t>user-testing</w:t>
      </w:r>
      <w:r>
        <w:t>,</w:t>
      </w:r>
      <w:r w:rsidR="000A5E86">
        <w:t xml:space="preserve"> elicited enthusiastic comments: </w:t>
      </w:r>
      <w:r w:rsidR="003E2F4E" w:rsidRPr="00486339">
        <w:rPr>
          <w:color w:val="2158A9" w:themeColor="accent2"/>
        </w:rPr>
        <w:t>‘</w:t>
      </w:r>
      <w:r w:rsidR="000A5E86" w:rsidRPr="00486339">
        <w:rPr>
          <w:rStyle w:val="QuoteChar"/>
          <w:color w:val="2158A9" w:themeColor="accent2"/>
        </w:rPr>
        <w:t>It’s real for me, and shows me how much energy I use and don’t have to go through my usage and work it out, I’m pretty happy that it’s recorded accurately through the meter</w:t>
      </w:r>
      <w:r w:rsidR="003E2F4E" w:rsidRPr="00486339">
        <w:rPr>
          <w:rStyle w:val="QuoteChar"/>
          <w:color w:val="2158A9" w:themeColor="accent2"/>
        </w:rPr>
        <w:t>.’</w:t>
      </w:r>
      <w:r w:rsidR="000A5E86" w:rsidRPr="00486339">
        <w:rPr>
          <w:rStyle w:val="QuoteChar"/>
          <w:color w:val="2158A9" w:themeColor="accent2"/>
        </w:rPr>
        <w:t xml:space="preserve"> </w:t>
      </w:r>
      <w:r w:rsidR="000A5E86" w:rsidRPr="003E2F4E">
        <w:rPr>
          <w:rStyle w:val="QuoteChar"/>
          <w:i w:val="0"/>
          <w:color w:val="auto"/>
        </w:rPr>
        <w:t>(</w:t>
      </w:r>
      <w:r w:rsidR="006B4A44">
        <w:rPr>
          <w:rStyle w:val="QuoteChar"/>
          <w:color w:val="auto"/>
        </w:rPr>
        <w:t>‘</w:t>
      </w:r>
      <w:r w:rsidR="00B96CE8" w:rsidRPr="00B96CE8">
        <w:rPr>
          <w:rStyle w:val="QuoteChar"/>
          <w:color w:val="auto"/>
        </w:rPr>
        <w:t>Website User-Testing data</w:t>
      </w:r>
      <w:r w:rsidR="006B4A44">
        <w:rPr>
          <w:rStyle w:val="QuoteChar"/>
          <w:color w:val="auto"/>
        </w:rPr>
        <w:t>’</w:t>
      </w:r>
      <w:r w:rsidR="003E2F4E" w:rsidRPr="003E2F4E">
        <w:rPr>
          <w:rStyle w:val="QuoteChar"/>
          <w:i w:val="0"/>
          <w:color w:val="auto"/>
        </w:rPr>
        <w:t xml:space="preserve"> 2022</w:t>
      </w:r>
      <w:r w:rsidR="000A5E86" w:rsidRPr="003E2F4E">
        <w:rPr>
          <w:rStyle w:val="QuoteChar"/>
          <w:i w:val="0"/>
          <w:color w:val="auto"/>
        </w:rPr>
        <w:t>)</w:t>
      </w:r>
      <w:r w:rsidR="000A5E86" w:rsidRPr="003E2F4E">
        <w:rPr>
          <w:rStyle w:val="QuoteChar"/>
          <w:color w:val="auto"/>
        </w:rPr>
        <w:t xml:space="preserve">. </w:t>
      </w:r>
    </w:p>
    <w:p w14:paraId="194A6032" w14:textId="31688A3A" w:rsidR="003B7A38" w:rsidRPr="001B5C30" w:rsidRDefault="00591345" w:rsidP="00D26AAB">
      <w:pPr>
        <w:pStyle w:val="EmphasisPanelBody"/>
        <w:outlineLvl w:val="3"/>
        <w:rPr>
          <w:b/>
        </w:rPr>
      </w:pPr>
      <w:r w:rsidRPr="001B5C30">
        <w:rPr>
          <w:b/>
        </w:rPr>
        <w:t xml:space="preserve">Option 2: </w:t>
      </w:r>
      <w:r w:rsidR="003B7A38" w:rsidRPr="001B5C30">
        <w:rPr>
          <w:b/>
        </w:rPr>
        <w:t>Upload PDF bill</w:t>
      </w:r>
    </w:p>
    <w:p w14:paraId="64112CFC" w14:textId="50585BC3" w:rsidR="003B7A38" w:rsidRDefault="003B7A38" w:rsidP="003B7A38">
      <w:r>
        <w:t>The major problem with this option was that the PDF reader often rejected bills as unreadable, so this pathway created a lot of frustration for users.</w:t>
      </w:r>
    </w:p>
    <w:p w14:paraId="55591CBA" w14:textId="1DF151C9" w:rsidR="003B7A38" w:rsidRPr="003E2F4E" w:rsidRDefault="009B36D8" w:rsidP="003B7A38">
      <w:pPr>
        <w:rPr>
          <w:rStyle w:val="QuoteChar"/>
          <w:color w:val="auto"/>
        </w:rPr>
      </w:pPr>
      <w:r>
        <w:t>When</w:t>
      </w:r>
      <w:r w:rsidR="003B7A38">
        <w:t xml:space="preserve"> it did work, there were mixed responses to the ease and speed of this process. One user thought this would be </w:t>
      </w:r>
      <w:r w:rsidR="003E2F4E" w:rsidRPr="00486339">
        <w:rPr>
          <w:color w:val="2158A9" w:themeColor="accent2"/>
        </w:rPr>
        <w:t>‘</w:t>
      </w:r>
      <w:r w:rsidR="003B7A38" w:rsidRPr="00486339">
        <w:rPr>
          <w:rStyle w:val="QuoteChar"/>
          <w:color w:val="2158A9" w:themeColor="accent2"/>
        </w:rPr>
        <w:t>probably less buttons to click</w:t>
      </w:r>
      <w:r w:rsidR="003E2F4E" w:rsidRPr="00486339">
        <w:rPr>
          <w:rStyle w:val="QuoteChar"/>
          <w:color w:val="2158A9" w:themeColor="accent2"/>
        </w:rPr>
        <w:t>’</w:t>
      </w:r>
      <w:r w:rsidR="003B7A38" w:rsidRPr="0077460B">
        <w:rPr>
          <w:i/>
        </w:rPr>
        <w:t xml:space="preserve">. </w:t>
      </w:r>
      <w:r w:rsidR="003B7A38">
        <w:t xml:space="preserve">Another identified this as an option they would prefer: </w:t>
      </w:r>
      <w:r w:rsidR="003E2F4E" w:rsidRPr="00486339">
        <w:rPr>
          <w:color w:val="2158A9" w:themeColor="accent2"/>
        </w:rPr>
        <w:t>‘</w:t>
      </w:r>
      <w:r w:rsidR="003B7A38" w:rsidRPr="00486339">
        <w:rPr>
          <w:rStyle w:val="QuoteChar"/>
          <w:color w:val="2158A9" w:themeColor="accent2"/>
        </w:rPr>
        <w:t>would click on that, find my uploaded bill, that’s drag and drop, that’s even better</w:t>
      </w:r>
      <w:r w:rsidR="003B7A38" w:rsidRPr="00486339">
        <w:rPr>
          <w:i/>
          <w:color w:val="2158A9" w:themeColor="accent2"/>
        </w:rPr>
        <w:t>.</w:t>
      </w:r>
      <w:r w:rsidR="003E2F4E" w:rsidRPr="00486339">
        <w:rPr>
          <w:i/>
          <w:color w:val="2158A9" w:themeColor="accent2"/>
        </w:rPr>
        <w:t>’</w:t>
      </w:r>
      <w:r w:rsidR="003B7A38" w:rsidRPr="00486339">
        <w:rPr>
          <w:color w:val="2158A9" w:themeColor="accent2"/>
        </w:rPr>
        <w:t xml:space="preserve"> </w:t>
      </w:r>
      <w:r w:rsidR="003B7A38">
        <w:t xml:space="preserve">Another user was surprised to discover that the PDF reading process was instant: </w:t>
      </w:r>
      <w:r w:rsidR="003E2F4E" w:rsidRPr="00486339">
        <w:rPr>
          <w:color w:val="2158A9" w:themeColor="accent2"/>
        </w:rPr>
        <w:t>‘</w:t>
      </w:r>
      <w:r w:rsidR="003B7A38" w:rsidRPr="00486339">
        <w:rPr>
          <w:rStyle w:val="QuoteChar"/>
          <w:color w:val="2158A9" w:themeColor="accent2"/>
        </w:rPr>
        <w:t>It doesn’t feel like you’re going to get a timely response. It seems someone will get back to me</w:t>
      </w:r>
      <w:r w:rsidR="003E2F4E" w:rsidRPr="00486339">
        <w:rPr>
          <w:rStyle w:val="QuoteChar"/>
          <w:color w:val="2158A9" w:themeColor="accent2"/>
        </w:rPr>
        <w:t>.’</w:t>
      </w:r>
      <w:r w:rsidR="003B7A38" w:rsidRPr="00486339">
        <w:rPr>
          <w:rStyle w:val="QuoteChar"/>
          <w:color w:val="2158A9" w:themeColor="accent2"/>
        </w:rPr>
        <w:t xml:space="preserve"> </w:t>
      </w:r>
      <w:r w:rsidR="003B7A38" w:rsidRPr="003E2F4E">
        <w:rPr>
          <w:rStyle w:val="QuoteChar"/>
          <w:i w:val="0"/>
          <w:color w:val="auto"/>
        </w:rPr>
        <w:t>(</w:t>
      </w:r>
      <w:r w:rsidR="006B4A44">
        <w:rPr>
          <w:rStyle w:val="QuoteChar"/>
          <w:color w:val="auto"/>
        </w:rPr>
        <w:t>‘</w:t>
      </w:r>
      <w:r w:rsidR="00B96CE8" w:rsidRPr="00B96CE8">
        <w:rPr>
          <w:rStyle w:val="QuoteChar"/>
          <w:color w:val="auto"/>
        </w:rPr>
        <w:t>Website User-Testing data</w:t>
      </w:r>
      <w:r w:rsidR="006B4A44">
        <w:rPr>
          <w:rStyle w:val="QuoteChar"/>
          <w:color w:val="auto"/>
        </w:rPr>
        <w:t>’</w:t>
      </w:r>
      <w:r w:rsidR="003E2F4E">
        <w:rPr>
          <w:rStyle w:val="QuoteChar"/>
          <w:i w:val="0"/>
          <w:color w:val="auto"/>
        </w:rPr>
        <w:t xml:space="preserve"> </w:t>
      </w:r>
      <w:r w:rsidR="00F23A60" w:rsidRPr="003E2F4E">
        <w:rPr>
          <w:rStyle w:val="QuoteChar"/>
          <w:i w:val="0"/>
          <w:color w:val="auto"/>
        </w:rPr>
        <w:t>2022</w:t>
      </w:r>
      <w:r w:rsidR="003B7A38" w:rsidRPr="003E2F4E">
        <w:rPr>
          <w:rStyle w:val="QuoteChar"/>
          <w:i w:val="0"/>
          <w:color w:val="auto"/>
        </w:rPr>
        <w:t>).</w:t>
      </w:r>
    </w:p>
    <w:p w14:paraId="5DEDF354" w14:textId="20E09DFE" w:rsidR="003B7A38" w:rsidRPr="00486339" w:rsidRDefault="003B7A38" w:rsidP="000A5E86">
      <w:pPr>
        <w:rPr>
          <w:color w:val="2158A9" w:themeColor="accent2"/>
        </w:rPr>
      </w:pPr>
      <w:r>
        <w:t>Several users realised that it would not be quite as quick and convenient if you needed to upload multiple bills</w:t>
      </w:r>
      <w:r w:rsidR="00BE6AAF">
        <w:t>. One person</w:t>
      </w:r>
      <w:r>
        <w:t xml:space="preserve"> said: </w:t>
      </w:r>
      <w:r w:rsidR="003E2F4E" w:rsidRPr="00486339">
        <w:rPr>
          <w:color w:val="2158A9" w:themeColor="accent2"/>
        </w:rPr>
        <w:t>‘</w:t>
      </w:r>
      <w:r w:rsidRPr="00486339">
        <w:rPr>
          <w:rStyle w:val="QuoteChar"/>
          <w:color w:val="2158A9" w:themeColor="accent2"/>
        </w:rPr>
        <w:t>Perfect, I’m happy with that. Oh! Twelve months of bills, that will take more time but I am happy to start with one and then if I need more info I’d take it further and maybe upload two.</w:t>
      </w:r>
      <w:r w:rsidR="003E2F4E" w:rsidRPr="00486339">
        <w:rPr>
          <w:rStyle w:val="QuoteChar"/>
          <w:color w:val="2158A9" w:themeColor="accent2"/>
        </w:rPr>
        <w:t>’</w:t>
      </w:r>
      <w:r w:rsidRPr="00486339">
        <w:rPr>
          <w:color w:val="2158A9" w:themeColor="accent2"/>
        </w:rPr>
        <w:t xml:space="preserve"> </w:t>
      </w:r>
    </w:p>
    <w:p w14:paraId="207FD8B9" w14:textId="23F049FA" w:rsidR="000A5E86" w:rsidRPr="001B5C30" w:rsidRDefault="00591345" w:rsidP="00D26AAB">
      <w:pPr>
        <w:pStyle w:val="EmphasisPanelBody"/>
        <w:outlineLvl w:val="3"/>
        <w:rPr>
          <w:b/>
        </w:rPr>
      </w:pPr>
      <w:r w:rsidRPr="001B5C30">
        <w:rPr>
          <w:b/>
        </w:rPr>
        <w:t xml:space="preserve">Option 3: </w:t>
      </w:r>
      <w:r w:rsidR="000A5E86" w:rsidRPr="001B5C30">
        <w:rPr>
          <w:b/>
        </w:rPr>
        <w:t>I have a paper bill</w:t>
      </w:r>
    </w:p>
    <w:p w14:paraId="63A9F2EB" w14:textId="044A6CBB" w:rsidR="000A5E86" w:rsidRDefault="009B36D8">
      <w:r>
        <w:t>This was the most</w:t>
      </w:r>
      <w:r w:rsidR="000A5E86">
        <w:t xml:space="preserve"> </w:t>
      </w:r>
      <w:r w:rsidR="009C5233">
        <w:t xml:space="preserve">time-consuming </w:t>
      </w:r>
      <w:r w:rsidR="000A5E86">
        <w:t>option as users need</w:t>
      </w:r>
      <w:r w:rsidR="00C72CB4">
        <w:t>ed</w:t>
      </w:r>
      <w:r w:rsidR="000A5E86">
        <w:t xml:space="preserve"> to </w:t>
      </w:r>
      <w:r w:rsidR="004A0852">
        <w:t xml:space="preserve">manually </w:t>
      </w:r>
      <w:r w:rsidR="000A5E86">
        <w:t>enter all their</w:t>
      </w:r>
      <w:r>
        <w:t xml:space="preserve"> energy usage amounts </w:t>
      </w:r>
      <w:r w:rsidR="000A5E86">
        <w:t xml:space="preserve">and </w:t>
      </w:r>
      <w:r>
        <w:t xml:space="preserve">solar </w:t>
      </w:r>
      <w:r w:rsidR="000A5E86">
        <w:t xml:space="preserve">exports as listed on their bill. </w:t>
      </w:r>
      <w:r>
        <w:t>If they chose</w:t>
      </w:r>
      <w:r w:rsidR="000A5E86">
        <w:t xml:space="preserve"> to enter data from multiple bills, they </w:t>
      </w:r>
      <w:r>
        <w:t>needed</w:t>
      </w:r>
      <w:r w:rsidR="000A5E86">
        <w:t xml:space="preserve"> to add the various amounts together to c</w:t>
      </w:r>
      <w:r w:rsidR="00DB30AF">
        <w:t>omplete the form accurately (</w:t>
      </w:r>
      <w:r w:rsidR="004165CA">
        <w:fldChar w:fldCharType="begin"/>
      </w:r>
      <w:r w:rsidR="004165CA">
        <w:instrText xml:space="preserve"> REF _Ref184220961 \h </w:instrText>
      </w:r>
      <w:r w:rsidR="00E43AEC">
        <w:instrText xml:space="preserve"> \* MERGEFORMAT </w:instrText>
      </w:r>
      <w:r w:rsidR="004165CA">
        <w:fldChar w:fldCharType="separate"/>
      </w:r>
      <w:r w:rsidR="00CA7D15">
        <w:t xml:space="preserve">Figure </w:t>
      </w:r>
      <w:r w:rsidR="00CA7D15">
        <w:rPr>
          <w:noProof/>
        </w:rPr>
        <w:t>3</w:t>
      </w:r>
      <w:r w:rsidR="004165CA">
        <w:fldChar w:fldCharType="end"/>
      </w:r>
      <w:r w:rsidR="000A5E86">
        <w:t xml:space="preserve">). </w:t>
      </w:r>
    </w:p>
    <w:p w14:paraId="1CC582F6" w14:textId="3639F70F" w:rsidR="008B6F75" w:rsidRDefault="000A5E86">
      <w:r>
        <w:t xml:space="preserve">In </w:t>
      </w:r>
      <w:r w:rsidR="00A6431C">
        <w:t>user-testing</w:t>
      </w:r>
      <w:r>
        <w:t>, w</w:t>
      </w:r>
      <w:r w:rsidR="00564698">
        <w:t xml:space="preserve">e observed users making errors </w:t>
      </w:r>
      <w:r w:rsidR="00EB741A">
        <w:t>(</w:t>
      </w:r>
      <w:r w:rsidR="00564698">
        <w:t xml:space="preserve">e.g. </w:t>
      </w:r>
      <w:r>
        <w:t>omitting digits, entering daily average usage instead of total usage, and confusing off-peak usage and controlle</w:t>
      </w:r>
      <w:r w:rsidR="00564698">
        <w:t>d-load usage</w:t>
      </w:r>
      <w:r w:rsidR="00EB741A">
        <w:t>)</w:t>
      </w:r>
      <w:r>
        <w:t xml:space="preserve">. So in addition to being demanding, this pathway was error-prone. </w:t>
      </w:r>
    </w:p>
    <w:p w14:paraId="2739576B" w14:textId="77777777" w:rsidR="00D80D4D" w:rsidRDefault="000A5E86" w:rsidP="00EE4B6E">
      <w:pPr>
        <w:keepNext/>
        <w:jc w:val="both"/>
      </w:pPr>
      <w:r w:rsidRPr="00685A7C">
        <w:rPr>
          <w:noProof/>
        </w:rPr>
        <w:lastRenderedPageBreak/>
        <w:drawing>
          <wp:inline distT="0" distB="0" distL="0" distR="0" wp14:anchorId="46B3FF9D" wp14:editId="381F022A">
            <wp:extent cx="3295819" cy="4191215"/>
            <wp:effectExtent l="152400" t="152400" r="361950" b="361950"/>
            <wp:docPr id="51" name="Picture 51" descr="Example website page shows information for user input. Bill start date, bill end date, peak usage, off-peak usage, shoulder 1 usage (if any), shoulder 2 usage (if any), controlled load usage, solar 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95819" cy="4191215"/>
                    </a:xfrm>
                    <a:prstGeom prst="rect">
                      <a:avLst/>
                    </a:prstGeom>
                    <a:ln>
                      <a:noFill/>
                    </a:ln>
                    <a:effectLst>
                      <a:outerShdw blurRad="292100" dist="139700" dir="2700000" algn="tl" rotWithShape="0">
                        <a:srgbClr val="333333">
                          <a:alpha val="65000"/>
                        </a:srgbClr>
                      </a:outerShdw>
                    </a:effectLst>
                  </pic:spPr>
                </pic:pic>
              </a:graphicData>
            </a:graphic>
          </wp:inline>
        </w:drawing>
      </w:r>
    </w:p>
    <w:p w14:paraId="14F4C479" w14:textId="53E8DAE9" w:rsidR="00D80D4D" w:rsidRDefault="00D80D4D" w:rsidP="00D80D4D">
      <w:pPr>
        <w:pStyle w:val="Caption"/>
        <w:outlineLvl w:val="3"/>
      </w:pPr>
      <w:bookmarkStart w:id="31" w:name="_Ref184220961"/>
      <w:r>
        <w:t xml:space="preserve">Figure </w:t>
      </w:r>
      <w:fldSimple w:instr=" SEQ Figure \* ARABIC ">
        <w:r w:rsidR="00AA4280">
          <w:rPr>
            <w:noProof/>
          </w:rPr>
          <w:t>3</w:t>
        </w:r>
      </w:fldSimple>
      <w:bookmarkEnd w:id="31"/>
      <w:r>
        <w:t xml:space="preserve">. </w:t>
      </w:r>
      <w:r>
        <w:tab/>
      </w:r>
      <w:r w:rsidR="001C69F7">
        <w:t>Consumer</w:t>
      </w:r>
      <w:r w:rsidRPr="000507AC">
        <w:t>s selecting the manual entry pathway have to enter their total usage.</w:t>
      </w:r>
    </w:p>
    <w:p w14:paraId="0894483B" w14:textId="2F0AEC56" w:rsidR="000A5E86" w:rsidRPr="0077460B" w:rsidRDefault="00BE6AAF" w:rsidP="000A5E86">
      <w:r>
        <w:t>The</w:t>
      </w:r>
      <w:r w:rsidR="00520558">
        <w:t xml:space="preserve"> other issue was that the</w:t>
      </w:r>
      <w:r>
        <w:t xml:space="preserve"> label </w:t>
      </w:r>
      <w:r w:rsidR="00EC70F0">
        <w:t>for this option was</w:t>
      </w:r>
      <w:r>
        <w:t xml:space="preserve"> misleading. </w:t>
      </w:r>
      <w:r w:rsidR="00520558">
        <w:t>T</w:t>
      </w:r>
      <w:r w:rsidR="000A5E86">
        <w:t xml:space="preserve">his pathway was called </w:t>
      </w:r>
      <w:r w:rsidR="000A5E86" w:rsidRPr="00C710BC">
        <w:rPr>
          <w:i/>
        </w:rPr>
        <w:t>I have a paper bill</w:t>
      </w:r>
      <w:r w:rsidR="00520558">
        <w:t>, but</w:t>
      </w:r>
      <w:r w:rsidR="00040BAE">
        <w:t xml:space="preserve"> </w:t>
      </w:r>
      <w:r w:rsidR="001C69F7">
        <w:t>consumers</w:t>
      </w:r>
      <w:r w:rsidR="009B36D8">
        <w:t xml:space="preserve"> with paper bills could </w:t>
      </w:r>
      <w:r w:rsidR="00040BAE">
        <w:t>have entered</w:t>
      </w:r>
      <w:r w:rsidR="009B36D8">
        <w:t xml:space="preserve"> their NMI to use their meter data</w:t>
      </w:r>
      <w:r w:rsidR="00040BAE">
        <w:t xml:space="preserve"> for the search</w:t>
      </w:r>
      <w:r w:rsidR="00520558">
        <w:t xml:space="preserve"> and consumers with an </w:t>
      </w:r>
      <w:r w:rsidR="00040BAE">
        <w:t xml:space="preserve">emailed </w:t>
      </w:r>
      <w:r>
        <w:t>bill</w:t>
      </w:r>
      <w:r w:rsidR="00520558">
        <w:t xml:space="preserve"> could have used this ‘</w:t>
      </w:r>
      <w:r w:rsidR="00520558">
        <w:rPr>
          <w:i/>
        </w:rPr>
        <w:t>paper bill’</w:t>
      </w:r>
      <w:r w:rsidR="00520558">
        <w:t xml:space="preserve"> pathway</w:t>
      </w:r>
      <w:r>
        <w:t>. We suggested that a</w:t>
      </w:r>
      <w:r w:rsidR="000A5E86">
        <w:t xml:space="preserve"> more accurate label would be </w:t>
      </w:r>
      <w:r w:rsidR="000A5E86" w:rsidRPr="00C710BC">
        <w:rPr>
          <w:i/>
        </w:rPr>
        <w:t>Enter my usage manually</w:t>
      </w:r>
      <w:r w:rsidR="006274AF">
        <w:t>.</w:t>
      </w:r>
      <w:r w:rsidR="00C263A9">
        <w:t xml:space="preserve"> </w:t>
      </w:r>
    </w:p>
    <w:p w14:paraId="3BA3ABF1" w14:textId="51195F74" w:rsidR="000A5E86" w:rsidRDefault="00040BAE" w:rsidP="000A5E86">
      <w:r>
        <w:t>Although t</w:t>
      </w:r>
      <w:r w:rsidR="000A5E86">
        <w:t>he manual e</w:t>
      </w:r>
      <w:r>
        <w:t xml:space="preserve">ntry pathway was more complex, it still had value for some </w:t>
      </w:r>
      <w:r w:rsidR="001C69F7">
        <w:t>consumer</w:t>
      </w:r>
      <w:r>
        <w:t>s:</w:t>
      </w:r>
    </w:p>
    <w:p w14:paraId="11081259" w14:textId="7DCF99C3" w:rsidR="000A5E86" w:rsidRPr="0012396E" w:rsidRDefault="00040BAE" w:rsidP="009434A7">
      <w:pPr>
        <w:pStyle w:val="ListBullet"/>
        <w:rPr>
          <w:rStyle w:val="QuoteChar"/>
          <w:i w:val="0"/>
          <w:color w:val="auto"/>
        </w:rPr>
      </w:pPr>
      <w:r>
        <w:t>Users could</w:t>
      </w:r>
      <w:r w:rsidR="000A5E86">
        <w:t xml:space="preserve"> maintain control</w:t>
      </w:r>
      <w:r>
        <w:t xml:space="preserve"> of the process:</w:t>
      </w:r>
      <w:r w:rsidR="000A5E86">
        <w:t xml:space="preserve"> one user described it as </w:t>
      </w:r>
      <w:r w:rsidR="00887B92" w:rsidRPr="00887B92">
        <w:rPr>
          <w:color w:val="2158A9" w:themeColor="accent2"/>
        </w:rPr>
        <w:t>‘</w:t>
      </w:r>
      <w:r w:rsidR="000A5E86" w:rsidRPr="00887B92">
        <w:rPr>
          <w:rStyle w:val="QuoteChar"/>
          <w:color w:val="2158A9" w:themeColor="accent2"/>
        </w:rPr>
        <w:t>more physical and straight forward</w:t>
      </w:r>
      <w:r w:rsidR="00887B92" w:rsidRPr="00887B92">
        <w:rPr>
          <w:rStyle w:val="QuoteChar"/>
          <w:color w:val="2158A9" w:themeColor="accent2"/>
        </w:rPr>
        <w:t>’</w:t>
      </w:r>
      <w:r w:rsidR="000A5E86" w:rsidRPr="00887B92">
        <w:rPr>
          <w:rStyle w:val="QuoteChar"/>
          <w:color w:val="2158A9" w:themeColor="accent2"/>
        </w:rPr>
        <w:t xml:space="preserve"> </w:t>
      </w:r>
      <w:r w:rsidR="000A5E86" w:rsidRPr="00887B92">
        <w:rPr>
          <w:rStyle w:val="QuoteChar"/>
          <w:color w:val="auto"/>
        </w:rPr>
        <w:t>(</w:t>
      </w:r>
      <w:r w:rsidR="006B4A44">
        <w:rPr>
          <w:rStyle w:val="QuoteChar"/>
          <w:color w:val="auto"/>
        </w:rPr>
        <w:t>‘</w:t>
      </w:r>
      <w:r w:rsidR="005D103B" w:rsidRPr="00887B92">
        <w:rPr>
          <w:rStyle w:val="QuoteChar"/>
          <w:color w:val="auto"/>
        </w:rPr>
        <w:t>Website user-testing</w:t>
      </w:r>
      <w:r w:rsidR="006B4A44">
        <w:rPr>
          <w:rStyle w:val="QuoteChar"/>
          <w:color w:val="auto"/>
        </w:rPr>
        <w:t>’</w:t>
      </w:r>
      <w:r w:rsidR="005D103B" w:rsidRPr="00887B92">
        <w:rPr>
          <w:rStyle w:val="QuoteChar"/>
          <w:color w:val="auto"/>
        </w:rPr>
        <w:t xml:space="preserve"> data 2022</w:t>
      </w:r>
      <w:r w:rsidR="000A5E86" w:rsidRPr="00887B92">
        <w:rPr>
          <w:rStyle w:val="QuoteChar"/>
          <w:color w:val="auto"/>
        </w:rPr>
        <w:t>).</w:t>
      </w:r>
    </w:p>
    <w:p w14:paraId="7DB492FB" w14:textId="603BD230" w:rsidR="000A5E86" w:rsidRDefault="00040BAE" w:rsidP="009434A7">
      <w:pPr>
        <w:pStyle w:val="ListBullet"/>
      </w:pPr>
      <w:r>
        <w:t xml:space="preserve">Users could </w:t>
      </w:r>
      <w:r w:rsidR="000A5E86">
        <w:t>keep information private (as opposed to uploading bill or sharing NMI) (</w:t>
      </w:r>
      <w:r w:rsidR="006B4A44">
        <w:rPr>
          <w:i/>
        </w:rPr>
        <w:t>‘</w:t>
      </w:r>
      <w:r w:rsidR="00B96CE8" w:rsidRPr="00B96CE8">
        <w:rPr>
          <w:i/>
        </w:rPr>
        <w:t>Website Search Pathway Survey data</w:t>
      </w:r>
      <w:r w:rsidR="006B4A44">
        <w:rPr>
          <w:i/>
        </w:rPr>
        <w:t>’</w:t>
      </w:r>
      <w:r w:rsidR="00D300C9">
        <w:t xml:space="preserve"> 2021</w:t>
      </w:r>
      <w:r w:rsidR="000A5E86">
        <w:t>).</w:t>
      </w:r>
    </w:p>
    <w:p w14:paraId="13779F4C" w14:textId="556FD887" w:rsidR="000A5E86" w:rsidRDefault="00040BAE" w:rsidP="009434A7">
      <w:pPr>
        <w:pStyle w:val="ListBullet"/>
      </w:pPr>
      <w:r>
        <w:t>Convenience: s</w:t>
      </w:r>
      <w:r w:rsidR="000A5E86">
        <w:t>ome retailers provide</w:t>
      </w:r>
      <w:r>
        <w:t>d</w:t>
      </w:r>
      <w:r w:rsidR="000A5E86">
        <w:t xml:space="preserve"> </w:t>
      </w:r>
      <w:r w:rsidR="001C69F7">
        <w:t>consumer</w:t>
      </w:r>
      <w:r w:rsidR="000A5E86">
        <w:t>s with annualised details to enter (</w:t>
      </w:r>
      <w:r w:rsidR="006B4A44">
        <w:rPr>
          <w:i/>
        </w:rPr>
        <w:t>‘</w:t>
      </w:r>
      <w:r w:rsidR="00B96CE8" w:rsidRPr="00B96CE8">
        <w:rPr>
          <w:i/>
        </w:rPr>
        <w:t>Website Search Pathway Survey data</w:t>
      </w:r>
      <w:r w:rsidR="006B4A44">
        <w:rPr>
          <w:i/>
        </w:rPr>
        <w:t>’</w:t>
      </w:r>
      <w:r w:rsidR="00D300C9">
        <w:t xml:space="preserve"> 2021</w:t>
      </w:r>
      <w:r w:rsidR="000A5E86">
        <w:t>).</w:t>
      </w:r>
    </w:p>
    <w:p w14:paraId="1729F309" w14:textId="6F15F5F3" w:rsidR="000A5E86" w:rsidRDefault="009434A7" w:rsidP="009434A7">
      <w:pPr>
        <w:pStyle w:val="ListBullet"/>
      </w:pPr>
      <w:r>
        <w:t>As a backup</w:t>
      </w:r>
      <w:r w:rsidR="00040BAE">
        <w:t xml:space="preserve"> option: s</w:t>
      </w:r>
      <w:r w:rsidR="000A5E86">
        <w:t xml:space="preserve">ome </w:t>
      </w:r>
      <w:r w:rsidR="00040BAE">
        <w:t>users</w:t>
      </w:r>
      <w:r w:rsidR="000A5E86">
        <w:t xml:space="preserve"> had tried and failed to upload PDFs </w:t>
      </w:r>
      <w:r w:rsidR="00BE6AAF">
        <w:t>or found</w:t>
      </w:r>
      <w:r w:rsidR="000A5E86">
        <w:t xml:space="preserve"> their meter data request did not work (</w:t>
      </w:r>
      <w:r w:rsidR="006B4A44">
        <w:rPr>
          <w:i/>
        </w:rPr>
        <w:t>‘</w:t>
      </w:r>
      <w:r w:rsidR="00B96CE8" w:rsidRPr="00B96CE8">
        <w:rPr>
          <w:i/>
        </w:rPr>
        <w:t>Website Search Pathway Survey data</w:t>
      </w:r>
      <w:r w:rsidR="006B4A44">
        <w:rPr>
          <w:i/>
        </w:rPr>
        <w:t>’</w:t>
      </w:r>
      <w:r w:rsidR="00D300C9">
        <w:t xml:space="preserve"> 2021</w:t>
      </w:r>
      <w:r w:rsidR="000A5E86">
        <w:t>).</w:t>
      </w:r>
    </w:p>
    <w:p w14:paraId="7A93967B" w14:textId="130E4F19" w:rsidR="00400A8C" w:rsidRPr="001B5C30" w:rsidRDefault="00591345" w:rsidP="001B5C30">
      <w:pPr>
        <w:pStyle w:val="EmphasisPanelBody"/>
        <w:rPr>
          <w:b/>
        </w:rPr>
      </w:pPr>
      <w:r w:rsidRPr="001B5C30">
        <w:rPr>
          <w:b/>
        </w:rPr>
        <w:lastRenderedPageBreak/>
        <w:t xml:space="preserve">Option 4: </w:t>
      </w:r>
      <w:r w:rsidR="00400A8C" w:rsidRPr="001B5C30">
        <w:rPr>
          <w:b/>
        </w:rPr>
        <w:t xml:space="preserve">Continue with </w:t>
      </w:r>
      <w:r w:rsidR="00D60174" w:rsidRPr="001B5C30">
        <w:rPr>
          <w:b/>
        </w:rPr>
        <w:t>no bill or no meter data</w:t>
      </w:r>
      <w:r w:rsidR="00400A8C" w:rsidRPr="001B5C30">
        <w:rPr>
          <w:b/>
        </w:rPr>
        <w:t>.</w:t>
      </w:r>
    </w:p>
    <w:p w14:paraId="027F34DC" w14:textId="3ED2A8C1" w:rsidR="00400A8C" w:rsidRDefault="00966BB8" w:rsidP="00966BB8">
      <w:r>
        <w:t>This pathway</w:t>
      </w:r>
      <w:r w:rsidR="00400A8C">
        <w:t xml:space="preserve"> </w:t>
      </w:r>
      <w:r w:rsidR="00D60174">
        <w:t>could quickly</w:t>
      </w:r>
      <w:r w:rsidR="00B80AF4">
        <w:t xml:space="preserve"> generate </w:t>
      </w:r>
      <w:r>
        <w:t>estimates</w:t>
      </w:r>
      <w:r w:rsidR="00B80AF4">
        <w:t xml:space="preserve"> of total cost</w:t>
      </w:r>
      <w:r w:rsidR="00400A8C">
        <w:t xml:space="preserve"> and</w:t>
      </w:r>
      <w:r>
        <w:t xml:space="preserve"> </w:t>
      </w:r>
      <w:r w:rsidR="00D60174">
        <w:t>wa</w:t>
      </w:r>
      <w:r>
        <w:t xml:space="preserve">s </w:t>
      </w:r>
      <w:r w:rsidR="00BE6AAF">
        <w:t xml:space="preserve">easiest </w:t>
      </w:r>
      <w:r>
        <w:t xml:space="preserve">for </w:t>
      </w:r>
      <w:r w:rsidR="001C69F7">
        <w:t>consumer</w:t>
      </w:r>
      <w:r>
        <w:t>s but provide</w:t>
      </w:r>
      <w:r w:rsidR="00D60174">
        <w:t>d</w:t>
      </w:r>
      <w:r>
        <w:t xml:space="preserve"> the least accurate estimates</w:t>
      </w:r>
      <w:r w:rsidR="00400A8C">
        <w:t>. These estimates were</w:t>
      </w:r>
      <w:r w:rsidR="000B15B5">
        <w:t xml:space="preserve"> </w:t>
      </w:r>
      <w:r>
        <w:t>based on</w:t>
      </w:r>
      <w:r w:rsidRPr="00966BB8">
        <w:t xml:space="preserve"> </w:t>
      </w:r>
      <w:r w:rsidR="00F561C9">
        <w:t>community averages (benchmarks)</w:t>
      </w:r>
      <w:r>
        <w:t xml:space="preserve"> for </w:t>
      </w:r>
      <w:r w:rsidR="000B15B5">
        <w:t xml:space="preserve">each </w:t>
      </w:r>
      <w:r>
        <w:t xml:space="preserve">household size and climate zone. </w:t>
      </w:r>
      <w:r w:rsidR="000A5E86">
        <w:t xml:space="preserve">Diagnostic research on the EME website showed that roughly 34% of users completing the survey selected </w:t>
      </w:r>
      <w:r w:rsidR="001B45A7">
        <w:t>this ‘no data’ pathway</w:t>
      </w:r>
      <w:r w:rsidR="000A5E86">
        <w:t>, higher than any other pathway (</w:t>
      </w:r>
      <w:r w:rsidR="001B5C30">
        <w:fldChar w:fldCharType="begin"/>
      </w:r>
      <w:r w:rsidR="001B5C30">
        <w:instrText xml:space="preserve"> REF _Ref185595541 \h </w:instrText>
      </w:r>
      <w:r w:rsidR="001B5C30">
        <w:fldChar w:fldCharType="separate"/>
      </w:r>
      <w:r w:rsidR="00CA7D15">
        <w:t xml:space="preserve">Figure </w:t>
      </w:r>
      <w:r w:rsidR="00CA7D15">
        <w:rPr>
          <w:noProof/>
        </w:rPr>
        <w:t>2</w:t>
      </w:r>
      <w:r w:rsidR="001B5C30">
        <w:fldChar w:fldCharType="end"/>
      </w:r>
      <w:r w:rsidR="001B5C30">
        <w:t>,</w:t>
      </w:r>
      <w:r w:rsidR="001B5C30" w:rsidRPr="00B96CE8">
        <w:rPr>
          <w:i/>
        </w:rPr>
        <w:t xml:space="preserve"> </w:t>
      </w:r>
      <w:r w:rsidR="006B4A44">
        <w:rPr>
          <w:i/>
        </w:rPr>
        <w:t>‘</w:t>
      </w:r>
      <w:r w:rsidR="00B96CE8" w:rsidRPr="00B96CE8">
        <w:rPr>
          <w:i/>
        </w:rPr>
        <w:t>Website Search Pathway Survey data</w:t>
      </w:r>
      <w:r w:rsidR="006B4A44">
        <w:rPr>
          <w:i/>
        </w:rPr>
        <w:t>’</w:t>
      </w:r>
      <w:r w:rsidR="00D300C9">
        <w:t xml:space="preserve"> 2021</w:t>
      </w:r>
      <w:r w:rsidR="000A5E86">
        <w:t>).</w:t>
      </w:r>
    </w:p>
    <w:p w14:paraId="2D6FD806" w14:textId="41B1F4BC" w:rsidR="00966BB8" w:rsidRDefault="00B50396" w:rsidP="00B50396">
      <w:r>
        <w:t xml:space="preserve">In our survey of EME users we found that 16% of </w:t>
      </w:r>
      <w:r w:rsidR="001C69F7">
        <w:t>consumers</w:t>
      </w:r>
      <w:r>
        <w:t xml:space="preserve"> initiating a search on EME were looking for a new plan because they were moving house (</w:t>
      </w:r>
      <w:r w:rsidR="006B4A44">
        <w:rPr>
          <w:i/>
        </w:rPr>
        <w:t>‘</w:t>
      </w:r>
      <w:r w:rsidR="00B96CE8" w:rsidRPr="00B96CE8">
        <w:rPr>
          <w:i/>
        </w:rPr>
        <w:t>Website User Survey Series</w:t>
      </w:r>
      <w:r w:rsidR="006B4A44">
        <w:rPr>
          <w:i/>
        </w:rPr>
        <w:t>’</w:t>
      </w:r>
      <w:r>
        <w:t xml:space="preserve"> 2022). </w:t>
      </w:r>
      <w:r w:rsidR="00966BB8">
        <w:t>For someone who is moving house</w:t>
      </w:r>
      <w:r w:rsidR="001B45A7">
        <w:t xml:space="preserve">, they </w:t>
      </w:r>
      <w:r w:rsidR="00520558">
        <w:t xml:space="preserve">would </w:t>
      </w:r>
      <w:r w:rsidR="001B45A7">
        <w:t>have no existing data so this</w:t>
      </w:r>
      <w:r w:rsidR="00520558">
        <w:t xml:space="preserve"> would be</w:t>
      </w:r>
      <w:r w:rsidR="001B45A7">
        <w:t xml:space="preserve"> the only choice</w:t>
      </w:r>
      <w:r w:rsidR="00966BB8">
        <w:t xml:space="preserve">. </w:t>
      </w:r>
    </w:p>
    <w:p w14:paraId="214DF63C" w14:textId="2B314BCC" w:rsidR="001B45A7" w:rsidRDefault="00400A8C" w:rsidP="00966BB8">
      <w:r>
        <w:t xml:space="preserve">Some </w:t>
      </w:r>
      <w:r w:rsidR="001C69F7">
        <w:t>consumers</w:t>
      </w:r>
      <w:r>
        <w:t xml:space="preserve"> need</w:t>
      </w:r>
      <w:r w:rsidR="00520558">
        <w:t>ed</w:t>
      </w:r>
      <w:r>
        <w:t xml:space="preserve"> this</w:t>
      </w:r>
      <w:r w:rsidR="003917EB">
        <w:t xml:space="preserve"> pathway </w:t>
      </w:r>
      <w:r>
        <w:t>if they</w:t>
      </w:r>
      <w:r w:rsidR="003917EB">
        <w:t xml:space="preserve"> kn</w:t>
      </w:r>
      <w:r w:rsidR="00F635DE">
        <w:t>e</w:t>
      </w:r>
      <w:r w:rsidR="003917EB">
        <w:t xml:space="preserve">w their circumstances </w:t>
      </w:r>
      <w:r w:rsidR="00520558">
        <w:t xml:space="preserve">were </w:t>
      </w:r>
      <w:r w:rsidR="003917EB">
        <w:t xml:space="preserve">about to change, </w:t>
      </w:r>
      <w:r w:rsidR="00F561C9">
        <w:t>making</w:t>
      </w:r>
      <w:r w:rsidR="003917EB">
        <w:t xml:space="preserve"> their current data</w:t>
      </w:r>
      <w:r w:rsidR="00F561C9">
        <w:t xml:space="preserve"> </w:t>
      </w:r>
      <w:r w:rsidR="00C710BC">
        <w:t>a poor predictor of future usage</w:t>
      </w:r>
      <w:r w:rsidR="003917EB">
        <w:t xml:space="preserve"> </w:t>
      </w:r>
      <w:r w:rsidR="00EB741A">
        <w:t>(e.g.</w:t>
      </w:r>
      <w:r w:rsidR="003917EB">
        <w:t xml:space="preserve"> if they </w:t>
      </w:r>
      <w:r w:rsidR="00520558">
        <w:t xml:space="preserve">were </w:t>
      </w:r>
      <w:r w:rsidR="003917EB">
        <w:t>installing solar panels</w:t>
      </w:r>
      <w:r w:rsidR="00F635DE">
        <w:t>,</w:t>
      </w:r>
      <w:r w:rsidR="003917EB">
        <w:t xml:space="preserve"> b</w:t>
      </w:r>
      <w:r w:rsidR="00EB741A">
        <w:t>atteries, or underfloor heating)</w:t>
      </w:r>
      <w:r w:rsidR="003917EB">
        <w:t xml:space="preserve">. </w:t>
      </w:r>
      <w:r w:rsidR="00C710BC">
        <w:t>This pathway</w:t>
      </w:r>
      <w:r w:rsidR="003917EB">
        <w:t xml:space="preserve"> </w:t>
      </w:r>
      <w:r w:rsidR="00520558">
        <w:t xml:space="preserve">was </w:t>
      </w:r>
      <w:r w:rsidR="003917EB">
        <w:t xml:space="preserve">also likely to be useful for </w:t>
      </w:r>
      <w:r w:rsidR="001C69F7">
        <w:t>consumers</w:t>
      </w:r>
      <w:r w:rsidR="003917EB">
        <w:t xml:space="preserve"> in the exploratory stages of looking, </w:t>
      </w:r>
      <w:r w:rsidR="00520558">
        <w:t>trying</w:t>
      </w:r>
      <w:r w:rsidR="003917EB">
        <w:t xml:space="preserve"> to gather a quick impression of the range of available plans and suppliers.</w:t>
      </w:r>
    </w:p>
    <w:p w14:paraId="68D9B015" w14:textId="4183C15D" w:rsidR="00520558" w:rsidRDefault="00520558" w:rsidP="00966BB8">
      <w:r>
        <w:t>However, as the pathway that would generate the least accurate estimates, it was better to guide people away from it unless they had no choice.</w:t>
      </w:r>
    </w:p>
    <w:p w14:paraId="2EFCB679" w14:textId="71A5224C" w:rsidR="00651EFF" w:rsidRPr="008412AC" w:rsidRDefault="004A0852">
      <w:pPr>
        <w:pStyle w:val="EmphasisPanelBody"/>
        <w:rPr>
          <w:b/>
        </w:rPr>
      </w:pPr>
      <w:r w:rsidRPr="008412AC">
        <w:rPr>
          <w:b/>
        </w:rPr>
        <w:t>Testing changes to improve user experience</w:t>
      </w:r>
    </w:p>
    <w:p w14:paraId="0DBA85A4" w14:textId="06E1ABCE" w:rsidR="00B50396" w:rsidRDefault="00B50396" w:rsidP="003B7A38">
      <w:bookmarkStart w:id="32" w:name="_Toc112335081"/>
      <w:bookmarkStart w:id="33" w:name="_Ref115014409"/>
      <w:bookmarkEnd w:id="32"/>
      <w:r>
        <w:t>Based on these findings from our exploratory research, we had two main goals to improve the user ex</w:t>
      </w:r>
      <w:r w:rsidR="00EB741A">
        <w:t>perience and quality of results.</w:t>
      </w:r>
    </w:p>
    <w:p w14:paraId="72AFBDC2" w14:textId="6721B39F" w:rsidR="003B7A38" w:rsidRDefault="00B50396" w:rsidP="00EB741A">
      <w:pPr>
        <w:pStyle w:val="ListNumber"/>
      </w:pPr>
      <w:r>
        <w:t>M</w:t>
      </w:r>
      <w:r w:rsidR="003B7A38">
        <w:t>aximise th</w:t>
      </w:r>
      <w:r w:rsidR="001B45A7">
        <w:t xml:space="preserve">e number of </w:t>
      </w:r>
      <w:r w:rsidR="001C69F7">
        <w:t>consumers</w:t>
      </w:r>
      <w:r w:rsidR="001B45A7">
        <w:t xml:space="preserve"> choosing </w:t>
      </w:r>
      <w:r>
        <w:t>to link</w:t>
      </w:r>
      <w:r w:rsidR="001B45A7">
        <w:t xml:space="preserve"> their meter data</w:t>
      </w:r>
      <w:r w:rsidR="003B7A38">
        <w:t>, while still making other choices available. We test</w:t>
      </w:r>
      <w:r w:rsidR="00BE6AAF">
        <w:t>ed</w:t>
      </w:r>
      <w:r w:rsidR="003B7A38">
        <w:t xml:space="preserve"> a prototype in which the search flow </w:t>
      </w:r>
      <w:r>
        <w:t xml:space="preserve">harnessed the power of defaults to direct </w:t>
      </w:r>
      <w:r w:rsidR="00BE6AAF">
        <w:t>most users</w:t>
      </w:r>
      <w:r w:rsidR="003B7A38">
        <w:t xml:space="preserve"> to </w:t>
      </w:r>
      <w:r>
        <w:t>enter their meter data</w:t>
      </w:r>
      <w:r w:rsidR="003B7A38">
        <w:t xml:space="preserve">, while </w:t>
      </w:r>
      <w:r w:rsidR="00BE6AAF">
        <w:t>still</w:t>
      </w:r>
      <w:r>
        <w:t xml:space="preserve"> allowing them to choose alternatives,</w:t>
      </w:r>
    </w:p>
    <w:p w14:paraId="6209D221" w14:textId="513FC3ED" w:rsidR="00B50396" w:rsidRDefault="00B50396" w:rsidP="00EB741A">
      <w:pPr>
        <w:pStyle w:val="ListNumber"/>
      </w:pPr>
      <w:r>
        <w:t xml:space="preserve">Find out which </w:t>
      </w:r>
      <w:r w:rsidR="001C69F7">
        <w:t>consumer</w:t>
      </w:r>
      <w:r>
        <w:t>s</w:t>
      </w:r>
      <w:r w:rsidR="00520558">
        <w:t xml:space="preserve"> were</w:t>
      </w:r>
      <w:r>
        <w:t xml:space="preserve"> moving house and redirect them to the </w:t>
      </w:r>
      <w:r>
        <w:rPr>
          <w:i/>
        </w:rPr>
        <w:t xml:space="preserve">no data </w:t>
      </w:r>
      <w:r>
        <w:t>pathway.</w:t>
      </w:r>
    </w:p>
    <w:p w14:paraId="60711CB5" w14:textId="632275C8" w:rsidR="003B7A38" w:rsidRDefault="003B7A38" w:rsidP="003B7A38">
      <w:pPr>
        <w:rPr>
          <w:b/>
        </w:rPr>
      </w:pPr>
      <w:r>
        <w:t>To achieve this, we added simple screener qu</w:t>
      </w:r>
      <w:r w:rsidR="00B50396">
        <w:t>estions and r</w:t>
      </w:r>
      <w:r>
        <w:t>e-orde</w:t>
      </w:r>
      <w:r w:rsidR="00B50396">
        <w:t>red the question</w:t>
      </w:r>
      <w:r>
        <w:t xml:space="preserve"> flow</w:t>
      </w:r>
      <w:r w:rsidR="00B50396">
        <w:t xml:space="preserve">. We added explainers on what an NMI is and how to find it, and indicated that it could take less than a minute. </w:t>
      </w:r>
      <w:r>
        <w:t>Once</w:t>
      </w:r>
      <w:r w:rsidR="00B50396">
        <w:t xml:space="preserve"> users</w:t>
      </w:r>
      <w:r>
        <w:t xml:space="preserve"> had tried it, this option was met with an overwhelmingly positive response.</w:t>
      </w:r>
      <w:r>
        <w:rPr>
          <w:b/>
        </w:rPr>
        <w:t xml:space="preserve"> </w:t>
      </w:r>
    </w:p>
    <w:bookmarkEnd w:id="33"/>
    <w:p w14:paraId="3E7AF714" w14:textId="6DA0B03D" w:rsidR="005F59E3" w:rsidRDefault="00DE04B7">
      <w:pPr>
        <w:pStyle w:val="Heading3"/>
      </w:pPr>
      <w:r>
        <w:t>Consumers struggled</w:t>
      </w:r>
      <w:r w:rsidR="006428E0" w:rsidRPr="006428E0">
        <w:t xml:space="preserve"> to identify the cheapest plan</w:t>
      </w:r>
    </w:p>
    <w:p w14:paraId="1EDFD37C" w14:textId="489613EA" w:rsidR="00E855CC" w:rsidRDefault="00E855CC" w:rsidP="009670E3">
      <w:r>
        <w:t xml:space="preserve">When consumers reached the results page, </w:t>
      </w:r>
      <w:r w:rsidR="00520558">
        <w:t xml:space="preserve">they saw </w:t>
      </w:r>
      <w:r>
        <w:t>a list of plans tailored to their location and sorted by total estimated cost. This showed summary information about each plan, and consumers needed to click on the plan name to reveal the finer details about the plan.</w:t>
      </w:r>
    </w:p>
    <w:p w14:paraId="0CE17A49" w14:textId="234AF8E6" w:rsidR="00635CD2" w:rsidRDefault="00E855CC">
      <w:r>
        <w:t>Existing data told us users complained that the most important information did not appear on the main results page.</w:t>
      </w:r>
      <w:r w:rsidR="00534E0A">
        <w:t xml:space="preserve"> </w:t>
      </w:r>
      <w:r w:rsidR="002105B9">
        <w:t xml:space="preserve">One comment was that the plans do </w:t>
      </w:r>
      <w:r w:rsidR="006D71A4">
        <w:t>not</w:t>
      </w:r>
      <w:r w:rsidR="002105B9">
        <w:t xml:space="preserve"> tell you much at a glance</w:t>
      </w:r>
      <w:r w:rsidR="00534E0A">
        <w:t xml:space="preserve"> </w:t>
      </w:r>
      <w:r w:rsidR="00534E0A">
        <w:lastRenderedPageBreak/>
        <w:t>(</w:t>
      </w:r>
      <w:r w:rsidR="006B4A44" w:rsidRPr="009434A7">
        <w:rPr>
          <w:i/>
        </w:rPr>
        <w:t>‘</w:t>
      </w:r>
      <w:r w:rsidR="00F23A60" w:rsidRPr="009434A7">
        <w:rPr>
          <w:i/>
        </w:rPr>
        <w:t>Call-centre data</w:t>
      </w:r>
      <w:r w:rsidR="006B4A44" w:rsidRPr="009434A7">
        <w:rPr>
          <w:i/>
        </w:rPr>
        <w:t>’</w:t>
      </w:r>
      <w:r w:rsidR="00F23A60" w:rsidRPr="009434A7">
        <w:rPr>
          <w:i/>
        </w:rPr>
        <w:t xml:space="preserve"> </w:t>
      </w:r>
      <w:r w:rsidR="00F23A60">
        <w:t>2021</w:t>
      </w:r>
      <w:r w:rsidR="00534E0A">
        <w:t>)</w:t>
      </w:r>
      <w:r w:rsidR="002105B9">
        <w:t xml:space="preserve">. A common comment in </w:t>
      </w:r>
      <w:r w:rsidR="00A6431C">
        <w:t>user-testing</w:t>
      </w:r>
      <w:r w:rsidR="002105B9">
        <w:t xml:space="preserve"> was that the results page </w:t>
      </w:r>
      <w:r w:rsidR="002105B9" w:rsidRPr="00A8742C">
        <w:t xml:space="preserve">was </w:t>
      </w:r>
      <w:r w:rsidR="002105B9" w:rsidRPr="00A8742C">
        <w:rPr>
          <w:rStyle w:val="QuoteChar"/>
          <w:i w:val="0"/>
          <w:color w:val="auto"/>
        </w:rPr>
        <w:t>overwhelming</w:t>
      </w:r>
      <w:r w:rsidR="002105B9" w:rsidRPr="00A8742C">
        <w:rPr>
          <w:i/>
        </w:rPr>
        <w:t xml:space="preserve"> </w:t>
      </w:r>
      <w:r w:rsidR="002105B9" w:rsidRPr="00A8742C">
        <w:t xml:space="preserve">and </w:t>
      </w:r>
      <w:r w:rsidR="002105B9">
        <w:t>contain</w:t>
      </w:r>
      <w:r w:rsidR="00201BB3">
        <w:t>ed</w:t>
      </w:r>
      <w:r w:rsidR="002105B9">
        <w:t xml:space="preserve"> a lot of information</w:t>
      </w:r>
      <w:r w:rsidR="00534E0A">
        <w:t xml:space="preserve"> (</w:t>
      </w:r>
      <w:r w:rsidR="006B4A44" w:rsidRPr="009434A7">
        <w:rPr>
          <w:i/>
        </w:rPr>
        <w:t>‘</w:t>
      </w:r>
      <w:r w:rsidR="005D103B" w:rsidRPr="009434A7">
        <w:rPr>
          <w:i/>
        </w:rPr>
        <w:t>Website user-testing</w:t>
      </w:r>
      <w:r w:rsidR="006B4A44" w:rsidRPr="009434A7">
        <w:rPr>
          <w:i/>
        </w:rPr>
        <w:t>’</w:t>
      </w:r>
      <w:r w:rsidR="005D103B">
        <w:t xml:space="preserve"> data 2022</w:t>
      </w:r>
      <w:r w:rsidR="00534E0A">
        <w:t>)</w:t>
      </w:r>
      <w:r w:rsidR="002105B9">
        <w:t>.</w:t>
      </w:r>
      <w:r w:rsidR="00635CD2">
        <w:t xml:space="preserve"> </w:t>
      </w:r>
    </w:p>
    <w:p w14:paraId="63E179BF" w14:textId="12C0D8FF" w:rsidR="009A2384" w:rsidRDefault="00CD776B">
      <w:r>
        <w:t>BETA observed</w:t>
      </w:r>
      <w:r w:rsidR="002105B9">
        <w:t xml:space="preserve"> that much of th</w:t>
      </w:r>
      <w:r w:rsidR="00122B05">
        <w:t>e</w:t>
      </w:r>
      <w:r w:rsidR="002105B9">
        <w:t xml:space="preserve"> real estate </w:t>
      </w:r>
      <w:r w:rsidR="00300F75">
        <w:t xml:space="preserve">on </w:t>
      </w:r>
      <w:r w:rsidR="009B6A30">
        <w:t xml:space="preserve">each </w:t>
      </w:r>
      <w:r w:rsidR="00164614">
        <w:t xml:space="preserve">plan </w:t>
      </w:r>
      <w:r w:rsidR="009B6A30">
        <w:t>result</w:t>
      </w:r>
      <w:r w:rsidR="00300F75">
        <w:t xml:space="preserve"> </w:t>
      </w:r>
      <w:r w:rsidR="00201BB3">
        <w:t>wa</w:t>
      </w:r>
      <w:r w:rsidR="002105B9">
        <w:t xml:space="preserve">s given over to a </w:t>
      </w:r>
      <w:r w:rsidR="002105B9" w:rsidRPr="008734AE">
        <w:rPr>
          <w:i/>
        </w:rPr>
        <w:t>Need to know</w:t>
      </w:r>
      <w:r w:rsidR="002105B9">
        <w:t xml:space="preserve"> section about fees and charges</w:t>
      </w:r>
      <w:r w:rsidR="00306C63">
        <w:t xml:space="preserve">, which </w:t>
      </w:r>
      <w:r>
        <w:t xml:space="preserve">were </w:t>
      </w:r>
      <w:r w:rsidR="00306C63">
        <w:t>rarely if</w:t>
      </w:r>
      <w:r w:rsidR="00300F75">
        <w:t xml:space="preserve"> ever charged, at the expense </w:t>
      </w:r>
      <w:r w:rsidR="00306C63">
        <w:t xml:space="preserve">of </w:t>
      </w:r>
      <w:r>
        <w:t>information about</w:t>
      </w:r>
      <w:r w:rsidR="002105B9">
        <w:t xml:space="preserve"> the </w:t>
      </w:r>
      <w:r w:rsidR="00B96460">
        <w:t xml:space="preserve">plan’s </w:t>
      </w:r>
      <w:r w:rsidR="002105B9">
        <w:t xml:space="preserve">pricing structure and </w:t>
      </w:r>
      <w:r w:rsidR="00520558">
        <w:t xml:space="preserve">key </w:t>
      </w:r>
      <w:r w:rsidR="002105B9">
        <w:t>characteristics</w:t>
      </w:r>
      <w:r w:rsidR="009B6A30">
        <w:t>.</w:t>
      </w:r>
      <w:r w:rsidR="00E855CC">
        <w:t xml:space="preserve"> This made the </w:t>
      </w:r>
      <w:r w:rsidR="00520558">
        <w:t xml:space="preserve">results page </w:t>
      </w:r>
      <w:r w:rsidR="00E855CC">
        <w:t>more complex for users with little benefit to informing their decision making.</w:t>
      </w:r>
    </w:p>
    <w:p w14:paraId="7FDCDF90" w14:textId="77B5A785" w:rsidR="00B33C11" w:rsidRDefault="00800486">
      <w:r>
        <w:t xml:space="preserve">In qualitative </w:t>
      </w:r>
      <w:r w:rsidR="00A6431C">
        <w:t>user-testing</w:t>
      </w:r>
      <w:r>
        <w:t xml:space="preserve">, users spoke positively of discounts and special offers and were attracted to the </w:t>
      </w:r>
      <w:r w:rsidR="00ED0ADD">
        <w:rPr>
          <w:i/>
        </w:rPr>
        <w:t>S</w:t>
      </w:r>
      <w:r w:rsidRPr="008734AE">
        <w:rPr>
          <w:i/>
        </w:rPr>
        <w:t>pecial offers</w:t>
      </w:r>
      <w:r>
        <w:t xml:space="preserve"> flag </w:t>
      </w:r>
      <w:r w:rsidR="00C977CD">
        <w:t xml:space="preserve">displayed </w:t>
      </w:r>
      <w:r>
        <w:t xml:space="preserve">on </w:t>
      </w:r>
      <w:r w:rsidR="00C977CD">
        <w:t xml:space="preserve">some results </w:t>
      </w:r>
      <w:r w:rsidR="00ED0ADD">
        <w:t>(</w:t>
      </w:r>
      <w:r w:rsidR="006B4A44" w:rsidRPr="008843E3">
        <w:rPr>
          <w:i/>
        </w:rPr>
        <w:t>‘</w:t>
      </w:r>
      <w:r w:rsidR="005D103B" w:rsidRPr="008843E3">
        <w:rPr>
          <w:i/>
        </w:rPr>
        <w:t>Website user-testing</w:t>
      </w:r>
      <w:r w:rsidR="006B4A44" w:rsidRPr="008843E3">
        <w:rPr>
          <w:i/>
        </w:rPr>
        <w:t>’</w:t>
      </w:r>
      <w:r w:rsidR="005D103B" w:rsidRPr="008843E3">
        <w:rPr>
          <w:i/>
        </w:rPr>
        <w:t xml:space="preserve"> </w:t>
      </w:r>
      <w:r w:rsidR="005D103B">
        <w:t>data 2022</w:t>
      </w:r>
      <w:r w:rsidR="00ED0ADD">
        <w:t>)</w:t>
      </w:r>
      <w:r>
        <w:t xml:space="preserve">. Special offers can include guaranteed discounts, pay-on-time discounts, </w:t>
      </w:r>
      <w:r w:rsidR="00B33C11">
        <w:t xml:space="preserve">membership discounts and </w:t>
      </w:r>
      <w:r w:rsidR="009A2384">
        <w:t>reward points.</w:t>
      </w:r>
      <w:r w:rsidR="00B33C11">
        <w:t xml:space="preserve"> </w:t>
      </w:r>
    </w:p>
    <w:p w14:paraId="1D68A1F3" w14:textId="463E925D" w:rsidR="00294F29" w:rsidRDefault="00B33C11" w:rsidP="00294F29">
      <w:r>
        <w:t>Discounts operate</w:t>
      </w:r>
      <w:r w:rsidR="00520558">
        <w:t>d</w:t>
      </w:r>
      <w:r>
        <w:t xml:space="preserve"> in two main ways to benefit retailers:</w:t>
      </w:r>
    </w:p>
    <w:p w14:paraId="4D79CEAF" w14:textId="0D5EC92B" w:rsidR="00B33C11" w:rsidRDefault="00B33C11" w:rsidP="009C7E97">
      <w:pPr>
        <w:pStyle w:val="ListParagraph"/>
        <w:numPr>
          <w:ilvl w:val="0"/>
          <w:numId w:val="13"/>
        </w:numPr>
      </w:pPr>
      <w:r>
        <w:t xml:space="preserve">Inflated base rates coupled with guaranteed discounts </w:t>
      </w:r>
      <w:r w:rsidR="00520558">
        <w:t xml:space="preserve">made </w:t>
      </w:r>
      <w:r>
        <w:t>the offer appear more attractive because users focus</w:t>
      </w:r>
      <w:r w:rsidR="00520558">
        <w:t>ed</w:t>
      </w:r>
      <w:r>
        <w:t xml:space="preserve"> on the discount rather than the absolute total and this ob</w:t>
      </w:r>
      <w:r w:rsidR="00492CD5">
        <w:t>scure</w:t>
      </w:r>
      <w:r w:rsidR="00520558">
        <w:t>d</w:t>
      </w:r>
      <w:r>
        <w:t xml:space="preserve"> the actual plan costs</w:t>
      </w:r>
      <w:r w:rsidR="00D53CC0">
        <w:t>.</w:t>
      </w:r>
    </w:p>
    <w:p w14:paraId="03EC6879" w14:textId="3237DD6E" w:rsidR="00B33C11" w:rsidRDefault="001C69F7" w:rsidP="009C7E97">
      <w:pPr>
        <w:pStyle w:val="ListParagraph"/>
        <w:numPr>
          <w:ilvl w:val="0"/>
          <w:numId w:val="13"/>
        </w:numPr>
      </w:pPr>
      <w:r>
        <w:t>Consumer</w:t>
      </w:r>
      <w:r w:rsidR="00B33C11">
        <w:t xml:space="preserve">s </w:t>
      </w:r>
      <w:r w:rsidR="00520558">
        <w:t xml:space="preserve">could </w:t>
      </w:r>
      <w:r w:rsidR="00B33C11">
        <w:t xml:space="preserve">overestimate the likelihood that they </w:t>
      </w:r>
      <w:r w:rsidR="00520558">
        <w:t xml:space="preserve">would </w:t>
      </w:r>
      <w:r w:rsidR="00B33C11">
        <w:t>qualify for conditional discounts (e.g. by paying on time or referring friends)</w:t>
      </w:r>
      <w:r w:rsidR="00D53CC0">
        <w:t>.</w:t>
      </w:r>
    </w:p>
    <w:p w14:paraId="534C177C" w14:textId="5F3A6759" w:rsidR="007B220F" w:rsidRDefault="007B220F" w:rsidP="007B220F">
      <w:r>
        <w:t xml:space="preserve">The </w:t>
      </w:r>
      <w:r w:rsidR="00D53CC0">
        <w:rPr>
          <w:i/>
        </w:rPr>
        <w:t>S</w:t>
      </w:r>
      <w:r w:rsidRPr="008734AE">
        <w:rPr>
          <w:i/>
        </w:rPr>
        <w:t xml:space="preserve">pecial </w:t>
      </w:r>
      <w:r w:rsidR="00D53CC0">
        <w:rPr>
          <w:i/>
        </w:rPr>
        <w:t>O</w:t>
      </w:r>
      <w:r w:rsidRPr="008734AE">
        <w:rPr>
          <w:i/>
        </w:rPr>
        <w:t>ffers</w:t>
      </w:r>
      <w:r>
        <w:t xml:space="preserve"> </w:t>
      </w:r>
      <w:r w:rsidR="00D53CC0">
        <w:t>fl</w:t>
      </w:r>
      <w:r>
        <w:t xml:space="preserve">ag was described as </w:t>
      </w:r>
      <w:r w:rsidRPr="007B220F">
        <w:rPr>
          <w:i/>
        </w:rPr>
        <w:t>eye catching</w:t>
      </w:r>
      <w:r w:rsidR="00ED0ADD">
        <w:rPr>
          <w:i/>
        </w:rPr>
        <w:t xml:space="preserve"> </w:t>
      </w:r>
      <w:r w:rsidR="00ED0ADD">
        <w:t>(</w:t>
      </w:r>
      <w:r w:rsidR="006B4A44" w:rsidRPr="008843E3">
        <w:rPr>
          <w:i/>
        </w:rPr>
        <w:t>‘</w:t>
      </w:r>
      <w:r w:rsidR="005D103B" w:rsidRPr="008843E3">
        <w:rPr>
          <w:i/>
        </w:rPr>
        <w:t>Website user-testing</w:t>
      </w:r>
      <w:r w:rsidR="006B4A44" w:rsidRPr="008843E3">
        <w:rPr>
          <w:i/>
        </w:rPr>
        <w:t>’</w:t>
      </w:r>
      <w:r w:rsidR="005D103B" w:rsidRPr="008843E3">
        <w:rPr>
          <w:i/>
        </w:rPr>
        <w:t xml:space="preserve"> </w:t>
      </w:r>
      <w:r w:rsidR="005D103B">
        <w:t>data 2022</w:t>
      </w:r>
      <w:r w:rsidR="00ED0ADD">
        <w:t>)</w:t>
      </w:r>
      <w:r w:rsidR="000807CA">
        <w:t xml:space="preserve"> and w</w:t>
      </w:r>
      <w:r>
        <w:t xml:space="preserve">as popular among users. </w:t>
      </w:r>
      <w:r w:rsidR="003E25DA">
        <w:t>However,</w:t>
      </w:r>
      <w:r>
        <w:t xml:space="preserve"> </w:t>
      </w:r>
      <w:r w:rsidR="003E25DA">
        <w:t>b</w:t>
      </w:r>
      <w:r>
        <w:t xml:space="preserve">y </w:t>
      </w:r>
      <w:r w:rsidR="003E25DA">
        <w:t>drawing attention to</w:t>
      </w:r>
      <w:r w:rsidR="00122B05">
        <w:t xml:space="preserve"> such plans, </w:t>
      </w:r>
      <w:r>
        <w:t xml:space="preserve">EME would be </w:t>
      </w:r>
      <w:r w:rsidR="00492CD5">
        <w:t>effectively</w:t>
      </w:r>
      <w:r>
        <w:t xml:space="preserve"> endorsing plans with special offers rather than keeping user focus on the bottom line (</w:t>
      </w:r>
      <w:r w:rsidR="008843E3">
        <w:t xml:space="preserve">e.g. </w:t>
      </w:r>
      <w:r w:rsidR="001031E6">
        <w:t>t</w:t>
      </w:r>
      <w:r w:rsidR="00ED0ADD">
        <w:t>otal</w:t>
      </w:r>
      <w:r>
        <w:t xml:space="preserve"> estimate and the</w:t>
      </w:r>
      <w:r w:rsidR="00ED0ADD">
        <w:t xml:space="preserve"> usage</w:t>
      </w:r>
      <w:r>
        <w:t xml:space="preserve"> </w:t>
      </w:r>
      <w:r w:rsidR="005C1B55">
        <w:t>charges</w:t>
      </w:r>
      <w:r>
        <w:t>).</w:t>
      </w:r>
    </w:p>
    <w:p w14:paraId="13541D63" w14:textId="6304E719" w:rsidR="007B220F" w:rsidRDefault="00ED0ADD" w:rsidP="00B33C11">
      <w:r w:rsidRPr="00ED0ADD">
        <w:rPr>
          <w:i/>
        </w:rPr>
        <w:t>Energy Made Easy</w:t>
      </w:r>
      <w:r w:rsidR="00B33C11">
        <w:t xml:space="preserve"> </w:t>
      </w:r>
      <w:r w:rsidR="000807CA">
        <w:t>wanted</w:t>
      </w:r>
      <w:r w:rsidR="00B33C11">
        <w:t xml:space="preserve"> to disrupt some of these </w:t>
      </w:r>
      <w:r w:rsidR="00D53CC0">
        <w:t xml:space="preserve">impacts of </w:t>
      </w:r>
      <w:r w:rsidR="00D53CC0">
        <w:rPr>
          <w:i/>
        </w:rPr>
        <w:t>Special O</w:t>
      </w:r>
      <w:r w:rsidR="00D53CC0" w:rsidRPr="008734AE">
        <w:rPr>
          <w:i/>
        </w:rPr>
        <w:t>ffers</w:t>
      </w:r>
      <w:r w:rsidR="00D53CC0">
        <w:t xml:space="preserve"> </w:t>
      </w:r>
      <w:r w:rsidR="00B33C11">
        <w:t xml:space="preserve">by </w:t>
      </w:r>
      <w:r w:rsidR="000807CA">
        <w:t>rolling them</w:t>
      </w:r>
      <w:r w:rsidR="00B33C11">
        <w:t xml:space="preserve"> in</w:t>
      </w:r>
      <w:r w:rsidR="000807CA">
        <w:t>to</w:t>
      </w:r>
      <w:r w:rsidR="00B33C11">
        <w:t xml:space="preserve"> the total estimate</w:t>
      </w:r>
      <w:r w:rsidR="000807CA">
        <w:t>,</w:t>
      </w:r>
      <w:r w:rsidR="00B33C11">
        <w:t xml:space="preserve"> </w:t>
      </w:r>
      <w:r>
        <w:t xml:space="preserve">so </w:t>
      </w:r>
      <w:r w:rsidR="000807CA">
        <w:t xml:space="preserve">costs between plans were as clear and comparable as possible. </w:t>
      </w:r>
      <w:r w:rsidR="00CE450B">
        <w:t>We wanted to know whether users underst</w:t>
      </w:r>
      <w:r w:rsidR="00520558">
        <w:t>oo</w:t>
      </w:r>
      <w:r w:rsidR="00CE450B">
        <w:t xml:space="preserve">d this or whether they </w:t>
      </w:r>
      <w:r w:rsidR="00520558">
        <w:t>we</w:t>
      </w:r>
      <w:r w:rsidR="00CE450B">
        <w:t>re effectively ‘double counting’ the discount (applying the discount to the already discounted total).</w:t>
      </w:r>
    </w:p>
    <w:p w14:paraId="46CEA89D" w14:textId="017BC184" w:rsidR="00CE450B" w:rsidRDefault="00CE450B" w:rsidP="00B33C11">
      <w:r>
        <w:t>We showed survey respondents a results page with three plans and asked them to select their preferred plan</w:t>
      </w:r>
      <w:r w:rsidR="00DB30AF">
        <w:t xml:space="preserve"> (</w:t>
      </w:r>
      <w:r w:rsidR="004165CA">
        <w:fldChar w:fldCharType="begin"/>
      </w:r>
      <w:r w:rsidR="004165CA">
        <w:instrText xml:space="preserve"> REF _Ref184220987 \h </w:instrText>
      </w:r>
      <w:r w:rsidR="004165CA">
        <w:fldChar w:fldCharType="separate"/>
      </w:r>
      <w:r w:rsidR="00CA7D15">
        <w:t xml:space="preserve">Figure </w:t>
      </w:r>
      <w:r w:rsidR="00CA7D15">
        <w:rPr>
          <w:noProof/>
        </w:rPr>
        <w:t>4</w:t>
      </w:r>
      <w:r w:rsidR="004165CA">
        <w:fldChar w:fldCharType="end"/>
      </w:r>
      <w:r w:rsidR="00122B05">
        <w:t>)</w:t>
      </w:r>
      <w:r>
        <w:t>.</w:t>
      </w:r>
    </w:p>
    <w:p w14:paraId="44023A8F" w14:textId="77777777" w:rsidR="00D80D4D" w:rsidRDefault="00664CD8" w:rsidP="00D80D4D">
      <w:pPr>
        <w:keepNext/>
      </w:pPr>
      <w:r w:rsidRPr="00664CD8">
        <w:rPr>
          <w:noProof/>
        </w:rPr>
        <w:lastRenderedPageBreak/>
        <w:drawing>
          <wp:inline distT="0" distB="0" distL="0" distR="0" wp14:anchorId="0C197354" wp14:editId="740DA7EB">
            <wp:extent cx="4159464" cy="2292468"/>
            <wp:effectExtent l="152400" t="152400" r="355600" b="355600"/>
            <wp:docPr id="27" name="Picture 27" descr="Example plan has blue flag in left hand corner with white text special offer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59464" cy="2292468"/>
                    </a:xfrm>
                    <a:prstGeom prst="rect">
                      <a:avLst/>
                    </a:prstGeom>
                    <a:ln>
                      <a:noFill/>
                    </a:ln>
                    <a:effectLst>
                      <a:outerShdw blurRad="292100" dist="139700" dir="2700000" algn="tl" rotWithShape="0">
                        <a:srgbClr val="333333">
                          <a:alpha val="65000"/>
                        </a:srgbClr>
                      </a:outerShdw>
                    </a:effectLst>
                  </pic:spPr>
                </pic:pic>
              </a:graphicData>
            </a:graphic>
          </wp:inline>
        </w:drawing>
      </w:r>
    </w:p>
    <w:p w14:paraId="69D7D0B5" w14:textId="1DC8A362" w:rsidR="00FD51E6" w:rsidRPr="00FD51E6" w:rsidRDefault="00D80D4D" w:rsidP="00D80D4D">
      <w:pPr>
        <w:pStyle w:val="Caption"/>
        <w:outlineLvl w:val="3"/>
      </w:pPr>
      <w:bookmarkStart w:id="34" w:name="_Ref184220987"/>
      <w:r>
        <w:t xml:space="preserve">Figure </w:t>
      </w:r>
      <w:fldSimple w:instr=" SEQ Figure \* ARABIC ">
        <w:r w:rsidR="00AA4280">
          <w:rPr>
            <w:noProof/>
          </w:rPr>
          <w:t>4</w:t>
        </w:r>
      </w:fldSimple>
      <w:bookmarkEnd w:id="34"/>
      <w:r>
        <w:t>.</w:t>
      </w:r>
      <w:r>
        <w:tab/>
        <w:t>E</w:t>
      </w:r>
      <w:r w:rsidRPr="00C37CFA">
        <w:t>xample of a plan with Special Offer flag and explanatory note used in testing.</w:t>
      </w:r>
    </w:p>
    <w:p w14:paraId="12F52AF1" w14:textId="22A0C78E" w:rsidR="00294F29" w:rsidRDefault="00FE5E0F" w:rsidP="00294F29">
      <w:r>
        <w:t xml:space="preserve">In our scenario, respondents viewing </w:t>
      </w:r>
      <w:r w:rsidR="00ED0ADD">
        <w:t xml:space="preserve">the same </w:t>
      </w:r>
      <w:r>
        <w:t xml:space="preserve">three plans chose the absolute cheapest plan in 89% of cases when no </w:t>
      </w:r>
      <w:r w:rsidRPr="00AB18DD">
        <w:rPr>
          <w:i/>
        </w:rPr>
        <w:t>Special Offer</w:t>
      </w:r>
      <w:r w:rsidDel="00D53CC0">
        <w:t xml:space="preserve"> </w:t>
      </w:r>
      <w:r>
        <w:t xml:space="preserve">flag was shown. When we showed the </w:t>
      </w:r>
      <w:r w:rsidRPr="00AB18DD">
        <w:rPr>
          <w:i/>
        </w:rPr>
        <w:t>Special Offer</w:t>
      </w:r>
      <w:r w:rsidDel="00D53CC0">
        <w:t xml:space="preserve"> </w:t>
      </w:r>
      <w:r>
        <w:t xml:space="preserve">flag, </w:t>
      </w:r>
      <w:r w:rsidR="001C69F7">
        <w:t>consumers</w:t>
      </w:r>
      <w:r>
        <w:t xml:space="preserve"> were slightly less likely to choose the cheapest plan (fell to 86%) because they were attracted to the</w:t>
      </w:r>
      <w:r w:rsidR="00ED0ADD">
        <w:t xml:space="preserve"> plan with the</w:t>
      </w:r>
      <w:r>
        <w:t xml:space="preserve"> </w:t>
      </w:r>
      <w:r w:rsidRPr="00AB18DD">
        <w:rPr>
          <w:i/>
        </w:rPr>
        <w:t>Special Offer</w:t>
      </w:r>
      <w:r>
        <w:rPr>
          <w:i/>
        </w:rPr>
        <w:t xml:space="preserve"> </w:t>
      </w:r>
      <w:r>
        <w:t>instead</w:t>
      </w:r>
      <w:r w:rsidR="00ED0ADD">
        <w:t xml:space="preserve"> (</w:t>
      </w:r>
      <w:r w:rsidR="004165CA">
        <w:fldChar w:fldCharType="begin"/>
      </w:r>
      <w:r w:rsidR="004165CA">
        <w:instrText xml:space="preserve"> REF _Ref184221001 \h </w:instrText>
      </w:r>
      <w:r w:rsidR="004165CA">
        <w:fldChar w:fldCharType="separate"/>
      </w:r>
      <w:r w:rsidR="00CA7D15">
        <w:t xml:space="preserve">Figure </w:t>
      </w:r>
      <w:r w:rsidR="00CA7D15">
        <w:rPr>
          <w:noProof/>
        </w:rPr>
        <w:t>5</w:t>
      </w:r>
      <w:r w:rsidR="004165CA">
        <w:fldChar w:fldCharType="end"/>
      </w:r>
      <w:r w:rsidR="00ED0ADD">
        <w:t>)</w:t>
      </w:r>
      <w:r>
        <w:t>.</w:t>
      </w:r>
    </w:p>
    <w:p w14:paraId="012D8601" w14:textId="77777777" w:rsidR="002168AC" w:rsidRDefault="002168AC" w:rsidP="002168AC">
      <w:pPr>
        <w:keepNext/>
      </w:pPr>
      <w:r>
        <w:rPr>
          <w:noProof/>
        </w:rPr>
        <w:drawing>
          <wp:inline distT="0" distB="0" distL="0" distR="0" wp14:anchorId="5688FAE6" wp14:editId="2AC7D04E">
            <wp:extent cx="5487035" cy="3091180"/>
            <wp:effectExtent l="0" t="0" r="0" b="0"/>
            <wp:docPr id="6" name="Picture 6" descr="Bar graph shows percent succesfully choosing the cheapest plan. Results page did not draw attention to special offers 89%, results page flagged special offers - but explained that it was included in the total estimate 87%, results page drew attention to special offers on plans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7035" cy="3091180"/>
                    </a:xfrm>
                    <a:prstGeom prst="rect">
                      <a:avLst/>
                    </a:prstGeom>
                    <a:noFill/>
                  </pic:spPr>
                </pic:pic>
              </a:graphicData>
            </a:graphic>
          </wp:inline>
        </w:drawing>
      </w:r>
    </w:p>
    <w:p w14:paraId="195CC052" w14:textId="0D146409" w:rsidR="002168AC" w:rsidRDefault="002168AC" w:rsidP="002E1FC6">
      <w:pPr>
        <w:pStyle w:val="Caption"/>
        <w:outlineLvl w:val="3"/>
      </w:pPr>
      <w:bookmarkStart w:id="35" w:name="_Ref184221001"/>
      <w:r>
        <w:t xml:space="preserve">Figure </w:t>
      </w:r>
      <w:fldSimple w:instr=" SEQ Figure \* ARABIC ">
        <w:r w:rsidR="00AA4280">
          <w:rPr>
            <w:noProof/>
          </w:rPr>
          <w:t>5</w:t>
        </w:r>
      </w:fldSimple>
      <w:bookmarkEnd w:id="35"/>
      <w:r>
        <w:t>.</w:t>
      </w:r>
      <w:r>
        <w:tab/>
        <w:t>D</w:t>
      </w:r>
      <w:r w:rsidRPr="000A1C08">
        <w:t xml:space="preserve">rawing attention to special offers on the main results page made </w:t>
      </w:r>
      <w:r w:rsidR="001C69F7">
        <w:t>consumers</w:t>
      </w:r>
      <w:r w:rsidRPr="000A1C08">
        <w:t xml:space="preserve"> a little less likely to choose the cheapest plan from the list.</w:t>
      </w:r>
    </w:p>
    <w:p w14:paraId="0EB1C9C5" w14:textId="20BF77EF" w:rsidR="002168AC" w:rsidRDefault="002168AC" w:rsidP="00294F29"/>
    <w:p w14:paraId="2B8F7B5E" w14:textId="0EB70DF7" w:rsidR="00C977CD" w:rsidRDefault="00C977CD" w:rsidP="00C977CD">
      <w:r>
        <w:lastRenderedPageBreak/>
        <w:t>Adding a</w:t>
      </w:r>
      <w:r w:rsidRPr="00D92AE0">
        <w:t xml:space="preserve">n explanatory note pointing out that the </w:t>
      </w:r>
      <w:r w:rsidRPr="00AB18DD">
        <w:rPr>
          <w:i/>
        </w:rPr>
        <w:t>Special Offer</w:t>
      </w:r>
      <w:r>
        <w:rPr>
          <w:i/>
        </w:rPr>
        <w:t xml:space="preserve"> </w:t>
      </w:r>
      <w:r>
        <w:t xml:space="preserve">(or </w:t>
      </w:r>
      <w:r w:rsidRPr="00D92AE0">
        <w:t>discount</w:t>
      </w:r>
      <w:r>
        <w:t>)</w:t>
      </w:r>
      <w:r w:rsidRPr="00D92AE0">
        <w:t xml:space="preserve"> </w:t>
      </w:r>
      <w:r w:rsidR="00520558">
        <w:t>was</w:t>
      </w:r>
      <w:r w:rsidR="00520558" w:rsidRPr="00D92AE0">
        <w:t xml:space="preserve"> </w:t>
      </w:r>
      <w:r w:rsidRPr="00D92AE0">
        <w:t>already included in the total estimate</w:t>
      </w:r>
      <w:r w:rsidR="00DE04B7">
        <w:t xml:space="preserve"> did not significantly</w:t>
      </w:r>
      <w:r w:rsidRPr="00D92AE0">
        <w:t xml:space="preserve"> offset the negative effect of the </w:t>
      </w:r>
      <w:r w:rsidRPr="00AB18DD">
        <w:rPr>
          <w:i/>
        </w:rPr>
        <w:t>Special Offer</w:t>
      </w:r>
      <w:r w:rsidRPr="00D92AE0" w:rsidDel="00D53CC0">
        <w:t xml:space="preserve"> </w:t>
      </w:r>
      <w:r w:rsidRPr="00D92AE0">
        <w:t>flag</w:t>
      </w:r>
      <w:r w:rsidR="00DE04B7">
        <w:t xml:space="preserve"> </w:t>
      </w:r>
      <w:r>
        <w:t>(</w:t>
      </w:r>
      <w:r w:rsidR="006B4A44">
        <w:rPr>
          <w:i/>
        </w:rPr>
        <w:t>‘</w:t>
      </w:r>
      <w:r w:rsidR="00B96CE8" w:rsidRPr="00B96CE8">
        <w:rPr>
          <w:i/>
        </w:rPr>
        <w:t>Panel Survey-Experiment data</w:t>
      </w:r>
      <w:r w:rsidR="006B4A44">
        <w:rPr>
          <w:i/>
        </w:rPr>
        <w:t>’</w:t>
      </w:r>
      <w:r>
        <w:t xml:space="preserve"> 2022).</w:t>
      </w:r>
      <w:r w:rsidRPr="00B01B33">
        <w:t xml:space="preserve"> </w:t>
      </w:r>
    </w:p>
    <w:p w14:paraId="2B95448C" w14:textId="3D180976" w:rsidR="00C977CD" w:rsidRDefault="00C977CD" w:rsidP="00C977CD">
      <w:r>
        <w:t xml:space="preserve">These results suggest that caution should be applied before deciding to flag </w:t>
      </w:r>
      <w:r w:rsidRPr="00AB18DD">
        <w:rPr>
          <w:i/>
        </w:rPr>
        <w:t>Special Offer</w:t>
      </w:r>
      <w:r>
        <w:rPr>
          <w:i/>
        </w:rPr>
        <w:t>s</w:t>
      </w:r>
      <w:r>
        <w:t xml:space="preserve"> on the results page. </w:t>
      </w:r>
    </w:p>
    <w:p w14:paraId="0BDCDA6F" w14:textId="77777777" w:rsidR="00DE04B7" w:rsidRDefault="006428E0" w:rsidP="008412AC">
      <w:pPr>
        <w:pStyle w:val="Heading3"/>
      </w:pPr>
      <w:bookmarkStart w:id="36" w:name="_Ref115014525"/>
      <w:r w:rsidRPr="006428E0">
        <w:t>Consumers struggled to compare other options to their existing plan</w:t>
      </w:r>
    </w:p>
    <w:bookmarkEnd w:id="36"/>
    <w:p w14:paraId="1ECA0FFD" w14:textId="1D3590A7" w:rsidR="006B7979" w:rsidRDefault="00B855DF">
      <w:pPr>
        <w:rPr>
          <w:noProof/>
        </w:rPr>
      </w:pPr>
      <w:r>
        <w:t>While comparing energy plans on the website was easy, comparing plans on the website to their energy bill was hard.</w:t>
      </w:r>
      <w:r w:rsidR="006B7979">
        <w:t xml:space="preserve"> </w:t>
      </w:r>
      <w:r>
        <w:t>Information o</w:t>
      </w:r>
      <w:r w:rsidR="006B7979">
        <w:t>n the bill</w:t>
      </w:r>
      <w:r w:rsidR="00A6431C">
        <w:t xml:space="preserve"> was</w:t>
      </w:r>
      <w:r w:rsidR="006B7979">
        <w:t xml:space="preserve"> presente</w:t>
      </w:r>
      <w:r w:rsidR="005C1B55">
        <w:t xml:space="preserve">d differently to the website. Unlike Energy Made Easy results, bills </w:t>
      </w:r>
      <w:r w:rsidR="00A6431C">
        <w:t xml:space="preserve">were </w:t>
      </w:r>
      <w:r w:rsidR="005C1B55">
        <w:t xml:space="preserve">not </w:t>
      </w:r>
      <w:r w:rsidR="006B7979">
        <w:t>neatly totalled into</w:t>
      </w:r>
      <w:r w:rsidR="007E03B2">
        <w:t xml:space="preserve"> an estimate for the past year.</w:t>
      </w:r>
      <w:r w:rsidR="005C1B55">
        <w:t xml:space="preserve"> </w:t>
      </w:r>
      <w:r w:rsidR="007E03B2">
        <w:t>Supply charges, peak and off-peak rates, pay-on-time discounts, concessions and rebates combine</w:t>
      </w:r>
      <w:r w:rsidR="00A6431C">
        <w:t>d</w:t>
      </w:r>
      <w:r w:rsidR="007E03B2">
        <w:t xml:space="preserve"> to make it very complex to compare one plan to another</w:t>
      </w:r>
      <w:r w:rsidR="007E03B2">
        <w:rPr>
          <w:noProof/>
        </w:rPr>
        <w:t xml:space="preserve"> (</w:t>
      </w:r>
      <w:r w:rsidR="006B4A44" w:rsidRPr="00DB30AF">
        <w:rPr>
          <w:i/>
          <w:noProof/>
        </w:rPr>
        <w:t>‘</w:t>
      </w:r>
      <w:r w:rsidR="007E03B2" w:rsidRPr="00DB30AF">
        <w:rPr>
          <w:i/>
          <w:noProof/>
        </w:rPr>
        <w:t>Website user-testing</w:t>
      </w:r>
      <w:r w:rsidR="006B4A44" w:rsidRPr="00DB30AF">
        <w:rPr>
          <w:i/>
          <w:noProof/>
        </w:rPr>
        <w:t>’</w:t>
      </w:r>
      <w:r w:rsidR="007E03B2" w:rsidRPr="00DB30AF">
        <w:rPr>
          <w:i/>
          <w:noProof/>
        </w:rPr>
        <w:t xml:space="preserve"> </w:t>
      </w:r>
      <w:r w:rsidR="007E03B2">
        <w:rPr>
          <w:noProof/>
        </w:rPr>
        <w:t xml:space="preserve">data 2022). </w:t>
      </w:r>
    </w:p>
    <w:p w14:paraId="51FE9CEC" w14:textId="6E07EB3F" w:rsidR="007E03B2" w:rsidRPr="001E3158" w:rsidRDefault="00A6431C" w:rsidP="007E03B2">
      <w:pPr>
        <w:rPr>
          <w:bCs/>
        </w:rPr>
      </w:pPr>
      <w:r>
        <w:t xml:space="preserve">When we spoke to energy consumers, we found they wanted to feel really confident before making a choice. </w:t>
      </w:r>
      <w:r w:rsidR="007E03B2" w:rsidRPr="002D7458">
        <w:t xml:space="preserve">In BETA’s previous research into energy bills, our survey asked reasons for </w:t>
      </w:r>
      <w:r w:rsidR="007E03B2" w:rsidRPr="002D7458">
        <w:rPr>
          <w:i/>
        </w:rPr>
        <w:t xml:space="preserve">not </w:t>
      </w:r>
      <w:r w:rsidR="007E03B2" w:rsidRPr="002D7458">
        <w:t xml:space="preserve">switching in the last year. Of those who looked at other plans but did not switch, 40% said they were happy with their current plan and 12% were worried they would end up on a worse plan (BETA 2018, p.58). This means that if, after initiating a plan search, the user still </w:t>
      </w:r>
      <w:r w:rsidRPr="002D7458">
        <w:t>fe</w:t>
      </w:r>
      <w:r>
        <w:t>lt</w:t>
      </w:r>
      <w:r w:rsidRPr="002D7458">
        <w:t xml:space="preserve"> </w:t>
      </w:r>
      <w:r w:rsidR="007E03B2" w:rsidRPr="002D7458">
        <w:t xml:space="preserve">uncertain about the best choice, they </w:t>
      </w:r>
      <w:r>
        <w:t>we</w:t>
      </w:r>
      <w:r w:rsidR="007E03B2" w:rsidRPr="002D7458">
        <w:t xml:space="preserve">re more likely to stick with </w:t>
      </w:r>
      <w:r w:rsidR="001D65A0">
        <w:t>the status quo</w:t>
      </w:r>
      <w:r w:rsidR="007E03B2" w:rsidRPr="002D7458">
        <w:t xml:space="preserve"> than take a risk.</w:t>
      </w:r>
      <w:r w:rsidR="007E03B2" w:rsidRPr="002D7458" w:rsidDel="001808F7">
        <w:t xml:space="preserve"> </w:t>
      </w:r>
    </w:p>
    <w:p w14:paraId="0AB37592" w14:textId="5EE0A079" w:rsidR="006B7979" w:rsidRDefault="00C977CD" w:rsidP="006B7979">
      <w:r>
        <w:t xml:space="preserve">In </w:t>
      </w:r>
      <w:r w:rsidR="00A6431C">
        <w:t>user-testing</w:t>
      </w:r>
      <w:r>
        <w:t xml:space="preserve">, </w:t>
      </w:r>
      <w:r w:rsidR="001C69F7">
        <w:t>consumers</w:t>
      </w:r>
      <w:r w:rsidR="006B7979">
        <w:t xml:space="preserve"> </w:t>
      </w:r>
      <w:r w:rsidR="6DEAE65D">
        <w:t>looked</w:t>
      </w:r>
      <w:r w:rsidR="00A6431C">
        <w:t xml:space="preserve"> </w:t>
      </w:r>
      <w:r w:rsidR="006B7979">
        <w:t xml:space="preserve">for their own plan on the website, but </w:t>
      </w:r>
      <w:r w:rsidR="00624159">
        <w:t xml:space="preserve">old plans from previous years are not shown if they are not available to new </w:t>
      </w:r>
      <w:r w:rsidR="001C69F7">
        <w:t>consumer</w:t>
      </w:r>
      <w:r w:rsidR="00624159">
        <w:t xml:space="preserve">s </w:t>
      </w:r>
      <w:r w:rsidR="00624159" w:rsidRPr="5752F1E7">
        <w:rPr>
          <w:noProof/>
        </w:rPr>
        <w:t>(</w:t>
      </w:r>
      <w:r w:rsidR="006B4A44" w:rsidRPr="5752F1E7">
        <w:rPr>
          <w:i/>
          <w:iCs/>
          <w:noProof/>
        </w:rPr>
        <w:t>‘</w:t>
      </w:r>
      <w:r w:rsidR="00624159" w:rsidRPr="5752F1E7">
        <w:rPr>
          <w:i/>
          <w:iCs/>
          <w:noProof/>
        </w:rPr>
        <w:t>Website user-testing</w:t>
      </w:r>
      <w:r w:rsidR="006B4A44" w:rsidRPr="5752F1E7">
        <w:rPr>
          <w:i/>
          <w:iCs/>
          <w:noProof/>
        </w:rPr>
        <w:t>’</w:t>
      </w:r>
      <w:r w:rsidR="00624159" w:rsidRPr="5752F1E7">
        <w:rPr>
          <w:noProof/>
        </w:rPr>
        <w:t xml:space="preserve"> data 2022)</w:t>
      </w:r>
      <w:r w:rsidR="006B7979">
        <w:t xml:space="preserve">. We thought that </w:t>
      </w:r>
      <w:r w:rsidR="005C1B55">
        <w:t xml:space="preserve">drawing attention to </w:t>
      </w:r>
      <w:r w:rsidR="006B7979">
        <w:t>the</w:t>
      </w:r>
      <w:r w:rsidR="00624159">
        <w:t>ir</w:t>
      </w:r>
      <w:r w:rsidR="006B7979">
        <w:t xml:space="preserve"> current retailer’s cheapest plan might be a good substitute for their actual plan. It would give them a clue as to whether their retailer is competitive, but also allow them to realise that their own retailer might offer better plans. </w:t>
      </w:r>
    </w:p>
    <w:p w14:paraId="21B21FDB" w14:textId="5844CAF6" w:rsidR="006B7979" w:rsidRDefault="00836F28" w:rsidP="006B7979">
      <w:r>
        <w:t>We were concerned about a potential backfire</w:t>
      </w:r>
      <w:r w:rsidR="006B7979">
        <w:t xml:space="preserve">: If we pinned their current retailer’s cheapest plan to the top of the results, would this give them an unearned advantage? Would placing it in the most prominent spot cause </w:t>
      </w:r>
      <w:r w:rsidR="001C69F7">
        <w:t>consumers</w:t>
      </w:r>
      <w:r w:rsidR="006B7979">
        <w:t xml:space="preserve"> to choose it, even if it wasn’t a very good deal? We needed to be sure we wouldn’t be nudging </w:t>
      </w:r>
      <w:r w:rsidR="001C69F7">
        <w:t>consumers</w:t>
      </w:r>
      <w:r w:rsidR="006B7979">
        <w:t xml:space="preserve"> to choose a</w:t>
      </w:r>
      <w:r w:rsidR="00624159">
        <w:t>n expensive</w:t>
      </w:r>
      <w:r w:rsidR="006B7979">
        <w:t xml:space="preserve"> plan.</w:t>
      </w:r>
    </w:p>
    <w:p w14:paraId="12AE2F92" w14:textId="622B183B" w:rsidR="008B6F75" w:rsidRDefault="005C1B55" w:rsidP="008B6F75">
      <w:r>
        <w:t>In order to test</w:t>
      </w:r>
      <w:r w:rsidR="00836F28">
        <w:t xml:space="preserve"> this</w:t>
      </w:r>
      <w:r>
        <w:t>, w</w:t>
      </w:r>
      <w:r w:rsidR="00EB741A">
        <w:t xml:space="preserve">e used </w:t>
      </w:r>
      <w:r w:rsidR="00DB30AF">
        <w:t>a</w:t>
      </w:r>
      <w:r w:rsidR="00EB741A">
        <w:t xml:space="preserve"> Randomised Controlled Trial (RCT</w:t>
      </w:r>
      <w:r w:rsidR="006B7979">
        <w:t>) so we could show each person one of several possible versions of the website and observe their choices</w:t>
      </w:r>
      <w:r w:rsidR="00624159">
        <w:t xml:space="preserve"> (</w:t>
      </w:r>
      <w:r w:rsidR="006B4A44">
        <w:rPr>
          <w:i/>
        </w:rPr>
        <w:t>‘</w:t>
      </w:r>
      <w:r w:rsidR="00B96CE8" w:rsidRPr="00B96CE8">
        <w:rPr>
          <w:i/>
        </w:rPr>
        <w:t>Panel Survey-Experiment data</w:t>
      </w:r>
      <w:r w:rsidR="006B4A44">
        <w:rPr>
          <w:i/>
        </w:rPr>
        <w:t>’</w:t>
      </w:r>
      <w:r w:rsidR="00624159">
        <w:t xml:space="preserve"> 2022)</w:t>
      </w:r>
      <w:r>
        <w:t xml:space="preserve">. We embedded this </w:t>
      </w:r>
      <w:r w:rsidR="006B7979">
        <w:t>in a su</w:t>
      </w:r>
      <w:r w:rsidR="00A60D77">
        <w:t>rvey</w:t>
      </w:r>
      <w:r w:rsidR="00DB30AF">
        <w:t xml:space="preserve"> about energy and switching (</w:t>
      </w:r>
      <w:r w:rsidR="004165CA">
        <w:fldChar w:fldCharType="begin"/>
      </w:r>
      <w:r w:rsidR="004165CA">
        <w:instrText xml:space="preserve"> REF _Ref184221020 \h </w:instrText>
      </w:r>
      <w:r w:rsidR="004165CA">
        <w:fldChar w:fldCharType="separate"/>
      </w:r>
      <w:r w:rsidR="007A1DE4">
        <w:t xml:space="preserve">Figure </w:t>
      </w:r>
      <w:r w:rsidR="007A1DE4">
        <w:rPr>
          <w:noProof/>
        </w:rPr>
        <w:t>6</w:t>
      </w:r>
      <w:r w:rsidR="004165CA">
        <w:fldChar w:fldCharType="end"/>
      </w:r>
      <w:r w:rsidR="00A60D77">
        <w:t>)</w:t>
      </w:r>
      <w:r w:rsidR="00A40612">
        <w:t>.</w:t>
      </w:r>
    </w:p>
    <w:p w14:paraId="7A2BBB78" w14:textId="6BA451CE" w:rsidR="002E1FC6" w:rsidRDefault="00480464" w:rsidP="002E1FC6">
      <w:pPr>
        <w:keepNext/>
      </w:pPr>
      <w:r w:rsidRPr="00480464">
        <w:rPr>
          <w:noProof/>
        </w:rPr>
        <w:lastRenderedPageBreak/>
        <w:drawing>
          <wp:inline distT="0" distB="0" distL="0" distR="0" wp14:anchorId="32644345" wp14:editId="2ABAF234">
            <wp:extent cx="4525006" cy="5249008"/>
            <wp:effectExtent l="152400" t="152400" r="371475" b="370840"/>
            <wp:docPr id="55" name="Picture 55" descr="Webpage example has 'Your current retailer's lowest offer' highlighted at the top of the page in pale blu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25006" cy="5249008"/>
                    </a:xfrm>
                    <a:prstGeom prst="rect">
                      <a:avLst/>
                    </a:prstGeom>
                    <a:ln>
                      <a:noFill/>
                    </a:ln>
                    <a:effectLst>
                      <a:outerShdw blurRad="292100" dist="139700" dir="2700000" algn="tl" rotWithShape="0">
                        <a:srgbClr val="333333">
                          <a:alpha val="65000"/>
                        </a:srgbClr>
                      </a:outerShdw>
                    </a:effectLst>
                  </pic:spPr>
                </pic:pic>
              </a:graphicData>
            </a:graphic>
          </wp:inline>
        </w:drawing>
      </w:r>
    </w:p>
    <w:p w14:paraId="64DDE737" w14:textId="6E499C84" w:rsidR="00A60D77" w:rsidRDefault="002E1FC6" w:rsidP="002E1FC6">
      <w:pPr>
        <w:pStyle w:val="Caption"/>
        <w:outlineLvl w:val="3"/>
      </w:pPr>
      <w:bookmarkStart w:id="37" w:name="_Ref184221020"/>
      <w:r>
        <w:t xml:space="preserve">Figure </w:t>
      </w:r>
      <w:fldSimple w:instr=" SEQ Figure \* ARABIC ">
        <w:r w:rsidR="00AA4280">
          <w:t>6</w:t>
        </w:r>
      </w:fldSimple>
      <w:bookmarkEnd w:id="37"/>
      <w:r>
        <w:t>.</w:t>
      </w:r>
      <w:r>
        <w:tab/>
        <w:t>W</w:t>
      </w:r>
      <w:r w:rsidRPr="007873EB">
        <w:t>e highlighted the current retailer’s lowest offer in the survey experiment.</w:t>
      </w:r>
    </w:p>
    <w:p w14:paraId="3B996155" w14:textId="218444FC" w:rsidR="006B7979" w:rsidRDefault="00B855DF" w:rsidP="006B7979">
      <w:r>
        <w:t>S</w:t>
      </w:r>
      <w:r w:rsidR="00475E9E">
        <w:t>urprisingly,</w:t>
      </w:r>
      <w:r w:rsidR="006B7979">
        <w:t xml:space="preserve"> even in </w:t>
      </w:r>
      <w:r w:rsidR="00624159">
        <w:t>the</w:t>
      </w:r>
      <w:r w:rsidR="006B7979">
        <w:t xml:space="preserve"> hypothetical exp</w:t>
      </w:r>
      <w:r w:rsidR="00475E9E">
        <w:t xml:space="preserve">eriment, some </w:t>
      </w:r>
      <w:r w:rsidR="001C69F7">
        <w:t>consumers</w:t>
      </w:r>
      <w:r w:rsidR="00475E9E">
        <w:t xml:space="preserve"> were </w:t>
      </w:r>
      <w:r w:rsidR="006B7979">
        <w:t xml:space="preserve">loyal to the fictitious energy retailer we’d assigned to them one minute earlier. </w:t>
      </w:r>
      <w:r w:rsidR="00624159">
        <w:t xml:space="preserve">Of the </w:t>
      </w:r>
      <w:r w:rsidR="006B7979">
        <w:t xml:space="preserve">group who saw </w:t>
      </w:r>
      <w:r w:rsidR="00624159">
        <w:t>a</w:t>
      </w:r>
      <w:r w:rsidR="006B7979">
        <w:t xml:space="preserve"> ‘business as usual’ version</w:t>
      </w:r>
      <w:r w:rsidR="00624159">
        <w:t xml:space="preserve"> of the website</w:t>
      </w:r>
      <w:r w:rsidR="006B7979">
        <w:t xml:space="preserve">, one in ten </w:t>
      </w:r>
      <w:r w:rsidR="001C69F7">
        <w:t>consumers</w:t>
      </w:r>
      <w:r w:rsidR="006B7979">
        <w:t xml:space="preserve"> decided to stick with their current plan, rather than to risk a bad decision. When </w:t>
      </w:r>
      <w:r w:rsidR="00624159">
        <w:t>the cheapest plan from their current retailer was</w:t>
      </w:r>
      <w:r w:rsidR="006B7979">
        <w:t xml:space="preserve"> pinned</w:t>
      </w:r>
      <w:r w:rsidR="00624159">
        <w:t xml:space="preserve"> to the top of the search results</w:t>
      </w:r>
      <w:r w:rsidR="006B7979">
        <w:t xml:space="preserve">, </w:t>
      </w:r>
      <w:r w:rsidR="001C69F7">
        <w:t>consumers</w:t>
      </w:r>
      <w:r w:rsidR="006B7979">
        <w:t xml:space="preserve"> were more likely to want to make a switch</w:t>
      </w:r>
      <w:r w:rsidR="00624159">
        <w:t xml:space="preserve"> to a better plan</w:t>
      </w:r>
      <w:r w:rsidR="006B7979">
        <w:t>. The number choosing to stick to their ol</w:t>
      </w:r>
      <w:r w:rsidR="00DB30AF">
        <w:t xml:space="preserve">d plan dropped by around half, </w:t>
      </w:r>
      <w:r w:rsidR="006B7979">
        <w:t>most switched to the even cheaper plan offered by another r</w:t>
      </w:r>
      <w:r w:rsidR="00DB30AF">
        <w:t>etailer (</w:t>
      </w:r>
      <w:r w:rsidR="004165CA">
        <w:fldChar w:fldCharType="begin"/>
      </w:r>
      <w:r w:rsidR="004165CA">
        <w:instrText xml:space="preserve"> REF _Ref184221039 \h </w:instrText>
      </w:r>
      <w:r w:rsidR="004165CA">
        <w:fldChar w:fldCharType="separate"/>
      </w:r>
      <w:r w:rsidR="007A1DE4">
        <w:t xml:space="preserve">Figure </w:t>
      </w:r>
      <w:r w:rsidR="007A1DE4">
        <w:rPr>
          <w:noProof/>
        </w:rPr>
        <w:t>7</w:t>
      </w:r>
      <w:r w:rsidR="004165CA">
        <w:fldChar w:fldCharType="end"/>
      </w:r>
      <w:r w:rsidR="006B7979">
        <w:t>). That left only 3-6% sticking with their current plan.</w:t>
      </w:r>
      <w:r w:rsidR="00475E9E">
        <w:t xml:space="preserve"> The example that we tested l</w:t>
      </w:r>
      <w:r w:rsidR="00DB30AF">
        <w:t xml:space="preserve">eft little room for confusion, </w:t>
      </w:r>
      <w:r w:rsidR="00475E9E">
        <w:t xml:space="preserve">it stated </w:t>
      </w:r>
      <w:r w:rsidR="00475E9E" w:rsidRPr="00DB30AF">
        <w:rPr>
          <w:i/>
        </w:rPr>
        <w:t xml:space="preserve">‘This plan may not be the plan you are currently on. This plan is </w:t>
      </w:r>
      <w:r w:rsidR="00475E9E" w:rsidRPr="00DB30AF">
        <w:rPr>
          <w:b/>
          <w:i/>
        </w:rPr>
        <w:t>$</w:t>
      </w:r>
      <w:r w:rsidR="00836F28">
        <w:rPr>
          <w:b/>
          <w:i/>
        </w:rPr>
        <w:t xml:space="preserve">X </w:t>
      </w:r>
      <w:r w:rsidR="00475E9E" w:rsidRPr="00DB30AF">
        <w:rPr>
          <w:b/>
          <w:i/>
        </w:rPr>
        <w:t>more</w:t>
      </w:r>
      <w:r w:rsidR="00475E9E" w:rsidRPr="00DB30AF">
        <w:rPr>
          <w:i/>
        </w:rPr>
        <w:t xml:space="preserve"> per year than the lowest price plan</w:t>
      </w:r>
      <w:r w:rsidR="006B4A44" w:rsidRPr="00DB30AF">
        <w:rPr>
          <w:i/>
        </w:rPr>
        <w:t>’</w:t>
      </w:r>
      <w:r w:rsidR="00475E9E">
        <w:t xml:space="preserve">. We tested an example where the currently retailer’s plan was </w:t>
      </w:r>
      <w:r w:rsidR="00475E9E">
        <w:lastRenderedPageBreak/>
        <w:t>competitive ($80 more per year) and another where it was much less competitive (</w:t>
      </w:r>
      <w:r w:rsidR="003C088C">
        <w:t>$201</w:t>
      </w:r>
      <w:r w:rsidR="00475E9E">
        <w:t xml:space="preserve"> more per year). </w:t>
      </w:r>
      <w:r w:rsidR="00A34818">
        <w:t>Providing consumers a bit of extra information about their current choice ma</w:t>
      </w:r>
      <w:r w:rsidR="00836F28">
        <w:t>de</w:t>
      </w:r>
      <w:r w:rsidR="00A34818">
        <w:t xml:space="preserve"> it easier </w:t>
      </w:r>
      <w:r w:rsidR="00836F28">
        <w:t xml:space="preserve">for them </w:t>
      </w:r>
      <w:r w:rsidR="00A34818">
        <w:t>to make a switch.</w:t>
      </w:r>
    </w:p>
    <w:p w14:paraId="1E70CF10" w14:textId="77777777" w:rsidR="00AA4280" w:rsidRDefault="00CE37E2" w:rsidP="00AA4280">
      <w:pPr>
        <w:keepNext/>
      </w:pPr>
      <w:r>
        <w:rPr>
          <w:noProof/>
        </w:rPr>
        <w:drawing>
          <wp:inline distT="0" distB="0" distL="0" distR="0" wp14:anchorId="1A3B8380" wp14:editId="666161F0">
            <wp:extent cx="5400000" cy="3126514"/>
            <wp:effectExtent l="0" t="0" r="0" b="0"/>
            <wp:docPr id="10" name="Picture 10" descr="Bar graph shows percent choosing to switch from their current plan to any cheaper option. Current retailer's lowest offer is $80 more than closest competitor: standard list of plans sorted by cost 90%, current retailer's lowest offer bumped to the top 94%. Current retailer's lowest offer is $200 more than closest competitor: Standard list of plans sorted by cost 88%, current retailer's lowest offer bumped to the top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00" cy="3126514"/>
                    </a:xfrm>
                    <a:prstGeom prst="rect">
                      <a:avLst/>
                    </a:prstGeom>
                    <a:noFill/>
                  </pic:spPr>
                </pic:pic>
              </a:graphicData>
            </a:graphic>
          </wp:inline>
        </w:drawing>
      </w:r>
    </w:p>
    <w:p w14:paraId="30FCE1C3" w14:textId="6A57494B" w:rsidR="00CE37E2" w:rsidRPr="00AA4280" w:rsidRDefault="00AA4280" w:rsidP="00D26AAB">
      <w:pPr>
        <w:pStyle w:val="Caption"/>
        <w:outlineLvl w:val="3"/>
      </w:pPr>
      <w:r w:rsidRPr="00AA4280">
        <w:t xml:space="preserve">Figure </w:t>
      </w:r>
      <w:r w:rsidRPr="00965F8E">
        <w:fldChar w:fldCharType="begin"/>
      </w:r>
      <w:r w:rsidRPr="00AA4280">
        <w:instrText xml:space="preserve"> SEQ Figure \* ARABIC </w:instrText>
      </w:r>
      <w:r w:rsidRPr="00965F8E">
        <w:fldChar w:fldCharType="separate"/>
      </w:r>
      <w:r w:rsidR="00B977C4">
        <w:rPr>
          <w:noProof/>
        </w:rPr>
        <w:t>7</w:t>
      </w:r>
      <w:r w:rsidRPr="00965F8E">
        <w:fldChar w:fldCharType="end"/>
      </w:r>
      <w:r w:rsidRPr="00965F8E">
        <w:t xml:space="preserve">. </w:t>
      </w:r>
      <w:r w:rsidRPr="006E3BEA">
        <w:tab/>
        <w:t>Consumers chose a cheaper plan when their current retailer’s lowest offer was bumped to the top of the list of options.</w:t>
      </w:r>
    </w:p>
    <w:p w14:paraId="2758FE7A" w14:textId="77777777" w:rsidR="00061DE3" w:rsidRDefault="00061DE3" w:rsidP="008412AC">
      <w:pPr>
        <w:pStyle w:val="Caption"/>
      </w:pPr>
      <w:bookmarkStart w:id="38" w:name="_Ref184221039"/>
      <w:bookmarkEnd w:id="38"/>
    </w:p>
    <w:p w14:paraId="4AD5B40B" w14:textId="77777777" w:rsidR="009C64E2" w:rsidRDefault="009C64E2">
      <w:pPr>
        <w:spacing w:after="0" w:line="240" w:lineRule="auto"/>
        <w:rPr>
          <w:rFonts w:asciiTheme="majorHAnsi" w:hAnsiTheme="majorHAnsi"/>
          <w:b/>
          <w:sz w:val="72"/>
          <w:szCs w:val="44"/>
        </w:rPr>
      </w:pPr>
      <w:bookmarkStart w:id="39" w:name="_Toc184198595"/>
      <w:bookmarkStart w:id="40" w:name="_Toc112341178"/>
      <w:r>
        <w:br w:type="page"/>
      </w:r>
    </w:p>
    <w:p w14:paraId="23AAB54C" w14:textId="6094E302" w:rsidR="002F5683" w:rsidRDefault="003E77C5" w:rsidP="002F5683">
      <w:pPr>
        <w:pStyle w:val="Heading2"/>
      </w:pPr>
      <w:bookmarkStart w:id="41" w:name="_Toc200588786"/>
      <w:bookmarkStart w:id="42" w:name="_Toc200642890"/>
      <w:r>
        <w:lastRenderedPageBreak/>
        <w:t>Evaluating changes to the website</w:t>
      </w:r>
      <w:bookmarkEnd w:id="39"/>
      <w:bookmarkEnd w:id="41"/>
      <w:bookmarkEnd w:id="42"/>
    </w:p>
    <w:p w14:paraId="56DF74BD" w14:textId="278A73A6" w:rsidR="00F742EB" w:rsidRDefault="00F742EB" w:rsidP="0076709E">
      <w:pPr>
        <w:pStyle w:val="EmphasisPanelHeading"/>
        <w:outlineLvl w:val="2"/>
      </w:pPr>
      <w:r>
        <w:t>Summary of key findings:</w:t>
      </w:r>
    </w:p>
    <w:p w14:paraId="05837A2E" w14:textId="3802ED58" w:rsidR="00F742EB" w:rsidRDefault="00F742EB" w:rsidP="008412AC">
      <w:pPr>
        <w:pStyle w:val="EmphasisPanelBullet"/>
      </w:pPr>
      <w:r>
        <w:t xml:space="preserve">Streamlining </w:t>
      </w:r>
      <w:r w:rsidR="00FA0B32">
        <w:t xml:space="preserve">search function questions resulted in a greater proportion of </w:t>
      </w:r>
      <w:r>
        <w:t xml:space="preserve">EME users responding to all questions and reaching the results page (from 70% to 84%). </w:t>
      </w:r>
    </w:p>
    <w:p w14:paraId="1B78F7FD" w14:textId="0A3418AA" w:rsidR="00F742EB" w:rsidRDefault="00F742EB" w:rsidP="008412AC">
      <w:pPr>
        <w:pStyle w:val="EmphasisPanelBullet"/>
      </w:pPr>
      <w:r>
        <w:t xml:space="preserve">A default prompt increased the likelihood users would share their meter data (NMI) (from 39% to 70%), and get the most accurate results. </w:t>
      </w:r>
    </w:p>
    <w:p w14:paraId="377C3707" w14:textId="19C507BC" w:rsidR="00F742EB" w:rsidRDefault="00F742EB" w:rsidP="008412AC">
      <w:pPr>
        <w:pStyle w:val="EmphasisPanelBullet"/>
      </w:pPr>
      <w:r>
        <w:t xml:space="preserve">By focusing attention on the most critical plan information, users were more likely to persist and view </w:t>
      </w:r>
      <w:r w:rsidR="00FA0B32">
        <w:t>one or more individual plans</w:t>
      </w:r>
      <w:r>
        <w:t xml:space="preserve"> (from 9% to 28%). </w:t>
      </w:r>
    </w:p>
    <w:p w14:paraId="36C6897E" w14:textId="184C2F65" w:rsidR="00FA0B32" w:rsidRDefault="00FA0B32" w:rsidP="008412AC">
      <w:pPr>
        <w:pStyle w:val="EmphasisPanelBullet"/>
      </w:pPr>
      <w:r>
        <w:t>Showing users their current retailer’s cheapest plan to compare to other available plans, consumers were more likely to switch retailers (from 22% to 26%).</w:t>
      </w:r>
    </w:p>
    <w:p w14:paraId="4799152F" w14:textId="60FFF824" w:rsidR="002F5683" w:rsidRDefault="002F5683" w:rsidP="002F5683">
      <w:r>
        <w:t>The updated website went live in October 202</w:t>
      </w:r>
      <w:r w:rsidR="001D65A0">
        <w:t>3</w:t>
      </w:r>
      <w:r>
        <w:t>. It featured a large number of changes recommended by BETA to make it easier to use the website and to decode complex plans to make the best choices for the individual.</w:t>
      </w:r>
    </w:p>
    <w:p w14:paraId="5AA8037D" w14:textId="364535A2" w:rsidR="003C2175" w:rsidRDefault="000C62F6" w:rsidP="002F5683">
      <w:r>
        <w:t xml:space="preserve">To measure the impact of all these changes, we reviewed Google analytics measures that tell us a bit about the effectiveness of different elements. </w:t>
      </w:r>
    </w:p>
    <w:p w14:paraId="1827515C" w14:textId="1AD8050A" w:rsidR="00C405EE" w:rsidRDefault="00965F8E" w:rsidP="00164614">
      <w:pPr>
        <w:pStyle w:val="Heading3"/>
      </w:pPr>
      <w:r>
        <w:t>A b</w:t>
      </w:r>
      <w:r w:rsidR="006428E0" w:rsidRPr="006428E0">
        <w:t>ehav</w:t>
      </w:r>
      <w:r>
        <w:t xml:space="preserve">iourally informed user-journey </w:t>
      </w:r>
      <w:r w:rsidR="006428E0" w:rsidRPr="006428E0">
        <w:t>ke</w:t>
      </w:r>
      <w:r w:rsidR="00DE04B7">
        <w:t>pt</w:t>
      </w:r>
      <w:r w:rsidR="006428E0" w:rsidRPr="006428E0">
        <w:t xml:space="preserve"> consumers engaged</w:t>
      </w:r>
      <w:r w:rsidR="006428E0">
        <w:t xml:space="preserve"> </w:t>
      </w:r>
    </w:p>
    <w:p w14:paraId="2A04E704" w14:textId="34A640EA" w:rsidR="008B6F75" w:rsidRDefault="00C405EE" w:rsidP="00CE37E2">
      <w:r>
        <w:t xml:space="preserve">The AER changed the search funnel to default </w:t>
      </w:r>
      <w:r w:rsidR="001C69F7">
        <w:t>consumers</w:t>
      </w:r>
      <w:r>
        <w:t xml:space="preserve"> to a re</w:t>
      </w:r>
      <w:r w:rsidR="00DB30AF">
        <w:t xml:space="preserve">quest to link their meter data, </w:t>
      </w:r>
      <w:r>
        <w:t xml:space="preserve">the quickest method </w:t>
      </w:r>
      <w:r w:rsidR="002E355B">
        <w:t xml:space="preserve">for data sharing </w:t>
      </w:r>
      <w:r>
        <w:t>delivering the most accurate results</w:t>
      </w:r>
      <w:r w:rsidR="00DB30AF">
        <w:t xml:space="preserve"> (</w:t>
      </w:r>
      <w:r w:rsidR="004165CA">
        <w:fldChar w:fldCharType="begin"/>
      </w:r>
      <w:r w:rsidR="004165CA">
        <w:instrText xml:space="preserve"> REF _Ref184221068 \h </w:instrText>
      </w:r>
      <w:r w:rsidR="004165CA">
        <w:fldChar w:fldCharType="separate"/>
      </w:r>
      <w:r w:rsidR="00CA7D15">
        <w:t xml:space="preserve">Figure </w:t>
      </w:r>
      <w:r w:rsidR="00CA7D15">
        <w:rPr>
          <w:noProof/>
        </w:rPr>
        <w:t>8</w:t>
      </w:r>
      <w:r w:rsidR="004165CA">
        <w:fldChar w:fldCharType="end"/>
      </w:r>
      <w:r w:rsidR="002E355B">
        <w:t>)</w:t>
      </w:r>
      <w:r>
        <w:t xml:space="preserve">, but bypassing all </w:t>
      </w:r>
      <w:r w:rsidR="00DB30AF">
        <w:t>extra</w:t>
      </w:r>
      <w:r w:rsidR="002E355B">
        <w:t xml:space="preserve"> </w:t>
      </w:r>
      <w:r>
        <w:t>data</w:t>
      </w:r>
      <w:r w:rsidR="002E355B">
        <w:t xml:space="preserve"> sharing</w:t>
      </w:r>
      <w:r>
        <w:t xml:space="preserve"> options for </w:t>
      </w:r>
      <w:r w:rsidR="001C69F7">
        <w:t>consumer</w:t>
      </w:r>
      <w:r>
        <w:t xml:space="preserve">s who </w:t>
      </w:r>
      <w:r w:rsidR="00B977C4">
        <w:t xml:space="preserve">were </w:t>
      </w:r>
      <w:r>
        <w:t>moving house</w:t>
      </w:r>
      <w:r w:rsidR="00DB30AF">
        <w:t xml:space="preserve"> (</w:t>
      </w:r>
      <w:r w:rsidR="004165CA">
        <w:fldChar w:fldCharType="begin"/>
      </w:r>
      <w:r w:rsidR="004165CA">
        <w:instrText xml:space="preserve"> REF _Ref184221077 \h </w:instrText>
      </w:r>
      <w:r w:rsidR="004165CA">
        <w:fldChar w:fldCharType="separate"/>
      </w:r>
      <w:r w:rsidR="00CA7D15">
        <w:t xml:space="preserve">Figure </w:t>
      </w:r>
      <w:r w:rsidR="00CA7D15">
        <w:rPr>
          <w:noProof/>
        </w:rPr>
        <w:t>9</w:t>
      </w:r>
      <w:r w:rsidR="004165CA">
        <w:fldChar w:fldCharType="end"/>
      </w:r>
      <w:r w:rsidR="002E355B">
        <w:t>).</w:t>
      </w:r>
      <w:bookmarkStart w:id="43" w:name="_Ref184111056"/>
      <w:bookmarkEnd w:id="43"/>
    </w:p>
    <w:p w14:paraId="72464C81" w14:textId="53D2EC70" w:rsidR="00CE37E2" w:rsidRDefault="002E355B" w:rsidP="00CE37E2">
      <w:pPr>
        <w:keepNext/>
      </w:pPr>
      <w:r w:rsidRPr="002E355B">
        <w:rPr>
          <w:noProof/>
        </w:rPr>
        <w:lastRenderedPageBreak/>
        <w:drawing>
          <wp:inline distT="0" distB="0" distL="0" distR="0" wp14:anchorId="3C542C16" wp14:editId="4BB94A25">
            <wp:extent cx="4253989" cy="3368042"/>
            <wp:effectExtent l="152400" t="152400" r="356235" b="365760"/>
            <wp:docPr id="7" name="Picture 7" descr="Example web page shows Using your NMI will give you the quickest and most personalised results. A textbox to enter users NMI i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62785" cy="3375006"/>
                    </a:xfrm>
                    <a:prstGeom prst="rect">
                      <a:avLst/>
                    </a:prstGeom>
                    <a:ln>
                      <a:noFill/>
                    </a:ln>
                    <a:effectLst>
                      <a:outerShdw blurRad="292100" dist="139700" dir="2700000" algn="tl" rotWithShape="0">
                        <a:srgbClr val="333333">
                          <a:alpha val="65000"/>
                        </a:srgbClr>
                      </a:outerShdw>
                    </a:effectLst>
                  </pic:spPr>
                </pic:pic>
              </a:graphicData>
            </a:graphic>
          </wp:inline>
        </w:drawing>
      </w:r>
    </w:p>
    <w:p w14:paraId="577BF8DE" w14:textId="6D0DED82" w:rsidR="002E355B" w:rsidRDefault="00CE37E2" w:rsidP="00E14F4B">
      <w:pPr>
        <w:pStyle w:val="Caption"/>
        <w:outlineLvl w:val="3"/>
      </w:pPr>
      <w:bookmarkStart w:id="44" w:name="_Ref184221068"/>
      <w:r>
        <w:t xml:space="preserve">Figure </w:t>
      </w:r>
      <w:fldSimple w:instr=" SEQ Figure \* ARABIC ">
        <w:r w:rsidR="00AA4280">
          <w:rPr>
            <w:noProof/>
          </w:rPr>
          <w:t>8</w:t>
        </w:r>
      </w:fldSimple>
      <w:bookmarkEnd w:id="44"/>
      <w:r>
        <w:t>.</w:t>
      </w:r>
      <w:r>
        <w:tab/>
        <w:t xml:space="preserve">The </w:t>
      </w:r>
      <w:r w:rsidRPr="00E048D4">
        <w:t xml:space="preserve">redesigned search function defaults </w:t>
      </w:r>
      <w:r w:rsidR="001C69F7">
        <w:t>consumers</w:t>
      </w:r>
      <w:r w:rsidRPr="00E048D4">
        <w:t xml:space="preserve"> to a prompt to enter their National Metering Identifier – the best method for sharing data.</w:t>
      </w:r>
    </w:p>
    <w:p w14:paraId="434C27D6" w14:textId="77777777" w:rsidR="00CE37E2" w:rsidRDefault="002E355B" w:rsidP="00CE37E2">
      <w:pPr>
        <w:keepNext/>
      </w:pPr>
      <w:r w:rsidRPr="002E355B">
        <w:rPr>
          <w:noProof/>
        </w:rPr>
        <w:drawing>
          <wp:inline distT="0" distB="0" distL="0" distR="0" wp14:anchorId="60659001" wp14:editId="494385B7">
            <wp:extent cx="4779010" cy="1557018"/>
            <wp:effectExtent l="152400" t="152400" r="364490" b="367665"/>
            <wp:docPr id="54" name="Picture 54" descr="Web example shows personalisation question asking Why are you comparing electricity plans? I'm moving to a new home selected. I'm not moving home, but I want a better plan not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79010" cy="1557018"/>
                    </a:xfrm>
                    <a:prstGeom prst="rect">
                      <a:avLst/>
                    </a:prstGeom>
                    <a:ln>
                      <a:noFill/>
                    </a:ln>
                    <a:effectLst>
                      <a:outerShdw blurRad="292100" dist="139700" dir="2700000" algn="tl" rotWithShape="0">
                        <a:srgbClr val="333333">
                          <a:alpha val="65000"/>
                        </a:srgbClr>
                      </a:outerShdw>
                    </a:effectLst>
                  </pic:spPr>
                </pic:pic>
              </a:graphicData>
            </a:graphic>
          </wp:inline>
        </w:drawing>
      </w:r>
    </w:p>
    <w:p w14:paraId="392D7742" w14:textId="41E6DAF7" w:rsidR="002E355B" w:rsidRPr="002E355B" w:rsidRDefault="00CE37E2" w:rsidP="00E14F4B">
      <w:pPr>
        <w:pStyle w:val="Caption"/>
        <w:outlineLvl w:val="3"/>
      </w:pPr>
      <w:bookmarkStart w:id="45" w:name="_Ref184221077"/>
      <w:r>
        <w:t xml:space="preserve">Figure </w:t>
      </w:r>
      <w:fldSimple w:instr=" SEQ Figure \* ARABIC ">
        <w:r w:rsidR="00AA4280">
          <w:rPr>
            <w:noProof/>
          </w:rPr>
          <w:t>9</w:t>
        </w:r>
      </w:fldSimple>
      <w:bookmarkEnd w:id="45"/>
      <w:r w:rsidR="005A3D04">
        <w:t>.</w:t>
      </w:r>
      <w:r w:rsidR="005A3D04">
        <w:tab/>
        <w:t xml:space="preserve">On the new website, </w:t>
      </w:r>
      <w:r w:rsidR="001C69F7">
        <w:t>consumers</w:t>
      </w:r>
      <w:r>
        <w:t xml:space="preserve"> </w:t>
      </w:r>
      <w:r w:rsidRPr="00D8793B">
        <w:t>who are moving house bypass all questions around data sharing as it is not applicable.</w:t>
      </w:r>
    </w:p>
    <w:p w14:paraId="71FCA0AC" w14:textId="34EE0BFA" w:rsidR="000C62F6" w:rsidRDefault="00C405EE" w:rsidP="002F5683">
      <w:r>
        <w:t xml:space="preserve">To measure the impact of these changes, we looked at the percent of </w:t>
      </w:r>
      <w:r w:rsidR="001C69F7">
        <w:t>consumer</w:t>
      </w:r>
      <w:r>
        <w:t>s who completed the form and reached the results page</w:t>
      </w:r>
      <w:r w:rsidR="000C62F6">
        <w:t>. Be</w:t>
      </w:r>
      <w:r>
        <w:t>fore the website was replaced</w:t>
      </w:r>
      <w:r w:rsidR="000C62F6">
        <w:t>,</w:t>
      </w:r>
      <w:r>
        <w:t xml:space="preserve"> 70% of </w:t>
      </w:r>
      <w:r w:rsidR="001C69F7">
        <w:t>consumers</w:t>
      </w:r>
      <w:r>
        <w:t xml:space="preserve"> who started a plan search </w:t>
      </w:r>
      <w:r w:rsidR="000C62F6">
        <w:t>reached the results page.</w:t>
      </w:r>
      <w:r w:rsidR="003C2175">
        <w:t xml:space="preserve"> </w:t>
      </w:r>
      <w:r>
        <w:t>After</w:t>
      </w:r>
      <w:r w:rsidR="003C2175">
        <w:t xml:space="preserve"> the new website was introduced, this increased to 84%, a 14 percentage point jump</w:t>
      </w:r>
      <w:r>
        <w:t xml:space="preserve"> (</w:t>
      </w:r>
      <w:r w:rsidR="004165CA">
        <w:fldChar w:fldCharType="begin"/>
      </w:r>
      <w:r w:rsidR="004165CA">
        <w:instrText xml:space="preserve"> REF _Ref184221091 \h </w:instrText>
      </w:r>
      <w:r w:rsidR="004165CA">
        <w:fldChar w:fldCharType="separate"/>
      </w:r>
      <w:r w:rsidR="00CA7D15">
        <w:t xml:space="preserve">Figure </w:t>
      </w:r>
      <w:r w:rsidR="00CA7D15">
        <w:rPr>
          <w:noProof/>
        </w:rPr>
        <w:t>10</w:t>
      </w:r>
      <w:r w:rsidR="004165CA">
        <w:fldChar w:fldCharType="end"/>
      </w:r>
      <w:r>
        <w:t>).</w:t>
      </w:r>
    </w:p>
    <w:p w14:paraId="50816252" w14:textId="77777777" w:rsidR="00CE37E2" w:rsidRDefault="00CE37E2" w:rsidP="00CE37E2">
      <w:pPr>
        <w:keepNext/>
      </w:pPr>
      <w:r>
        <w:rPr>
          <w:noProof/>
        </w:rPr>
        <w:lastRenderedPageBreak/>
        <w:drawing>
          <wp:inline distT="0" distB="0" distL="0" distR="0" wp14:anchorId="4F994258" wp14:editId="65E1DDA5">
            <wp:extent cx="5400000" cy="2957279"/>
            <wp:effectExtent l="0" t="0" r="0" b="0"/>
            <wp:docPr id="11" name="Picture 11" descr="Column graph showing % reaching the results page. Aug/sept 2023 (61 days) 70%. Blue dotted line marking website relaunch in October. Nov/Dec 2023 (61 days) 84%. Mar/Apr 2024 (61 days)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00" cy="2957279"/>
                    </a:xfrm>
                    <a:prstGeom prst="rect">
                      <a:avLst/>
                    </a:prstGeom>
                    <a:noFill/>
                  </pic:spPr>
                </pic:pic>
              </a:graphicData>
            </a:graphic>
          </wp:inline>
        </w:drawing>
      </w:r>
    </w:p>
    <w:p w14:paraId="6B9D6432" w14:textId="2B4E39B5" w:rsidR="006A0E8D" w:rsidRPr="006A0E8D" w:rsidRDefault="00CE37E2" w:rsidP="00E14F4B">
      <w:pPr>
        <w:pStyle w:val="Caption"/>
        <w:outlineLvl w:val="3"/>
      </w:pPr>
      <w:bookmarkStart w:id="46" w:name="_Ref184221091"/>
      <w:r>
        <w:t xml:space="preserve">Figure </w:t>
      </w:r>
      <w:fldSimple w:instr=" SEQ Figure \* ARABIC ">
        <w:r w:rsidR="00AA4280">
          <w:rPr>
            <w:noProof/>
          </w:rPr>
          <w:t>10</w:t>
        </w:r>
      </w:fldSimple>
      <w:bookmarkEnd w:id="46"/>
      <w:r>
        <w:t>.</w:t>
      </w:r>
      <w:r>
        <w:tab/>
        <w:t xml:space="preserve">After </w:t>
      </w:r>
      <w:r w:rsidRPr="001A4357">
        <w:t>the website was redesigned to improve the choice architecture, EME users who started a search journey were more likely to respond to all questions and reach the results page.</w:t>
      </w:r>
      <w:bookmarkStart w:id="47" w:name="_Ref184111224"/>
      <w:bookmarkEnd w:id="47"/>
    </w:p>
    <w:p w14:paraId="47DCEFAD" w14:textId="73089DF5" w:rsidR="00803E7E" w:rsidRDefault="006B4A44" w:rsidP="00CE37E2">
      <w:pPr>
        <w:pStyle w:val="SourceNotesText"/>
      </w:pPr>
      <w:r>
        <w:t>‘</w:t>
      </w:r>
      <w:r w:rsidR="00B96CE8" w:rsidRPr="00B96CE8">
        <w:t>Website Google Analytics data</w:t>
      </w:r>
      <w:r>
        <w:t>’</w:t>
      </w:r>
      <w:r w:rsidR="005A3D04" w:rsidRPr="008F3942">
        <w:t>, 2024</w:t>
      </w:r>
      <w:r w:rsidR="005A3D04">
        <w:t xml:space="preserve">. </w:t>
      </w:r>
      <w:r w:rsidR="00803E7E">
        <w:t xml:space="preserve">N=1,627,993 (All EME </w:t>
      </w:r>
      <w:r w:rsidR="001C69F7">
        <w:t>consumer</w:t>
      </w:r>
      <w:r w:rsidR="00803E7E">
        <w:t>s who started a search journey by entering their postcode).</w:t>
      </w:r>
    </w:p>
    <w:p w14:paraId="14A4DFAA" w14:textId="08D9D78F" w:rsidR="00D51292" w:rsidRDefault="00480464" w:rsidP="00480464">
      <w:r>
        <w:t xml:space="preserve">In addition, 39% of </w:t>
      </w:r>
      <w:r w:rsidR="001C69F7">
        <w:t>consumer</w:t>
      </w:r>
      <w:r>
        <w:t xml:space="preserve">s on the old website entered their NMI. The new defaults increased the rates of NMI entry to 64%, a 25 percentage point jump, ensuring many more </w:t>
      </w:r>
      <w:r w:rsidR="001C69F7">
        <w:t>consumer</w:t>
      </w:r>
      <w:r>
        <w:t>s g</w:t>
      </w:r>
      <w:r w:rsidR="00B977C4">
        <w:t>o</w:t>
      </w:r>
      <w:r w:rsidR="00DB30AF">
        <w:t>t the most accurate results (</w:t>
      </w:r>
      <w:r w:rsidR="004165CA">
        <w:fldChar w:fldCharType="begin"/>
      </w:r>
      <w:r w:rsidR="004165CA">
        <w:instrText xml:space="preserve"> REF _Ref184221101 \h </w:instrText>
      </w:r>
      <w:r w:rsidR="004165CA">
        <w:fldChar w:fldCharType="separate"/>
      </w:r>
      <w:r w:rsidR="00CA7D15">
        <w:t xml:space="preserve">Figure </w:t>
      </w:r>
      <w:r w:rsidR="00CA7D15">
        <w:rPr>
          <w:noProof/>
        </w:rPr>
        <w:t>11</w:t>
      </w:r>
      <w:r w:rsidR="004165CA">
        <w:fldChar w:fldCharType="end"/>
      </w:r>
      <w:r>
        <w:t>).</w:t>
      </w:r>
    </w:p>
    <w:p w14:paraId="0477225F" w14:textId="77777777" w:rsidR="00834FCB" w:rsidRDefault="00834FCB" w:rsidP="00834FCB">
      <w:pPr>
        <w:keepNext/>
      </w:pPr>
      <w:r>
        <w:rPr>
          <w:noProof/>
        </w:rPr>
        <w:drawing>
          <wp:inline distT="0" distB="0" distL="0" distR="0" wp14:anchorId="2DCF0546" wp14:editId="6A305C8D">
            <wp:extent cx="5400000" cy="2962983"/>
            <wp:effectExtent l="0" t="0" r="0" b="8890"/>
            <wp:docPr id="12" name="Picture 12" descr="Column graph showing % selecting 'share meter data'. Aug/sept 2023 (61 days) 39%. Blue dotted line marking website relaunch in October. Nov/Dec 2023 (61 days) 64%. Mar/Apr 2024 (61 days)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00" cy="2962983"/>
                    </a:xfrm>
                    <a:prstGeom prst="rect">
                      <a:avLst/>
                    </a:prstGeom>
                    <a:noFill/>
                  </pic:spPr>
                </pic:pic>
              </a:graphicData>
            </a:graphic>
          </wp:inline>
        </w:drawing>
      </w:r>
    </w:p>
    <w:p w14:paraId="2118E46F" w14:textId="282F3CE0" w:rsidR="00D51292" w:rsidRDefault="00834FCB" w:rsidP="00E14F4B">
      <w:pPr>
        <w:pStyle w:val="Caption"/>
        <w:outlineLvl w:val="3"/>
      </w:pPr>
      <w:bookmarkStart w:id="48" w:name="_Ref184221101"/>
      <w:r>
        <w:t xml:space="preserve">Figure </w:t>
      </w:r>
      <w:fldSimple w:instr=" SEQ Figure \* ARABIC ">
        <w:r w:rsidR="00AA4280">
          <w:rPr>
            <w:noProof/>
          </w:rPr>
          <w:t>11</w:t>
        </w:r>
      </w:fldSimple>
      <w:bookmarkEnd w:id="48"/>
      <w:r>
        <w:t>.</w:t>
      </w:r>
      <w:r>
        <w:tab/>
        <w:t xml:space="preserve">After </w:t>
      </w:r>
      <w:r w:rsidRPr="00FE68DB">
        <w:t>the website was redesigned to improve the choice architecture, EME users were more likely to choose to share their meter data</w:t>
      </w:r>
      <w:r w:rsidR="00B977C4">
        <w:t xml:space="preserve"> (NMI)</w:t>
      </w:r>
      <w:r w:rsidRPr="00FE68DB">
        <w:t xml:space="preserve"> giving them more accurate </w:t>
      </w:r>
      <w:r w:rsidR="005A3D04">
        <w:t xml:space="preserve">search </w:t>
      </w:r>
      <w:r w:rsidRPr="00FE68DB">
        <w:t>results.</w:t>
      </w:r>
    </w:p>
    <w:p w14:paraId="6BD4A861" w14:textId="373F327F" w:rsidR="00834FCB" w:rsidRPr="00834FCB" w:rsidRDefault="006B4A44" w:rsidP="00834FCB">
      <w:pPr>
        <w:pStyle w:val="SourceNotesText"/>
      </w:pPr>
      <w:r>
        <w:lastRenderedPageBreak/>
        <w:t>‘</w:t>
      </w:r>
      <w:r w:rsidR="00B96CE8" w:rsidRPr="00B96CE8">
        <w:t>Website Google Analytics data</w:t>
      </w:r>
      <w:r>
        <w:t>’</w:t>
      </w:r>
      <w:r w:rsidR="005A3D04" w:rsidRPr="008F3942">
        <w:t>, 2024</w:t>
      </w:r>
      <w:r w:rsidR="005A3D04">
        <w:t xml:space="preserve">. </w:t>
      </w:r>
      <w:r w:rsidR="00834FCB">
        <w:t>N=</w:t>
      </w:r>
      <w:r w:rsidR="00834FCB" w:rsidRPr="00834FCB">
        <w:t>1,627,993</w:t>
      </w:r>
      <w:r w:rsidR="00834FCB">
        <w:t xml:space="preserve"> (All EME </w:t>
      </w:r>
      <w:r w:rsidR="001C69F7">
        <w:t>consumer</w:t>
      </w:r>
      <w:r w:rsidR="00834FCB">
        <w:t>s who started a search journey by entering their postcode).</w:t>
      </w:r>
      <w:bookmarkStart w:id="49" w:name="_Ref184111256"/>
      <w:bookmarkEnd w:id="49"/>
    </w:p>
    <w:p w14:paraId="36B509D6" w14:textId="03EF72F3" w:rsidR="00C405EE" w:rsidRDefault="00C405EE" w:rsidP="00164614">
      <w:pPr>
        <w:pStyle w:val="Heading3"/>
      </w:pPr>
      <w:r>
        <w:t>A focus on critical information help</w:t>
      </w:r>
      <w:r w:rsidR="006441C4">
        <w:t>ed</w:t>
      </w:r>
      <w:r>
        <w:t xml:space="preserve"> </w:t>
      </w:r>
      <w:r w:rsidR="001C69F7">
        <w:t>consumer</w:t>
      </w:r>
      <w:r>
        <w:t>s compare plans</w:t>
      </w:r>
    </w:p>
    <w:p w14:paraId="1E0BC09D" w14:textId="2753D2E3" w:rsidR="00AB3F3A" w:rsidRDefault="00AB3F3A" w:rsidP="002F5683">
      <w:r>
        <w:t xml:space="preserve">The AER changed the </w:t>
      </w:r>
      <w:r w:rsidR="022211DD">
        <w:t>plan summary on</w:t>
      </w:r>
      <w:r w:rsidR="00917C8C">
        <w:t xml:space="preserve"> </w:t>
      </w:r>
      <w:r>
        <w:t xml:space="preserve">results page to show </w:t>
      </w:r>
      <w:r w:rsidR="3734B956">
        <w:t xml:space="preserve">critical </w:t>
      </w:r>
      <w:r>
        <w:t xml:space="preserve">main usage and supply charges, </w:t>
      </w:r>
      <w:r w:rsidR="7A243E9B">
        <w:t>with</w:t>
      </w:r>
      <w:r>
        <w:t xml:space="preserve"> special offers carefully caveated</w:t>
      </w:r>
      <w:r w:rsidR="00DB30AF">
        <w:t xml:space="preserve"> (</w:t>
      </w:r>
      <w:r>
        <w:fldChar w:fldCharType="begin"/>
      </w:r>
      <w:r>
        <w:instrText xml:space="preserve"> REF _Ref184221109 \h </w:instrText>
      </w:r>
      <w:r>
        <w:fldChar w:fldCharType="separate"/>
      </w:r>
      <w:r w:rsidR="00CA7D15">
        <w:t xml:space="preserve">Figure </w:t>
      </w:r>
      <w:r w:rsidR="00CA7D15" w:rsidRPr="3BF36461">
        <w:rPr>
          <w:noProof/>
        </w:rPr>
        <w:t>12</w:t>
      </w:r>
      <w:r>
        <w:fldChar w:fldCharType="end"/>
      </w:r>
      <w:r w:rsidR="00480464">
        <w:t>).</w:t>
      </w:r>
    </w:p>
    <w:p w14:paraId="381FFE3E" w14:textId="77777777" w:rsidR="00834FCB" w:rsidRDefault="00D12460" w:rsidP="00E14F4B">
      <w:r w:rsidRPr="00D12460">
        <w:rPr>
          <w:noProof/>
        </w:rPr>
        <w:drawing>
          <wp:inline distT="0" distB="0" distL="0" distR="0" wp14:anchorId="6047DF07" wp14:editId="016BC3F1">
            <wp:extent cx="5256530" cy="1129030"/>
            <wp:effectExtent l="152400" t="152400" r="363220" b="356870"/>
            <wp:docPr id="56" name="Picture 56" descr="Webpage example shows critical plan information including supply charge, usage charge, solar feed-in tarrif and per year cost to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56530" cy="1129030"/>
                    </a:xfrm>
                    <a:prstGeom prst="rect">
                      <a:avLst/>
                    </a:prstGeom>
                    <a:ln>
                      <a:noFill/>
                    </a:ln>
                    <a:effectLst>
                      <a:outerShdw blurRad="292100" dist="139700" dir="2700000" algn="tl" rotWithShape="0">
                        <a:srgbClr val="333333">
                          <a:alpha val="65000"/>
                        </a:srgbClr>
                      </a:outerShdw>
                    </a:effectLst>
                  </pic:spPr>
                </pic:pic>
              </a:graphicData>
            </a:graphic>
          </wp:inline>
        </w:drawing>
      </w:r>
    </w:p>
    <w:p w14:paraId="10A77DC4" w14:textId="55CE1FC3" w:rsidR="00D12460" w:rsidRPr="00D12460" w:rsidRDefault="00834FCB" w:rsidP="00E14F4B">
      <w:pPr>
        <w:pStyle w:val="Caption"/>
        <w:outlineLvl w:val="3"/>
      </w:pPr>
      <w:bookmarkStart w:id="50" w:name="_Ref184221109"/>
      <w:r>
        <w:t xml:space="preserve">Figure </w:t>
      </w:r>
      <w:fldSimple w:instr=" SEQ Figure \* ARABIC ">
        <w:r w:rsidR="00AA4280">
          <w:rPr>
            <w:noProof/>
          </w:rPr>
          <w:t>12</w:t>
        </w:r>
      </w:fldSimple>
      <w:bookmarkEnd w:id="50"/>
      <w:r>
        <w:t>.</w:t>
      </w:r>
      <w:r>
        <w:tab/>
        <w:t>T</w:t>
      </w:r>
      <w:r w:rsidRPr="007A79ED">
        <w:t>his example shows the critical information appearing on the main results page, instead of only on the detailed results page.</w:t>
      </w:r>
    </w:p>
    <w:p w14:paraId="5EAF4057" w14:textId="654AA094" w:rsidR="000D1AA0" w:rsidRDefault="00AB3F3A" w:rsidP="002F5683">
      <w:r>
        <w:t xml:space="preserve">To measure the impact of these changes, we looked </w:t>
      </w:r>
      <w:r w:rsidR="00893FA8">
        <w:t xml:space="preserve">at the percent of </w:t>
      </w:r>
      <w:r w:rsidR="001C69F7">
        <w:t>consumer</w:t>
      </w:r>
      <w:r w:rsidR="00893FA8">
        <w:t>s who, after viewing the results page, chose to take the next step by viewing the detail on an individual plan. This step is a sign of more serious engagement – similar to trying on a garment after browsing the shelves.</w:t>
      </w:r>
      <w:r>
        <w:t xml:space="preserve"> </w:t>
      </w:r>
      <w:r w:rsidR="00893FA8">
        <w:t xml:space="preserve">Before the website was replaced, 9% of </w:t>
      </w:r>
      <w:r w:rsidR="001C69F7">
        <w:t>consumer</w:t>
      </w:r>
      <w:r w:rsidR="00893FA8">
        <w:t xml:space="preserve">s who viewed the results </w:t>
      </w:r>
      <w:r w:rsidR="00893FA8" w:rsidRPr="00C167AA">
        <w:t xml:space="preserve">page clicked on and viewed an individual plan. After the new website was introduced, this increased to </w:t>
      </w:r>
      <w:r w:rsidR="00C167AA" w:rsidRPr="00C167AA">
        <w:t>26</w:t>
      </w:r>
      <w:r w:rsidR="001712A8" w:rsidRPr="00C167AA">
        <w:t xml:space="preserve">%, </w:t>
      </w:r>
      <w:r w:rsidR="00803E7E" w:rsidRPr="00C167AA">
        <w:t>an</w:t>
      </w:r>
      <w:r w:rsidR="00803E7E">
        <w:t xml:space="preserve"> 1</w:t>
      </w:r>
      <w:r w:rsidR="00DB30AF">
        <w:t>8 percentage point increase (</w:t>
      </w:r>
      <w:r w:rsidR="004165CA">
        <w:fldChar w:fldCharType="begin"/>
      </w:r>
      <w:r w:rsidR="004165CA">
        <w:instrText xml:space="preserve"> REF _Ref184221121 \h </w:instrText>
      </w:r>
      <w:r w:rsidR="004165CA">
        <w:fldChar w:fldCharType="separate"/>
      </w:r>
      <w:r w:rsidR="00CA7D15">
        <w:t xml:space="preserve">Figure </w:t>
      </w:r>
      <w:r w:rsidR="00CA7D15">
        <w:rPr>
          <w:noProof/>
        </w:rPr>
        <w:t>13</w:t>
      </w:r>
      <w:r w:rsidR="004165CA">
        <w:fldChar w:fldCharType="end"/>
      </w:r>
      <w:r w:rsidR="00803E7E">
        <w:t>).</w:t>
      </w:r>
    </w:p>
    <w:p w14:paraId="5A2EC582" w14:textId="357A1EE5" w:rsidR="00092955" w:rsidRDefault="00231518" w:rsidP="00092955">
      <w:pPr>
        <w:keepNext/>
      </w:pPr>
      <w:r>
        <w:rPr>
          <w:noProof/>
        </w:rPr>
        <w:lastRenderedPageBreak/>
        <w:drawing>
          <wp:inline distT="0" distB="0" distL="0" distR="0" wp14:anchorId="4387D9B6" wp14:editId="60B8CD67">
            <wp:extent cx="6010910" cy="3298190"/>
            <wp:effectExtent l="0" t="0" r="8890" b="0"/>
            <wp:docPr id="13" name="Picture 13" descr="Column graph showing % users who viewed an individual plan. Aug/sept 2023 (61 days) 9%. Blue dotted line marking website relaunch in October. Nov/Dec 2023 (61 days) 26%. Mar/Apr 2024 (61 day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10910" cy="3298190"/>
                    </a:xfrm>
                    <a:prstGeom prst="rect">
                      <a:avLst/>
                    </a:prstGeom>
                    <a:noFill/>
                  </pic:spPr>
                </pic:pic>
              </a:graphicData>
            </a:graphic>
          </wp:inline>
        </w:drawing>
      </w:r>
    </w:p>
    <w:p w14:paraId="49859CAE" w14:textId="7AFF3E01" w:rsidR="00092955" w:rsidRDefault="00092955" w:rsidP="00E14F4B">
      <w:pPr>
        <w:pStyle w:val="Caption"/>
        <w:outlineLvl w:val="3"/>
      </w:pPr>
      <w:bookmarkStart w:id="51" w:name="_Ref184221121"/>
      <w:r>
        <w:t xml:space="preserve">Figure </w:t>
      </w:r>
      <w:fldSimple w:instr=" SEQ Figure \* ARABIC ">
        <w:r w:rsidR="00AA4280">
          <w:rPr>
            <w:noProof/>
          </w:rPr>
          <w:t>13</w:t>
        </w:r>
      </w:fldSimple>
      <w:bookmarkEnd w:id="51"/>
      <w:r>
        <w:t>.</w:t>
      </w:r>
      <w:r>
        <w:tab/>
        <w:t>After t</w:t>
      </w:r>
      <w:r w:rsidRPr="00FF28A4">
        <w:t>he results page was redesigned to focus on critical information, users who viewed the results page were more likely to persist and view one or more individual plans.</w:t>
      </w:r>
    </w:p>
    <w:p w14:paraId="5938F339" w14:textId="2CFAB050" w:rsidR="00803E7E" w:rsidRPr="00803E7E" w:rsidRDefault="006B4A44" w:rsidP="00834FCB">
      <w:pPr>
        <w:pStyle w:val="SourceNotesText"/>
      </w:pPr>
      <w:r>
        <w:t>‘</w:t>
      </w:r>
      <w:r w:rsidR="00B96CE8" w:rsidRPr="00B96CE8">
        <w:t>Website Google Analytics data</w:t>
      </w:r>
      <w:r>
        <w:t>’</w:t>
      </w:r>
      <w:r w:rsidR="005A3D04" w:rsidRPr="008F3942">
        <w:t>, 2024</w:t>
      </w:r>
      <w:r w:rsidR="005A3D04">
        <w:t xml:space="preserve">. </w:t>
      </w:r>
      <w:r w:rsidR="00803E7E">
        <w:t xml:space="preserve">N=384,829 (All EME </w:t>
      </w:r>
      <w:r w:rsidR="001C69F7">
        <w:t>consumer</w:t>
      </w:r>
      <w:r w:rsidR="00803E7E">
        <w:t>s who viewed the results page).</w:t>
      </w:r>
    </w:p>
    <w:p w14:paraId="7F2E1129" w14:textId="56FFA620" w:rsidR="00D27E64" w:rsidRDefault="006428E0" w:rsidP="00164614">
      <w:pPr>
        <w:pStyle w:val="Heading3"/>
      </w:pPr>
      <w:r w:rsidRPr="006428E0">
        <w:t>Consumers were more likely to switch after seeing</w:t>
      </w:r>
      <w:r w:rsidR="006441C4">
        <w:t xml:space="preserve"> how their own retailer compared</w:t>
      </w:r>
      <w:r w:rsidRPr="006428E0">
        <w:t xml:space="preserve"> </w:t>
      </w:r>
      <w:r>
        <w:t xml:space="preserve"> </w:t>
      </w:r>
    </w:p>
    <w:p w14:paraId="61C8714C" w14:textId="2894F677" w:rsidR="00D27E64" w:rsidRDefault="00D27E64">
      <w:r>
        <w:t xml:space="preserve">The AER changed the results page to show the current retailer’s best offer at the top, with a line stating how it compared to the cheapest offer </w:t>
      </w:r>
      <w:r w:rsidR="00DB30AF">
        <w:t>overall (</w:t>
      </w:r>
      <w:r w:rsidR="004165CA">
        <w:fldChar w:fldCharType="begin"/>
      </w:r>
      <w:r w:rsidR="004165CA">
        <w:instrText xml:space="preserve"> REF _Ref184221214 \h </w:instrText>
      </w:r>
      <w:r w:rsidR="004165CA">
        <w:fldChar w:fldCharType="separate"/>
      </w:r>
      <w:r w:rsidR="00CA7D15">
        <w:t xml:space="preserve">Figure </w:t>
      </w:r>
      <w:r w:rsidR="00CA7D15">
        <w:rPr>
          <w:noProof/>
        </w:rPr>
        <w:t>14</w:t>
      </w:r>
      <w:r w:rsidR="004165CA">
        <w:fldChar w:fldCharType="end"/>
      </w:r>
      <w:r w:rsidR="00480464">
        <w:t>)</w:t>
      </w:r>
      <w:r>
        <w:t xml:space="preserve">. Our testing predicted that this would make </w:t>
      </w:r>
      <w:r w:rsidR="001C69F7">
        <w:t>consumers</w:t>
      </w:r>
      <w:r>
        <w:t xml:space="preserve"> a little more likely to switch to another retailer than if it was not shown.</w:t>
      </w:r>
    </w:p>
    <w:p w14:paraId="7315B3C0" w14:textId="5E501BEF" w:rsidR="00D27E64" w:rsidRDefault="00D27E64">
      <w:r>
        <w:t xml:space="preserve">The AER only receives reports of actual rates of switching to another retailer if </w:t>
      </w:r>
      <w:r w:rsidR="001C69F7">
        <w:t>consumer</w:t>
      </w:r>
      <w:r>
        <w:t xml:space="preserve">s have entered their meter number. In the following month, </w:t>
      </w:r>
      <w:r w:rsidR="00EB741A">
        <w:t>AEMO</w:t>
      </w:r>
      <w:r>
        <w:t xml:space="preserve"> provides the AER with a report showing the overall rate of switching of those </w:t>
      </w:r>
      <w:r w:rsidR="001C69F7">
        <w:t>consumer</w:t>
      </w:r>
      <w:r>
        <w:t xml:space="preserve">s who shared data. </w:t>
      </w:r>
    </w:p>
    <w:p w14:paraId="77C75C99" w14:textId="77777777" w:rsidR="00E14F4B" w:rsidRDefault="00A66E75" w:rsidP="00E14F4B">
      <w:r w:rsidRPr="00E24535">
        <w:rPr>
          <w:noProof/>
        </w:rPr>
        <w:lastRenderedPageBreak/>
        <w:drawing>
          <wp:inline distT="0" distB="0" distL="0" distR="0" wp14:anchorId="69F942EF" wp14:editId="0D01A004">
            <wp:extent cx="5255971" cy="5259070"/>
            <wp:effectExtent l="152400" t="152400" r="363855" b="360680"/>
            <wp:docPr id="5" name="Picture 5" descr="Example webpage shows search results for user who is with energy Company A. A message at the top says This plan by your current energy company is $620 more than the lowest priced plan we found. Company A's best offer ($2,500 per year) is at the top of the page highlighted in light blue box. &#10;Under the box is the lowest price plan by a different energy company ($1,880 per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b="22423"/>
                    <a:stretch/>
                  </pic:blipFill>
                  <pic:spPr bwMode="auto">
                    <a:xfrm>
                      <a:off x="0" y="0"/>
                      <a:ext cx="5256530" cy="525962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AFEB22E" w14:textId="424C7D1C" w:rsidR="00A66E75" w:rsidRDefault="00E14F4B" w:rsidP="00E14F4B">
      <w:pPr>
        <w:pStyle w:val="Caption"/>
        <w:outlineLvl w:val="3"/>
      </w:pPr>
      <w:bookmarkStart w:id="52" w:name="_Ref184221214"/>
      <w:r>
        <w:t xml:space="preserve">Figure </w:t>
      </w:r>
      <w:fldSimple w:instr=" SEQ Figure \* ARABIC ">
        <w:r w:rsidR="00AA4280">
          <w:rPr>
            <w:noProof/>
          </w:rPr>
          <w:t>14</w:t>
        </w:r>
      </w:fldSimple>
      <w:bookmarkEnd w:id="52"/>
      <w:r>
        <w:t>.</w:t>
      </w:r>
      <w:r>
        <w:tab/>
        <w:t xml:space="preserve">The </w:t>
      </w:r>
      <w:r w:rsidRPr="0083117F">
        <w:t>refreshed website placed the current energy company’s best offer at the top – demonstrating how it compares to other offers sorted by price.</w:t>
      </w:r>
    </w:p>
    <w:p w14:paraId="634BEFCF" w14:textId="0B687A7C" w:rsidR="00052C16" w:rsidRDefault="00527793">
      <w:r>
        <w:t>To measure the impact of showing the current retailer’s best offer at the top, this sub</w:t>
      </w:r>
      <w:r w:rsidR="00052C16">
        <w:t>-</w:t>
      </w:r>
      <w:r>
        <w:t xml:space="preserve">sample provides an excellent data source because all </w:t>
      </w:r>
      <w:r w:rsidR="001C69F7">
        <w:t>consumer</w:t>
      </w:r>
      <w:r>
        <w:t>s who share meter data have a known current retailer that can be displayed at t</w:t>
      </w:r>
      <w:r w:rsidR="00052C16">
        <w:t>he top. Importantly, t</w:t>
      </w:r>
      <w:r>
        <w:t xml:space="preserve">his data only counts switching to a different provider, not switching to a different plan with the same provider. </w:t>
      </w:r>
    </w:p>
    <w:p w14:paraId="1A277CF3" w14:textId="30DDBB76" w:rsidR="002F6BD2" w:rsidRDefault="00527793">
      <w:r>
        <w:t xml:space="preserve">Before the website was replaced, 22% of </w:t>
      </w:r>
      <w:r w:rsidR="001C69F7">
        <w:t>consumer</w:t>
      </w:r>
      <w:r>
        <w:t xml:space="preserve">s who shared their meter data switched to a different retailer. After the new website </w:t>
      </w:r>
      <w:r w:rsidR="00052C16">
        <w:t xml:space="preserve">was introduced </w:t>
      </w:r>
      <w:r>
        <w:t>t</w:t>
      </w:r>
      <w:r w:rsidR="00052C16">
        <w:t xml:space="preserve">his </w:t>
      </w:r>
      <w:r>
        <w:t xml:space="preserve">increased to 25% of </w:t>
      </w:r>
      <w:r w:rsidR="001C69F7">
        <w:t>consumer</w:t>
      </w:r>
      <w:r>
        <w:t>s, an increase of 3 percentage points</w:t>
      </w:r>
      <w:r w:rsidR="00052C16">
        <w:t xml:space="preserve"> switching retailers</w:t>
      </w:r>
      <w:r>
        <w:t>.</w:t>
      </w:r>
      <w:r w:rsidR="004B3729">
        <w:t xml:space="preserve"> We had been concerned about a backfire here (fewer people switching retailers), but actually saw a small increase – as predicted by our survey experiment.</w:t>
      </w:r>
      <w:r>
        <w:t xml:space="preserve"> </w:t>
      </w:r>
      <w:r w:rsidR="00052C16">
        <w:t xml:space="preserve">More than 80,000 </w:t>
      </w:r>
      <w:r w:rsidR="001C69F7">
        <w:t>consumers</w:t>
      </w:r>
      <w:r w:rsidR="00052C16">
        <w:t xml:space="preserve"> per month (on average) started a plan search on Energy Made Easy in this period, so the 3 percentage point increase </w:t>
      </w:r>
      <w:r w:rsidR="00052C16">
        <w:lastRenderedPageBreak/>
        <w:t>represented an additional 4,520 households switching energy providers in the Nov/D</w:t>
      </w:r>
      <w:r w:rsidR="00803E7E">
        <w:t xml:space="preserve">ec </w:t>
      </w:r>
      <w:r w:rsidR="00A15BD9">
        <w:t xml:space="preserve">2023 </w:t>
      </w:r>
      <w:r w:rsidR="00DB30AF">
        <w:t>period compared to Aug/Sept</w:t>
      </w:r>
      <w:r w:rsidR="00A15BD9">
        <w:t xml:space="preserve"> 2023</w:t>
      </w:r>
      <w:r w:rsidR="00DB30AF">
        <w:t xml:space="preserve"> (</w:t>
      </w:r>
      <w:r w:rsidR="004165CA">
        <w:fldChar w:fldCharType="begin"/>
      </w:r>
      <w:r w:rsidR="004165CA">
        <w:instrText xml:space="preserve"> REF _Ref184221224 \h </w:instrText>
      </w:r>
      <w:r w:rsidR="004165CA">
        <w:fldChar w:fldCharType="separate"/>
      </w:r>
      <w:r w:rsidR="00CA7D15">
        <w:t xml:space="preserve">Figure </w:t>
      </w:r>
      <w:r w:rsidR="00CA7D15">
        <w:rPr>
          <w:noProof/>
        </w:rPr>
        <w:t>15</w:t>
      </w:r>
      <w:r w:rsidR="004165CA">
        <w:fldChar w:fldCharType="end"/>
      </w:r>
      <w:r w:rsidR="00803E7E">
        <w:t>).</w:t>
      </w:r>
    </w:p>
    <w:p w14:paraId="57D23E17" w14:textId="7186C6F0" w:rsidR="00092955" w:rsidRDefault="00231518" w:rsidP="00092955">
      <w:pPr>
        <w:keepNext/>
      </w:pPr>
      <w:r>
        <w:rPr>
          <w:noProof/>
        </w:rPr>
        <w:drawing>
          <wp:inline distT="0" distB="0" distL="0" distR="0" wp14:anchorId="3F7EB7D0" wp14:editId="5DE6CEEC">
            <wp:extent cx="6010910" cy="3291840"/>
            <wp:effectExtent l="0" t="0" r="8890" b="3810"/>
            <wp:docPr id="18" name="Picture 18" descr="Column graph showing % users switched to another retailer. Aug/sept 2023 (61 days) 22%. Blue dotted line marking website relaunch in October. Nov/Dec 2023 (61 days) 25%. Mar/Apr 2024 (61 day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10910" cy="3291840"/>
                    </a:xfrm>
                    <a:prstGeom prst="rect">
                      <a:avLst/>
                    </a:prstGeom>
                    <a:noFill/>
                  </pic:spPr>
                </pic:pic>
              </a:graphicData>
            </a:graphic>
          </wp:inline>
        </w:drawing>
      </w:r>
    </w:p>
    <w:p w14:paraId="085D0228" w14:textId="133190F5" w:rsidR="00092955" w:rsidRDefault="00092955" w:rsidP="00E14F4B">
      <w:pPr>
        <w:pStyle w:val="Caption"/>
        <w:outlineLvl w:val="3"/>
      </w:pPr>
      <w:bookmarkStart w:id="53" w:name="_Ref184221224"/>
      <w:r>
        <w:t xml:space="preserve">Figure </w:t>
      </w:r>
      <w:fldSimple w:instr=" SEQ Figure \* ARABIC ">
        <w:r w:rsidR="00AA4280">
          <w:rPr>
            <w:noProof/>
          </w:rPr>
          <w:t>15</w:t>
        </w:r>
      </w:fldSimple>
      <w:bookmarkEnd w:id="53"/>
      <w:r>
        <w:t>.</w:t>
      </w:r>
      <w:r>
        <w:tab/>
        <w:t xml:space="preserve">After </w:t>
      </w:r>
      <w:r w:rsidRPr="00187CB2">
        <w:t xml:space="preserve">the results page was redesigned to show users how their current retailer’s cheapest plan compares to other available plans, </w:t>
      </w:r>
      <w:r w:rsidR="001C69F7">
        <w:t>consumer</w:t>
      </w:r>
      <w:r w:rsidRPr="00187CB2">
        <w:t>s were more likely to switch to a different retailer.</w:t>
      </w:r>
    </w:p>
    <w:p w14:paraId="352D16CE" w14:textId="6C3FED67" w:rsidR="00C761DC" w:rsidRDefault="00EC6D2C" w:rsidP="00092955">
      <w:pPr>
        <w:pStyle w:val="SourceNotesText"/>
      </w:pPr>
      <w:r>
        <w:t xml:space="preserve">AEMO report to AER, </w:t>
      </w:r>
      <w:r w:rsidR="005A3D04">
        <w:t xml:space="preserve">2024. </w:t>
      </w:r>
      <w:r w:rsidR="00803E7E">
        <w:t>N</w:t>
      </w:r>
      <w:r w:rsidR="00163433">
        <w:t xml:space="preserve"> </w:t>
      </w:r>
      <w:r w:rsidR="00803E7E">
        <w:t>= 274,278 (</w:t>
      </w:r>
      <w:r w:rsidR="001C69F7">
        <w:t>Consumer</w:t>
      </w:r>
      <w:r w:rsidR="00803E7E">
        <w:t xml:space="preserve">s who shared their meter data. Switching information is not available for other </w:t>
      </w:r>
      <w:r w:rsidR="001C69F7">
        <w:t>consumer</w:t>
      </w:r>
      <w:r w:rsidR="00803E7E">
        <w:t>s).</w:t>
      </w:r>
    </w:p>
    <w:p w14:paraId="60207824" w14:textId="464761FA" w:rsidR="006D2069" w:rsidRDefault="006D2069" w:rsidP="006D2069">
      <w:r>
        <w:t xml:space="preserve">Implementing </w:t>
      </w:r>
      <w:r w:rsidR="003E5791">
        <w:t xml:space="preserve">the </w:t>
      </w:r>
      <w:r>
        <w:t xml:space="preserve">improvements described above does not </w:t>
      </w:r>
      <w:r w:rsidR="003E5791">
        <w:t>mean</w:t>
      </w:r>
      <w:r>
        <w:t xml:space="preserve"> the website is complete and </w:t>
      </w:r>
      <w:r w:rsidR="00F97EFA">
        <w:t>perfectly</w:t>
      </w:r>
      <w:r>
        <w:t xml:space="preserve"> optimised. Technological advancements and further </w:t>
      </w:r>
      <w:r w:rsidR="00A6431C">
        <w:t>user-testing</w:t>
      </w:r>
      <w:r>
        <w:t xml:space="preserve"> </w:t>
      </w:r>
      <w:r w:rsidR="00F97EFA">
        <w:t xml:space="preserve">can </w:t>
      </w:r>
      <w:r>
        <w:t>continue to identify both small tweaks and major opportunities to improve the user experience and ultimately to save Australian consumers money.</w:t>
      </w:r>
    </w:p>
    <w:p w14:paraId="2EDDFF65" w14:textId="6AE8D8F8" w:rsidR="00F97EFA" w:rsidRDefault="006D2069" w:rsidP="006D2069">
      <w:r>
        <w:t>As an example of this</w:t>
      </w:r>
      <w:r w:rsidR="00F97EFA">
        <w:t xml:space="preserve"> iterative process</w:t>
      </w:r>
      <w:r>
        <w:t xml:space="preserve">, the EME Team </w:t>
      </w:r>
      <w:r w:rsidR="00FF422B">
        <w:t xml:space="preserve">within the AER </w:t>
      </w:r>
      <w:r>
        <w:t>conducted a User Experience Review during 2024</w:t>
      </w:r>
      <w:r w:rsidR="00F97EFA">
        <w:t xml:space="preserve">. As in previous testing, </w:t>
      </w:r>
      <w:r w:rsidR="00FF422B">
        <w:t>the review</w:t>
      </w:r>
      <w:r w:rsidR="00F97EFA">
        <w:t xml:space="preserve"> found that consumers expected to see their current plan information within the results list. It also found that</w:t>
      </w:r>
      <w:r w:rsidR="00A15BD9">
        <w:t xml:space="preserve"> consumers were perceiving the </w:t>
      </w:r>
      <w:r w:rsidR="00A15BD9" w:rsidRPr="00A15BD9">
        <w:rPr>
          <w:i/>
        </w:rPr>
        <w:t>pinned</w:t>
      </w:r>
      <w:r w:rsidR="00F97EFA">
        <w:t xml:space="preserve"> best offer from the current retailer to be </w:t>
      </w:r>
      <w:r w:rsidR="00F97EFA" w:rsidRPr="00FF422B">
        <w:rPr>
          <w:i/>
        </w:rPr>
        <w:t>their</w:t>
      </w:r>
      <w:r w:rsidR="00F97EFA">
        <w:t xml:space="preserve"> current plan. </w:t>
      </w:r>
      <w:r w:rsidR="001C69F7">
        <w:t>Consumers</w:t>
      </w:r>
      <w:r w:rsidR="00F97EFA">
        <w:t xml:space="preserve"> were skimming past the words </w:t>
      </w:r>
      <w:r w:rsidR="00F97EFA" w:rsidRPr="00A15BD9">
        <w:rPr>
          <w:i/>
        </w:rPr>
        <w:t xml:space="preserve">‘This may not </w:t>
      </w:r>
      <w:r w:rsidR="00A15BD9" w:rsidRPr="00A15BD9">
        <w:rPr>
          <w:i/>
        </w:rPr>
        <w:t>be the plan you’re on now’</w:t>
      </w:r>
      <w:r w:rsidR="00A15BD9">
        <w:t xml:space="preserve"> (</w:t>
      </w:r>
      <w:r w:rsidR="00F97EFA">
        <w:fldChar w:fldCharType="begin"/>
      </w:r>
      <w:r w:rsidR="00F97EFA">
        <w:instrText xml:space="preserve"> REF _Ref184221214 \h </w:instrText>
      </w:r>
      <w:r w:rsidR="00F97EFA">
        <w:fldChar w:fldCharType="separate"/>
      </w:r>
      <w:r w:rsidR="007A1DE4">
        <w:t xml:space="preserve">Figure </w:t>
      </w:r>
      <w:r w:rsidR="007A1DE4">
        <w:rPr>
          <w:noProof/>
        </w:rPr>
        <w:t>14</w:t>
      </w:r>
      <w:r w:rsidR="00F97EFA">
        <w:fldChar w:fldCharType="end"/>
      </w:r>
      <w:r w:rsidR="00FF422B">
        <w:t xml:space="preserve">). </w:t>
      </w:r>
      <w:r w:rsidR="001C69F7">
        <w:t>Consumers</w:t>
      </w:r>
      <w:r w:rsidR="00FF422B">
        <w:t xml:space="preserve"> who assume</w:t>
      </w:r>
      <w:r w:rsidR="00F97EFA">
        <w:t xml:space="preserve"> that</w:t>
      </w:r>
      <w:r w:rsidR="00FF422B">
        <w:t xml:space="preserve"> the plan on EME is</w:t>
      </w:r>
      <w:r w:rsidR="00F97EFA">
        <w:t xml:space="preserve"> </w:t>
      </w:r>
      <w:r w:rsidR="00FF422B">
        <w:t>therefore incorrect,</w:t>
      </w:r>
      <w:r w:rsidR="00F97EFA">
        <w:t xml:space="preserve"> </w:t>
      </w:r>
      <w:r w:rsidR="006E3BEA">
        <w:t xml:space="preserve">could </w:t>
      </w:r>
      <w:r w:rsidR="00F97EFA">
        <w:t xml:space="preserve">potentially </w:t>
      </w:r>
      <w:r w:rsidR="00FF422B">
        <w:t xml:space="preserve">lose </w:t>
      </w:r>
      <w:r w:rsidR="00F97EFA">
        <w:t xml:space="preserve">trust in EME. </w:t>
      </w:r>
    </w:p>
    <w:p w14:paraId="39C4DBAF" w14:textId="6D7DB300" w:rsidR="006D2069" w:rsidRDefault="00FF422B" w:rsidP="006D2069">
      <w:r>
        <w:t xml:space="preserve">To address this, the EME team </w:t>
      </w:r>
      <w:r w:rsidR="006D2069">
        <w:t>implemented a change to how this feature works on EME</w:t>
      </w:r>
      <w:r w:rsidR="00A15BD9">
        <w:t xml:space="preserve"> after the data </w:t>
      </w:r>
      <w:r>
        <w:t>were collected</w:t>
      </w:r>
      <w:r w:rsidR="006D2069">
        <w:t xml:space="preserve">. </w:t>
      </w:r>
      <w:r>
        <w:t xml:space="preserve">The wording stating that EME does not show their current plan is </w:t>
      </w:r>
      <w:r w:rsidR="00C761DC">
        <w:t xml:space="preserve">now </w:t>
      </w:r>
      <w:r>
        <w:t>in larger bold font</w:t>
      </w:r>
      <w:r w:rsidR="00122C10">
        <w:t xml:space="preserve"> and links to guidance on how to use a bill to compare to the current plan. In addition, the highlighted plan from the current retailer is no longer pinned to the top but is sorted by price</w:t>
      </w:r>
      <w:r>
        <w:t>.</w:t>
      </w:r>
    </w:p>
    <w:p w14:paraId="0618ED19" w14:textId="6269D1ED" w:rsidR="006D2069" w:rsidRDefault="006D2069" w:rsidP="006D2069">
      <w:r>
        <w:lastRenderedPageBreak/>
        <w:t xml:space="preserve">To continue to align with the core finding of this report, the </w:t>
      </w:r>
      <w:r w:rsidR="0130B730">
        <w:t>AER</w:t>
      </w:r>
      <w:r>
        <w:t xml:space="preserve"> will explore pinning the information about the best offer from the current retailer, without displaying the full plan – to strike a balance between the issue of consumers expecting to see their current plan, while giving them critical information about the value of their current retailer. It is hoped at a later stage, EME will have new capability to show consumers their current plan.</w:t>
      </w:r>
    </w:p>
    <w:p w14:paraId="6267657F" w14:textId="69B222E5" w:rsidR="001D65A0" w:rsidRPr="00803E7E" w:rsidRDefault="006E3BEA" w:rsidP="001D65A0">
      <w:pPr>
        <w:pStyle w:val="Heading3"/>
      </w:pPr>
      <w:r>
        <w:t>Evaluation showed strong positive impact on consumer journey</w:t>
      </w:r>
    </w:p>
    <w:p w14:paraId="4048AA09" w14:textId="2AFB0B58" w:rsidR="000D1AA0" w:rsidRPr="00067EB1" w:rsidRDefault="67A6E600" w:rsidP="00067EB1">
      <w:r>
        <w:t xml:space="preserve">When many changes are rolled out simultaneously in a website redesign, it becomes difficult to distinguish the </w:t>
      </w:r>
      <w:r w:rsidR="40E119F9">
        <w:t xml:space="preserve">effects of individual changes. The suite of improvements to the usage input and search function, </w:t>
      </w:r>
      <w:r w:rsidR="212F6449">
        <w:t>making critica</w:t>
      </w:r>
      <w:r w:rsidR="009C62AA">
        <w:t>l</w:t>
      </w:r>
      <w:r w:rsidR="212F6449">
        <w:t xml:space="preserve"> information more salient, enabling comparison to current retailer</w:t>
      </w:r>
      <w:r w:rsidR="41A67F53">
        <w:t>, as well as a range of other improvements to the layout, graphic design and functionality are collectively responsible for these higher rates of persistence, engagement and switching.</w:t>
      </w:r>
      <w:r w:rsidR="255C98A7">
        <w:t xml:space="preserve"> These positive effects are substantial and align closely with the effects predicted by the experimental research. The redesigned Energy Made Easy website is easier to use than </w:t>
      </w:r>
      <w:r w:rsidR="08F0C17B">
        <w:t>before and</w:t>
      </w:r>
      <w:r w:rsidR="255C98A7">
        <w:t xml:space="preserve"> is empowering more consumers to switch energy plans.</w:t>
      </w:r>
      <w:r w:rsidR="002F6BD2">
        <w:br w:type="page"/>
      </w:r>
    </w:p>
    <w:p w14:paraId="39EAEA42" w14:textId="77839229" w:rsidR="00522AF9" w:rsidRPr="00067EB1" w:rsidRDefault="005C4CE9" w:rsidP="00067EB1">
      <w:pPr>
        <w:pStyle w:val="Heading2"/>
        <w:ind w:right="29"/>
      </w:pPr>
      <w:bookmarkStart w:id="54" w:name="_Toc184198596"/>
      <w:bookmarkStart w:id="55" w:name="_Toc200588787"/>
      <w:bookmarkStart w:id="56" w:name="_Toc200642891"/>
      <w:r>
        <w:lastRenderedPageBreak/>
        <w:t>References</w:t>
      </w:r>
      <w:bookmarkEnd w:id="40"/>
      <w:bookmarkEnd w:id="54"/>
      <w:bookmarkEnd w:id="55"/>
      <w:bookmarkEnd w:id="56"/>
    </w:p>
    <w:p w14:paraId="72CFD523" w14:textId="636F24FD" w:rsidR="005C4CE9" w:rsidRDefault="005C4CE9" w:rsidP="00C669F7">
      <w:pPr>
        <w:pStyle w:val="Heading3"/>
      </w:pPr>
      <w:r>
        <w:t>Citations</w:t>
      </w:r>
    </w:p>
    <w:p w14:paraId="5A885367" w14:textId="48100C24" w:rsidR="00B55D64" w:rsidRPr="002C7EA0" w:rsidRDefault="00B55D64" w:rsidP="00C669F7">
      <w:pPr>
        <w:ind w:left="284" w:hanging="284"/>
        <w:rPr>
          <w:color w:val="2158A9" w:themeColor="accent2"/>
        </w:rPr>
      </w:pPr>
      <w:r>
        <w:t xml:space="preserve">ACCC, 2021. </w:t>
      </w:r>
      <w:r>
        <w:rPr>
          <w:i/>
        </w:rPr>
        <w:t xml:space="preserve">Inquiry into the National Electricity Market: May 2021 Report. </w:t>
      </w:r>
      <w:hyperlink r:id="rId41" w:history="1">
        <w:r w:rsidRPr="002C7EA0">
          <w:rPr>
            <w:rStyle w:val="Hyperlink"/>
            <w:color w:val="2158A9" w:themeColor="accent2"/>
          </w:rPr>
          <w:t>https://www.accc.gov.au/publications/serial-publications/inquiry-into-the-national-electricity-market-2018-2025/inquiry-into-the-national-electricity-market-may-2021-report</w:t>
        </w:r>
      </w:hyperlink>
      <w:r w:rsidRPr="002C7EA0">
        <w:rPr>
          <w:color w:val="2158A9" w:themeColor="accent2"/>
        </w:rPr>
        <w:t xml:space="preserve"> </w:t>
      </w:r>
    </w:p>
    <w:p w14:paraId="5067D6CA" w14:textId="2B5D8D1D" w:rsidR="006C56DA" w:rsidRDefault="008C209F" w:rsidP="00C669F7">
      <w:pPr>
        <w:ind w:left="284" w:hanging="284"/>
      </w:pPr>
      <w:r w:rsidRPr="005E366D">
        <w:t>Behavioural Insig</w:t>
      </w:r>
      <w:r w:rsidR="005E366D" w:rsidRPr="005E366D">
        <w:t xml:space="preserve">hts Team, </w:t>
      </w:r>
      <w:r w:rsidRPr="005E366D">
        <w:t>2022</w:t>
      </w:r>
      <w:r w:rsidR="005E366D" w:rsidRPr="005E366D">
        <w:t xml:space="preserve">. </w:t>
      </w:r>
      <w:r w:rsidR="005E366D" w:rsidRPr="005E366D">
        <w:rPr>
          <w:i/>
        </w:rPr>
        <w:t xml:space="preserve">Testing the better offer notice on energy bills: Final report from the Behavioural Insights Team, </w:t>
      </w:r>
      <w:hyperlink r:id="rId42" w:history="1">
        <w:r w:rsidR="005E366D" w:rsidRPr="002C7EA0">
          <w:rPr>
            <w:rStyle w:val="Hyperlink"/>
            <w:color w:val="2158A9" w:themeColor="accent2"/>
          </w:rPr>
          <w:t>BIT - Testing the better offer notice on energy bills - Final report.</w:t>
        </w:r>
        <w:r w:rsidR="000A32F3" w:rsidRPr="002C7EA0">
          <w:rPr>
            <w:rStyle w:val="Hyperlink"/>
            <w:color w:val="2158A9" w:themeColor="accent2"/>
          </w:rPr>
          <w:t>PDF</w:t>
        </w:r>
        <w:r w:rsidR="005E366D" w:rsidRPr="002C7EA0">
          <w:rPr>
            <w:rStyle w:val="Hyperlink"/>
            <w:color w:val="2158A9" w:themeColor="accent2"/>
          </w:rPr>
          <w:t xml:space="preserve"> (aer.gov.au)</w:t>
        </w:r>
      </w:hyperlink>
    </w:p>
    <w:p w14:paraId="2940B063" w14:textId="52E87195" w:rsidR="00E74FC7" w:rsidRDefault="00E74FC7" w:rsidP="00C669F7">
      <w:pPr>
        <w:ind w:left="284" w:hanging="284"/>
      </w:pPr>
      <w:r>
        <w:t xml:space="preserve">BETA, Commonwealth of Australia, Department of the Prime Minister and Cabinet, 2018. </w:t>
      </w:r>
      <w:r w:rsidRPr="00E74FC7">
        <w:rPr>
          <w:i/>
        </w:rPr>
        <w:t>Electricity information to fit the bill: Redesigning electricity bills to support consumer engagement.</w:t>
      </w:r>
      <w:r w:rsidRPr="002C7EA0">
        <w:rPr>
          <w:i/>
          <w:color w:val="2158A9" w:themeColor="accent2"/>
        </w:rPr>
        <w:t xml:space="preserve"> </w:t>
      </w:r>
      <w:hyperlink r:id="rId43" w:history="1">
        <w:r w:rsidRPr="002C7EA0">
          <w:rPr>
            <w:rStyle w:val="Hyperlink"/>
            <w:color w:val="2158A9" w:themeColor="accent2"/>
          </w:rPr>
          <w:t>BETA: Fit the Bill Report (pmc.gov.au)</w:t>
        </w:r>
      </w:hyperlink>
    </w:p>
    <w:p w14:paraId="4882ADB1" w14:textId="7443B814" w:rsidR="005E366D" w:rsidRPr="005E366D" w:rsidRDefault="005E366D" w:rsidP="00C669F7">
      <w:pPr>
        <w:spacing w:line="240" w:lineRule="auto"/>
        <w:ind w:left="284" w:right="28" w:hanging="284"/>
        <w:rPr>
          <w:rFonts w:ascii="Helvetica" w:hAnsi="Helvetica" w:cs="Helvetica"/>
          <w:color w:val="000000" w:themeColor="text1"/>
          <w:szCs w:val="20"/>
          <w:shd w:val="clear" w:color="auto" w:fill="FFFFFF"/>
        </w:rPr>
      </w:pPr>
      <w:r w:rsidRPr="008734AE">
        <w:rPr>
          <w:rFonts w:ascii="Helvetica" w:hAnsi="Helvetica" w:cs="Helvetica"/>
          <w:color w:val="000000" w:themeColor="text1"/>
          <w:szCs w:val="20"/>
          <w:shd w:val="clear" w:color="auto" w:fill="FFFFFF"/>
        </w:rPr>
        <w:t xml:space="preserve">Centre for Market Design, 2020. </w:t>
      </w:r>
      <w:r w:rsidRPr="008734AE">
        <w:rPr>
          <w:rFonts w:ascii="Helvetica" w:hAnsi="Helvetica" w:cs="Helvetica"/>
          <w:i/>
          <w:color w:val="000000" w:themeColor="text1"/>
          <w:szCs w:val="20"/>
          <w:shd w:val="clear" w:color="auto" w:fill="FFFFFF"/>
        </w:rPr>
        <w:t>Third-party price compara</w:t>
      </w:r>
      <w:r>
        <w:rPr>
          <w:rFonts w:ascii="Helvetica" w:hAnsi="Helvetica" w:cs="Helvetica"/>
          <w:i/>
          <w:color w:val="000000" w:themeColor="text1"/>
          <w:szCs w:val="20"/>
          <w:shd w:val="clear" w:color="auto" w:fill="FFFFFF"/>
        </w:rPr>
        <w:t xml:space="preserve">tor platforms in the Australian </w:t>
      </w:r>
      <w:r w:rsidRPr="008734AE">
        <w:rPr>
          <w:rFonts w:ascii="Helvetica" w:hAnsi="Helvetica" w:cs="Helvetica"/>
          <w:i/>
          <w:color w:val="000000" w:themeColor="text1"/>
          <w:szCs w:val="20"/>
          <w:shd w:val="clear" w:color="auto" w:fill="FFFFFF"/>
        </w:rPr>
        <w:t>energy market</w:t>
      </w:r>
      <w:r w:rsidRPr="008734AE">
        <w:rPr>
          <w:rFonts w:ascii="Helvetica" w:hAnsi="Helvetica" w:cs="Helvetica"/>
          <w:color w:val="000000" w:themeColor="text1"/>
          <w:szCs w:val="20"/>
          <w:shd w:val="clear" w:color="auto" w:fill="FFFFFF"/>
        </w:rPr>
        <w:t>, Melb</w:t>
      </w:r>
      <w:r>
        <w:rPr>
          <w:rFonts w:ascii="Helvetica" w:hAnsi="Helvetica" w:cs="Helvetica"/>
          <w:color w:val="000000" w:themeColor="text1"/>
          <w:szCs w:val="20"/>
          <w:shd w:val="clear" w:color="auto" w:fill="FFFFFF"/>
        </w:rPr>
        <w:t>ourne: University of Melbourne.</w:t>
      </w:r>
    </w:p>
    <w:p w14:paraId="1CFDC5F3" w14:textId="62945972" w:rsidR="006C56DA" w:rsidRDefault="008C209F" w:rsidP="00C669F7">
      <w:pPr>
        <w:ind w:left="284" w:hanging="284"/>
        <w:rPr>
          <w:rStyle w:val="Hyperlink"/>
        </w:rPr>
      </w:pPr>
      <w:r w:rsidRPr="005E366D">
        <w:t>Newgate</w:t>
      </w:r>
      <w:r w:rsidR="005E366D" w:rsidRPr="005E366D">
        <w:t>,</w:t>
      </w:r>
      <w:r w:rsidRPr="005E366D">
        <w:t xml:space="preserve"> 2017</w:t>
      </w:r>
      <w:r w:rsidR="005E366D" w:rsidRPr="005E366D">
        <w:t xml:space="preserve">. Consumer Research for the Australian Energy Market </w:t>
      </w:r>
      <w:r w:rsidR="00BE35DC" w:rsidRPr="005E366D">
        <w:t>Commission’s</w:t>
      </w:r>
      <w:r w:rsidR="005E366D" w:rsidRPr="005E366D">
        <w:t xml:space="preserve"> 2017 Retail Competition Review. </w:t>
      </w:r>
      <w:hyperlink r:id="rId44" w:history="1">
        <w:r w:rsidR="005E366D" w:rsidRPr="002C7EA0">
          <w:rPr>
            <w:rStyle w:val="Hyperlink"/>
            <w:color w:val="2158A9" w:themeColor="accent2"/>
          </w:rPr>
          <w:t>Newgate Research - AEMC 2017 Retail Competition Review - Consumer Research Report</w:t>
        </w:r>
      </w:hyperlink>
    </w:p>
    <w:p w14:paraId="20CA959C" w14:textId="7082B75B" w:rsidR="005C4CE9" w:rsidRPr="008734AE" w:rsidRDefault="005C4CE9" w:rsidP="00C669F7">
      <w:pPr>
        <w:pStyle w:val="Heading3"/>
      </w:pPr>
      <w:r w:rsidRPr="00DF403A">
        <w:t xml:space="preserve">Sources from our literature </w:t>
      </w:r>
      <w:r w:rsidR="00CE2734">
        <w:t>scan</w:t>
      </w:r>
    </w:p>
    <w:p w14:paraId="08954BF1" w14:textId="215DA689" w:rsidR="005C4CE9" w:rsidRPr="008734AE" w:rsidRDefault="005C4CE9" w:rsidP="00C669F7">
      <w:pPr>
        <w:spacing w:line="240" w:lineRule="auto"/>
        <w:ind w:left="284" w:right="28" w:hanging="284"/>
        <w:rPr>
          <w:rFonts w:ascii="Helvetica" w:hAnsi="Helvetica" w:cs="Helvetica"/>
          <w:color w:val="000000" w:themeColor="text1"/>
        </w:rPr>
      </w:pPr>
      <w:r w:rsidRPr="008734AE">
        <w:rPr>
          <w:rFonts w:ascii="Helvetica" w:hAnsi="Helvetica" w:cs="Helvetica"/>
          <w:color w:val="000000" w:themeColor="text1"/>
          <w:szCs w:val="20"/>
          <w:shd w:val="clear" w:color="auto" w:fill="FFFFFF"/>
        </w:rPr>
        <w:t>Ariely, D., 2000. Controlling the information flow: Effects on consumers' decision making and preferences. </w:t>
      </w:r>
      <w:r w:rsidRPr="008734AE">
        <w:rPr>
          <w:rFonts w:ascii="Helvetica" w:hAnsi="Helvetica" w:cs="Helvetica"/>
          <w:i/>
          <w:iCs/>
          <w:color w:val="000000" w:themeColor="text1"/>
          <w:szCs w:val="20"/>
          <w:shd w:val="clear" w:color="auto" w:fill="FFFFFF"/>
        </w:rPr>
        <w:t>Journal of Consumer Research</w:t>
      </w:r>
      <w:r w:rsidRPr="008734AE">
        <w:rPr>
          <w:rFonts w:ascii="Helvetica" w:hAnsi="Helvetica" w:cs="Helvetica"/>
          <w:color w:val="000000" w:themeColor="text1"/>
          <w:szCs w:val="20"/>
          <w:shd w:val="clear" w:color="auto" w:fill="FFFFFF"/>
        </w:rPr>
        <w:t>, </w:t>
      </w:r>
      <w:r w:rsidRPr="008734AE">
        <w:rPr>
          <w:rFonts w:ascii="Helvetica" w:hAnsi="Helvetica" w:cs="Helvetica"/>
          <w:i/>
          <w:iCs/>
          <w:color w:val="000000" w:themeColor="text1"/>
          <w:szCs w:val="20"/>
          <w:shd w:val="clear" w:color="auto" w:fill="FFFFFF"/>
        </w:rPr>
        <w:t>27</w:t>
      </w:r>
      <w:r w:rsidRPr="008734AE">
        <w:rPr>
          <w:rFonts w:ascii="Helvetica" w:hAnsi="Helvetica" w:cs="Helvetica"/>
          <w:color w:val="000000" w:themeColor="text1"/>
          <w:szCs w:val="20"/>
          <w:shd w:val="clear" w:color="auto" w:fill="FFFFFF"/>
        </w:rPr>
        <w:t>(2), pp.233-248.</w:t>
      </w:r>
    </w:p>
    <w:p w14:paraId="628F139F" w14:textId="2F591C55" w:rsidR="005C4CE9" w:rsidRPr="008734AE" w:rsidRDefault="005C4CE9" w:rsidP="00C669F7">
      <w:pPr>
        <w:spacing w:line="240" w:lineRule="auto"/>
        <w:ind w:left="284" w:right="28" w:hanging="284"/>
        <w:rPr>
          <w:rFonts w:ascii="Helvetica" w:hAnsi="Helvetica" w:cs="Helvetica"/>
          <w:color w:val="000000" w:themeColor="text1"/>
          <w:szCs w:val="20"/>
          <w:shd w:val="clear" w:color="auto" w:fill="FFFFFF"/>
        </w:rPr>
      </w:pPr>
      <w:r w:rsidRPr="008734AE">
        <w:rPr>
          <w:rFonts w:ascii="Helvetica" w:hAnsi="Helvetica" w:cs="Helvetica"/>
          <w:color w:val="000000" w:themeColor="text1"/>
          <w:szCs w:val="20"/>
          <w:shd w:val="clear" w:color="auto" w:fill="FFFFFF"/>
        </w:rPr>
        <w:t xml:space="preserve">Antal, M., 2020. A </w:t>
      </w:r>
      <w:r w:rsidR="006B4A44">
        <w:rPr>
          <w:rFonts w:ascii="Helvetica" w:hAnsi="Helvetica" w:cs="Helvetica"/>
          <w:color w:val="000000" w:themeColor="text1"/>
          <w:szCs w:val="20"/>
          <w:shd w:val="clear" w:color="auto" w:fill="FFFFFF"/>
        </w:rPr>
        <w:t>‘</w:t>
      </w:r>
      <w:r w:rsidRPr="008734AE">
        <w:rPr>
          <w:rFonts w:ascii="Helvetica" w:hAnsi="Helvetica" w:cs="Helvetica"/>
          <w:color w:val="000000" w:themeColor="text1"/>
          <w:szCs w:val="20"/>
          <w:shd w:val="clear" w:color="auto" w:fill="FFFFFF"/>
        </w:rPr>
        <w:t>parasite market</w:t>
      </w:r>
      <w:r w:rsidR="006B4A44">
        <w:rPr>
          <w:rFonts w:ascii="Helvetica" w:hAnsi="Helvetica" w:cs="Helvetica"/>
          <w:color w:val="000000" w:themeColor="text1"/>
          <w:szCs w:val="20"/>
          <w:shd w:val="clear" w:color="auto" w:fill="FFFFFF"/>
        </w:rPr>
        <w:t>’</w:t>
      </w:r>
      <w:r w:rsidRPr="008734AE">
        <w:rPr>
          <w:rFonts w:ascii="Helvetica" w:hAnsi="Helvetica" w:cs="Helvetica"/>
          <w:color w:val="000000" w:themeColor="text1"/>
          <w:szCs w:val="20"/>
          <w:shd w:val="clear" w:color="auto" w:fill="FFFFFF"/>
        </w:rPr>
        <w:t>: A competitive market of energy price comparison websites reduces consumer welfare. </w:t>
      </w:r>
      <w:r w:rsidRPr="008734AE">
        <w:rPr>
          <w:rFonts w:ascii="Helvetica" w:hAnsi="Helvetica" w:cs="Helvetica"/>
          <w:i/>
          <w:iCs/>
          <w:color w:val="000000" w:themeColor="text1"/>
          <w:szCs w:val="20"/>
          <w:shd w:val="clear" w:color="auto" w:fill="FFFFFF"/>
        </w:rPr>
        <w:t>Energy Policy</w:t>
      </w:r>
      <w:r w:rsidRPr="008734AE">
        <w:rPr>
          <w:rFonts w:ascii="Helvetica" w:hAnsi="Helvetica" w:cs="Helvetica"/>
          <w:color w:val="000000" w:themeColor="text1"/>
          <w:szCs w:val="20"/>
          <w:shd w:val="clear" w:color="auto" w:fill="FFFFFF"/>
        </w:rPr>
        <w:t>, </w:t>
      </w:r>
      <w:r w:rsidRPr="008734AE">
        <w:rPr>
          <w:rFonts w:ascii="Helvetica" w:hAnsi="Helvetica" w:cs="Helvetica"/>
          <w:i/>
          <w:iCs/>
          <w:color w:val="000000" w:themeColor="text1"/>
          <w:szCs w:val="20"/>
          <w:shd w:val="clear" w:color="auto" w:fill="FFFFFF"/>
        </w:rPr>
        <w:t>138</w:t>
      </w:r>
      <w:r w:rsidRPr="008734AE">
        <w:rPr>
          <w:rFonts w:ascii="Helvetica" w:hAnsi="Helvetica" w:cs="Helvetica"/>
          <w:color w:val="000000" w:themeColor="text1"/>
          <w:szCs w:val="20"/>
          <w:shd w:val="clear" w:color="auto" w:fill="FFFFFF"/>
        </w:rPr>
        <w:t>, p.111228.</w:t>
      </w:r>
    </w:p>
    <w:p w14:paraId="25F0A802" w14:textId="77777777" w:rsidR="005C4CE9" w:rsidRPr="008734AE" w:rsidRDefault="005C4CE9" w:rsidP="00C669F7">
      <w:pPr>
        <w:spacing w:line="240" w:lineRule="auto"/>
        <w:ind w:left="284" w:right="28" w:hanging="284"/>
        <w:rPr>
          <w:rFonts w:asciiTheme="majorHAnsi" w:hAnsiTheme="majorHAnsi" w:cstheme="majorHAnsi"/>
          <w:color w:val="000000" w:themeColor="text1"/>
          <w:szCs w:val="20"/>
          <w:shd w:val="clear" w:color="auto" w:fill="FFFFFF"/>
        </w:rPr>
      </w:pPr>
      <w:r w:rsidRPr="008734AE">
        <w:rPr>
          <w:rFonts w:asciiTheme="majorHAnsi" w:hAnsiTheme="majorHAnsi" w:cstheme="majorHAnsi"/>
          <w:color w:val="000000" w:themeColor="text1"/>
          <w:szCs w:val="20"/>
          <w:shd w:val="clear" w:color="auto" w:fill="FFFFFF"/>
        </w:rPr>
        <w:t>Ball, C., 1997. A comparison of single-step and multiple-step transition analyses of multiattribute decision strategies. </w:t>
      </w:r>
      <w:r w:rsidRPr="008734AE">
        <w:rPr>
          <w:rFonts w:asciiTheme="majorHAnsi" w:hAnsiTheme="majorHAnsi" w:cstheme="majorHAnsi"/>
          <w:i/>
          <w:iCs/>
          <w:color w:val="000000" w:themeColor="text1"/>
          <w:szCs w:val="20"/>
          <w:shd w:val="clear" w:color="auto" w:fill="FFFFFF"/>
        </w:rPr>
        <w:t>Organizational Behavior and Human Decision Processes</w:t>
      </w:r>
      <w:r w:rsidRPr="008734AE">
        <w:rPr>
          <w:rFonts w:asciiTheme="majorHAnsi" w:hAnsiTheme="majorHAnsi" w:cstheme="majorHAnsi"/>
          <w:color w:val="000000" w:themeColor="text1"/>
          <w:szCs w:val="20"/>
          <w:shd w:val="clear" w:color="auto" w:fill="FFFFFF"/>
        </w:rPr>
        <w:t>, </w:t>
      </w:r>
      <w:r w:rsidRPr="008734AE">
        <w:rPr>
          <w:rFonts w:asciiTheme="majorHAnsi" w:hAnsiTheme="majorHAnsi" w:cstheme="majorHAnsi"/>
          <w:i/>
          <w:iCs/>
          <w:color w:val="000000" w:themeColor="text1"/>
          <w:szCs w:val="20"/>
          <w:shd w:val="clear" w:color="auto" w:fill="FFFFFF"/>
        </w:rPr>
        <w:t>69</w:t>
      </w:r>
      <w:r w:rsidRPr="008734AE">
        <w:rPr>
          <w:rFonts w:asciiTheme="majorHAnsi" w:hAnsiTheme="majorHAnsi" w:cstheme="majorHAnsi"/>
          <w:color w:val="000000" w:themeColor="text1"/>
          <w:szCs w:val="20"/>
          <w:shd w:val="clear" w:color="auto" w:fill="FFFFFF"/>
        </w:rPr>
        <w:t>(3), pp.195-204.</w:t>
      </w:r>
    </w:p>
    <w:p w14:paraId="1C6A2820" w14:textId="77777777" w:rsidR="005C4CE9" w:rsidRPr="008734AE" w:rsidRDefault="005C4CE9" w:rsidP="00C669F7">
      <w:pPr>
        <w:spacing w:line="240" w:lineRule="auto"/>
        <w:ind w:left="284" w:right="28" w:hanging="284"/>
        <w:rPr>
          <w:rFonts w:asciiTheme="majorHAnsi" w:hAnsiTheme="majorHAnsi" w:cstheme="majorHAnsi"/>
          <w:color w:val="000000" w:themeColor="text1"/>
          <w:szCs w:val="20"/>
          <w:shd w:val="clear" w:color="auto" w:fill="FFFFFF"/>
        </w:rPr>
      </w:pPr>
      <w:r w:rsidRPr="008734AE">
        <w:rPr>
          <w:rFonts w:asciiTheme="majorHAnsi" w:hAnsiTheme="majorHAnsi" w:cstheme="majorHAnsi"/>
          <w:color w:val="000000" w:themeColor="text1"/>
          <w:szCs w:val="20"/>
          <w:shd w:val="clear" w:color="auto" w:fill="FFFFFF"/>
        </w:rPr>
        <w:t>Bettman, J.R., Luce, M.F. and Payne, J.W., 1998. Constructive consumer choice processes. </w:t>
      </w:r>
      <w:r w:rsidRPr="008734AE">
        <w:rPr>
          <w:rFonts w:asciiTheme="majorHAnsi" w:hAnsiTheme="majorHAnsi" w:cstheme="majorHAnsi"/>
          <w:i/>
          <w:iCs/>
          <w:color w:val="000000" w:themeColor="text1"/>
          <w:szCs w:val="20"/>
          <w:shd w:val="clear" w:color="auto" w:fill="FFFFFF"/>
        </w:rPr>
        <w:t>Journal of Consumer Research</w:t>
      </w:r>
      <w:r w:rsidRPr="008734AE">
        <w:rPr>
          <w:rFonts w:asciiTheme="majorHAnsi" w:hAnsiTheme="majorHAnsi" w:cstheme="majorHAnsi"/>
          <w:color w:val="000000" w:themeColor="text1"/>
          <w:szCs w:val="20"/>
          <w:shd w:val="clear" w:color="auto" w:fill="FFFFFF"/>
        </w:rPr>
        <w:t>, </w:t>
      </w:r>
      <w:r w:rsidRPr="008734AE">
        <w:rPr>
          <w:rFonts w:asciiTheme="majorHAnsi" w:hAnsiTheme="majorHAnsi" w:cstheme="majorHAnsi"/>
          <w:i/>
          <w:iCs/>
          <w:color w:val="000000" w:themeColor="text1"/>
          <w:szCs w:val="20"/>
          <w:shd w:val="clear" w:color="auto" w:fill="FFFFFF"/>
        </w:rPr>
        <w:t>25</w:t>
      </w:r>
      <w:r w:rsidRPr="008734AE">
        <w:rPr>
          <w:rFonts w:asciiTheme="majorHAnsi" w:hAnsiTheme="majorHAnsi" w:cstheme="majorHAnsi"/>
          <w:color w:val="000000" w:themeColor="text1"/>
          <w:szCs w:val="20"/>
          <w:shd w:val="clear" w:color="auto" w:fill="FFFFFF"/>
        </w:rPr>
        <w:t>(3), pp.187-217.</w:t>
      </w:r>
    </w:p>
    <w:p w14:paraId="2F920D79" w14:textId="77777777" w:rsidR="005C4CE9" w:rsidRPr="008734AE" w:rsidRDefault="005C4CE9" w:rsidP="00C669F7">
      <w:pPr>
        <w:spacing w:line="240" w:lineRule="auto"/>
        <w:ind w:left="284" w:right="28" w:hanging="284"/>
        <w:rPr>
          <w:rFonts w:ascii="Helvetica" w:hAnsi="Helvetica" w:cs="Helvetica"/>
          <w:color w:val="000000" w:themeColor="text1"/>
          <w:szCs w:val="20"/>
          <w:shd w:val="clear" w:color="auto" w:fill="FFFFFF"/>
        </w:rPr>
      </w:pPr>
      <w:r w:rsidRPr="008734AE">
        <w:rPr>
          <w:rFonts w:ascii="Helvetica" w:hAnsi="Helvetica" w:cs="Helvetica"/>
          <w:color w:val="000000" w:themeColor="text1"/>
          <w:szCs w:val="20"/>
          <w:shd w:val="clear" w:color="auto" w:fill="FFFFFF"/>
        </w:rPr>
        <w:t>Brennan, T.J., 2007. Consumer preference not to choose: methodological and policy implications. </w:t>
      </w:r>
      <w:r w:rsidRPr="008734AE">
        <w:rPr>
          <w:rFonts w:ascii="Helvetica" w:hAnsi="Helvetica" w:cs="Helvetica"/>
          <w:i/>
          <w:iCs/>
          <w:color w:val="000000" w:themeColor="text1"/>
          <w:szCs w:val="20"/>
          <w:shd w:val="clear" w:color="auto" w:fill="FFFFFF"/>
        </w:rPr>
        <w:t>Energy Policy</w:t>
      </w:r>
      <w:r w:rsidRPr="008734AE">
        <w:rPr>
          <w:rFonts w:ascii="Helvetica" w:hAnsi="Helvetica" w:cs="Helvetica"/>
          <w:color w:val="000000" w:themeColor="text1"/>
          <w:szCs w:val="20"/>
          <w:shd w:val="clear" w:color="auto" w:fill="FFFFFF"/>
        </w:rPr>
        <w:t>, </w:t>
      </w:r>
      <w:r w:rsidRPr="008734AE">
        <w:rPr>
          <w:rFonts w:ascii="Helvetica" w:hAnsi="Helvetica" w:cs="Helvetica"/>
          <w:i/>
          <w:iCs/>
          <w:color w:val="000000" w:themeColor="text1"/>
          <w:szCs w:val="20"/>
          <w:shd w:val="clear" w:color="auto" w:fill="FFFFFF"/>
        </w:rPr>
        <w:t>35</w:t>
      </w:r>
      <w:r w:rsidRPr="008734AE">
        <w:rPr>
          <w:rFonts w:ascii="Helvetica" w:hAnsi="Helvetica" w:cs="Helvetica"/>
          <w:color w:val="000000" w:themeColor="text1"/>
          <w:szCs w:val="20"/>
          <w:shd w:val="clear" w:color="auto" w:fill="FFFFFF"/>
        </w:rPr>
        <w:t>(3), pp.1616-1627.</w:t>
      </w:r>
    </w:p>
    <w:p w14:paraId="111B9721" w14:textId="77777777" w:rsidR="005C4CE9" w:rsidRPr="008734AE" w:rsidRDefault="005C4CE9" w:rsidP="00C669F7">
      <w:pPr>
        <w:spacing w:line="240" w:lineRule="auto"/>
        <w:ind w:left="284" w:right="28" w:hanging="284"/>
        <w:rPr>
          <w:rFonts w:ascii="Helvetica" w:hAnsi="Helvetica" w:cs="Helvetica"/>
          <w:color w:val="000000" w:themeColor="text1"/>
          <w:szCs w:val="20"/>
          <w:shd w:val="clear" w:color="auto" w:fill="FFFFFF"/>
        </w:rPr>
      </w:pPr>
      <w:r w:rsidRPr="008734AE">
        <w:rPr>
          <w:rFonts w:ascii="Helvetica" w:hAnsi="Helvetica" w:cs="Helvetica"/>
          <w:color w:val="000000" w:themeColor="text1"/>
          <w:szCs w:val="20"/>
          <w:shd w:val="clear" w:color="auto" w:fill="FFFFFF"/>
        </w:rPr>
        <w:t>Burnett, T., 2014. </w:t>
      </w:r>
      <w:r w:rsidRPr="008734AE">
        <w:rPr>
          <w:rFonts w:ascii="Helvetica" w:hAnsi="Helvetica" w:cs="Helvetica"/>
          <w:iCs/>
          <w:color w:val="000000" w:themeColor="text1"/>
          <w:szCs w:val="20"/>
          <w:shd w:val="clear" w:color="auto" w:fill="FFFFFF"/>
        </w:rPr>
        <w:t>The impact of service bundling on consumer switching behaviour: evidence from UK communication markets</w:t>
      </w:r>
      <w:r w:rsidRPr="008734AE">
        <w:rPr>
          <w:rFonts w:ascii="Helvetica" w:hAnsi="Helvetica" w:cs="Helvetica"/>
          <w:color w:val="000000" w:themeColor="text1"/>
          <w:szCs w:val="20"/>
          <w:shd w:val="clear" w:color="auto" w:fill="FFFFFF"/>
        </w:rPr>
        <w:t> (pp. 1-53). CMPO.</w:t>
      </w:r>
    </w:p>
    <w:p w14:paraId="6A817AFE" w14:textId="77777777" w:rsidR="005C4CE9" w:rsidRPr="008734AE" w:rsidRDefault="005C4CE9" w:rsidP="00C669F7">
      <w:pPr>
        <w:spacing w:line="240" w:lineRule="auto"/>
        <w:ind w:left="284" w:right="28" w:hanging="284"/>
        <w:rPr>
          <w:rFonts w:ascii="Helvetica" w:hAnsi="Helvetica" w:cs="Helvetica"/>
          <w:color w:val="000000" w:themeColor="text1"/>
          <w:szCs w:val="20"/>
          <w:shd w:val="clear" w:color="auto" w:fill="FFFFFF"/>
        </w:rPr>
      </w:pPr>
      <w:r w:rsidRPr="008734AE">
        <w:rPr>
          <w:rFonts w:ascii="Helvetica" w:hAnsi="Helvetica" w:cs="Helvetica"/>
          <w:color w:val="000000" w:themeColor="text1"/>
          <w:szCs w:val="20"/>
          <w:shd w:val="clear" w:color="auto" w:fill="FFFFFF"/>
        </w:rPr>
        <w:t>Carthy, P., Lunn, P.D. and Lyons, S., 2020. Demographic variation in active consumer behaviour: On-line search for retail broadband services. </w:t>
      </w:r>
      <w:r w:rsidRPr="008734AE">
        <w:rPr>
          <w:rFonts w:ascii="Helvetica" w:hAnsi="Helvetica" w:cs="Helvetica"/>
          <w:i/>
          <w:iCs/>
          <w:color w:val="000000" w:themeColor="text1"/>
          <w:szCs w:val="20"/>
          <w:shd w:val="clear" w:color="auto" w:fill="FFFFFF"/>
        </w:rPr>
        <w:t>Heliyon</w:t>
      </w:r>
      <w:r w:rsidRPr="008734AE">
        <w:rPr>
          <w:rFonts w:ascii="Helvetica" w:hAnsi="Helvetica" w:cs="Helvetica"/>
          <w:color w:val="000000" w:themeColor="text1"/>
          <w:szCs w:val="20"/>
          <w:shd w:val="clear" w:color="auto" w:fill="FFFFFF"/>
        </w:rPr>
        <w:t>, </w:t>
      </w:r>
      <w:r w:rsidRPr="008734AE">
        <w:rPr>
          <w:rFonts w:ascii="Helvetica" w:hAnsi="Helvetica" w:cs="Helvetica"/>
          <w:i/>
          <w:iCs/>
          <w:color w:val="000000" w:themeColor="text1"/>
          <w:szCs w:val="20"/>
          <w:shd w:val="clear" w:color="auto" w:fill="FFFFFF"/>
        </w:rPr>
        <w:t>6</w:t>
      </w:r>
      <w:r w:rsidRPr="008734AE">
        <w:rPr>
          <w:rFonts w:ascii="Helvetica" w:hAnsi="Helvetica" w:cs="Helvetica"/>
          <w:color w:val="000000" w:themeColor="text1"/>
          <w:szCs w:val="20"/>
          <w:shd w:val="clear" w:color="auto" w:fill="FFFFFF"/>
        </w:rPr>
        <w:t>(7), p.e04478.</w:t>
      </w:r>
    </w:p>
    <w:p w14:paraId="04585059" w14:textId="77777777" w:rsidR="005C4CE9" w:rsidRPr="008734AE" w:rsidRDefault="005C4CE9" w:rsidP="00C669F7">
      <w:pPr>
        <w:spacing w:line="240" w:lineRule="auto"/>
        <w:ind w:left="284" w:right="28" w:hanging="284"/>
        <w:rPr>
          <w:rFonts w:ascii="Helvetica" w:hAnsi="Helvetica" w:cs="Helvetica"/>
          <w:color w:val="000000" w:themeColor="text1"/>
          <w:szCs w:val="20"/>
          <w:shd w:val="clear" w:color="auto" w:fill="FFFFFF"/>
        </w:rPr>
      </w:pPr>
      <w:r w:rsidRPr="008734AE">
        <w:rPr>
          <w:rFonts w:ascii="Helvetica" w:hAnsi="Helvetica" w:cs="Helvetica"/>
          <w:color w:val="000000" w:themeColor="text1"/>
          <w:szCs w:val="20"/>
          <w:shd w:val="clear" w:color="auto" w:fill="FFFFFF"/>
        </w:rPr>
        <w:t>Castagnos, S., Jones, N. and Pu, P., 2010, September. Eye-tracking product recommenders' usage. In </w:t>
      </w:r>
      <w:r w:rsidRPr="008734AE">
        <w:rPr>
          <w:rFonts w:ascii="Helvetica" w:hAnsi="Helvetica" w:cs="Helvetica"/>
          <w:i/>
          <w:iCs/>
          <w:color w:val="000000" w:themeColor="text1"/>
          <w:szCs w:val="20"/>
          <w:shd w:val="clear" w:color="auto" w:fill="FFFFFF"/>
        </w:rPr>
        <w:t>Proceedings of the fourth ACM conference on Recommender systems</w:t>
      </w:r>
      <w:r w:rsidRPr="008734AE">
        <w:rPr>
          <w:rFonts w:ascii="Helvetica" w:hAnsi="Helvetica" w:cs="Helvetica"/>
          <w:color w:val="000000" w:themeColor="text1"/>
          <w:szCs w:val="20"/>
          <w:shd w:val="clear" w:color="auto" w:fill="FFFFFF"/>
        </w:rPr>
        <w:t> (pp. 29-36).</w:t>
      </w:r>
    </w:p>
    <w:p w14:paraId="4B0F134A" w14:textId="77777777" w:rsidR="005C4CE9" w:rsidRPr="008734AE" w:rsidRDefault="005C4CE9" w:rsidP="00C669F7">
      <w:pPr>
        <w:spacing w:line="240" w:lineRule="auto"/>
        <w:ind w:left="284" w:right="28" w:hanging="284"/>
        <w:rPr>
          <w:rFonts w:ascii="Helvetica" w:hAnsi="Helvetica" w:cs="Helvetica"/>
          <w:color w:val="000000" w:themeColor="text1"/>
          <w:szCs w:val="20"/>
          <w:shd w:val="clear" w:color="auto" w:fill="FFFFFF"/>
        </w:rPr>
      </w:pPr>
      <w:r w:rsidRPr="008734AE">
        <w:rPr>
          <w:rFonts w:ascii="Helvetica" w:hAnsi="Helvetica" w:cs="Helvetica"/>
          <w:color w:val="000000" w:themeColor="text1"/>
          <w:szCs w:val="20"/>
          <w:shd w:val="clear" w:color="auto" w:fill="FFFFFF"/>
        </w:rPr>
        <w:lastRenderedPageBreak/>
        <w:t xml:space="preserve">Centre for Market Design, 2020. </w:t>
      </w:r>
      <w:r w:rsidRPr="008734AE">
        <w:rPr>
          <w:rFonts w:ascii="Helvetica" w:hAnsi="Helvetica" w:cs="Helvetica"/>
          <w:i/>
          <w:color w:val="000000" w:themeColor="text1"/>
          <w:szCs w:val="20"/>
          <w:shd w:val="clear" w:color="auto" w:fill="FFFFFF"/>
        </w:rPr>
        <w:t>Third-party price comparator platforms in the Australian energy market</w:t>
      </w:r>
      <w:r w:rsidRPr="008734AE">
        <w:rPr>
          <w:rFonts w:ascii="Helvetica" w:hAnsi="Helvetica" w:cs="Helvetica"/>
          <w:color w:val="000000" w:themeColor="text1"/>
          <w:szCs w:val="20"/>
          <w:shd w:val="clear" w:color="auto" w:fill="FFFFFF"/>
        </w:rPr>
        <w:t>, Melbourne: University of Melbourne.</w:t>
      </w:r>
    </w:p>
    <w:p w14:paraId="1C63D720" w14:textId="58DF5BCB" w:rsidR="005C4CE9" w:rsidRPr="008734AE" w:rsidRDefault="005C4CE9" w:rsidP="00C669F7">
      <w:pPr>
        <w:spacing w:line="240" w:lineRule="auto"/>
        <w:ind w:left="284" w:right="28" w:hanging="284"/>
        <w:rPr>
          <w:rFonts w:ascii="Helvetica" w:hAnsi="Helvetica" w:cs="Helvetica"/>
          <w:color w:val="000000" w:themeColor="text1"/>
          <w:szCs w:val="20"/>
          <w:shd w:val="clear" w:color="auto" w:fill="FFFFFF"/>
        </w:rPr>
      </w:pPr>
      <w:r w:rsidRPr="008734AE">
        <w:rPr>
          <w:rFonts w:ascii="Helvetica" w:hAnsi="Helvetica" w:cs="Helvetica"/>
          <w:color w:val="000000" w:themeColor="text1"/>
          <w:szCs w:val="20"/>
          <w:shd w:val="clear" w:color="auto" w:fill="FFFFFF"/>
        </w:rPr>
        <w:t xml:space="preserve">Chernev, A, Böckenholt, U., and Goodman, J. 2015. </w:t>
      </w:r>
      <w:r w:rsidR="006B4A44">
        <w:rPr>
          <w:rFonts w:ascii="Helvetica" w:hAnsi="Helvetica" w:cs="Helvetica"/>
          <w:color w:val="000000" w:themeColor="text1"/>
          <w:szCs w:val="20"/>
          <w:shd w:val="clear" w:color="auto" w:fill="FFFFFF"/>
        </w:rPr>
        <w:t>‘</w:t>
      </w:r>
      <w:r w:rsidRPr="008734AE">
        <w:rPr>
          <w:rFonts w:ascii="Helvetica" w:hAnsi="Helvetica" w:cs="Helvetica"/>
          <w:color w:val="000000" w:themeColor="text1"/>
          <w:szCs w:val="20"/>
          <w:shd w:val="clear" w:color="auto" w:fill="FFFFFF"/>
        </w:rPr>
        <w:t>Choice overload: A conceptual review and meta-analysis.</w:t>
      </w:r>
      <w:r w:rsidR="006B4A44">
        <w:rPr>
          <w:rFonts w:ascii="Helvetica" w:hAnsi="Helvetica" w:cs="Helvetica"/>
          <w:color w:val="000000" w:themeColor="text1"/>
          <w:szCs w:val="20"/>
          <w:shd w:val="clear" w:color="auto" w:fill="FFFFFF"/>
        </w:rPr>
        <w:t>’</w:t>
      </w:r>
      <w:r w:rsidRPr="008734AE">
        <w:rPr>
          <w:rFonts w:ascii="Helvetica" w:hAnsi="Helvetica" w:cs="Helvetica"/>
          <w:color w:val="000000" w:themeColor="text1"/>
          <w:szCs w:val="20"/>
          <w:shd w:val="clear" w:color="auto" w:fill="FFFFFF"/>
        </w:rPr>
        <w:t xml:space="preserve"> </w:t>
      </w:r>
      <w:r w:rsidRPr="008734AE">
        <w:rPr>
          <w:rFonts w:ascii="Helvetica" w:hAnsi="Helvetica" w:cs="Helvetica"/>
          <w:i/>
          <w:color w:val="000000" w:themeColor="text1"/>
          <w:szCs w:val="20"/>
          <w:shd w:val="clear" w:color="auto" w:fill="FFFFFF"/>
        </w:rPr>
        <w:t>Journal of Consumer Psychology</w:t>
      </w:r>
      <w:r w:rsidRPr="008734AE">
        <w:rPr>
          <w:rFonts w:ascii="Helvetica" w:hAnsi="Helvetica" w:cs="Helvetica"/>
          <w:color w:val="000000" w:themeColor="text1"/>
          <w:szCs w:val="20"/>
          <w:shd w:val="clear" w:color="auto" w:fill="FFFFFF"/>
        </w:rPr>
        <w:t xml:space="preserve"> 25(2) pp.333-358</w:t>
      </w:r>
    </w:p>
    <w:p w14:paraId="3D40A6EA" w14:textId="77777777" w:rsidR="005C4CE9" w:rsidRPr="008734AE" w:rsidRDefault="005C4CE9" w:rsidP="00C669F7">
      <w:pPr>
        <w:spacing w:line="240" w:lineRule="auto"/>
        <w:ind w:left="284" w:right="28" w:hanging="284"/>
        <w:rPr>
          <w:rFonts w:ascii="Helvetica" w:hAnsi="Helvetica" w:cs="Helvetica"/>
          <w:color w:val="000000" w:themeColor="text1"/>
        </w:rPr>
      </w:pPr>
      <w:r w:rsidRPr="008734AE">
        <w:rPr>
          <w:rFonts w:ascii="Helvetica" w:hAnsi="Helvetica" w:cs="Helvetica"/>
          <w:color w:val="000000" w:themeColor="text1"/>
        </w:rPr>
        <w:t xml:space="preserve">Cronqvist, H., &amp; Thaler, R. 2004. Design choices in privatized social security systems: learning from the Swedish experience. </w:t>
      </w:r>
      <w:r w:rsidRPr="008734AE">
        <w:rPr>
          <w:rFonts w:ascii="Helvetica" w:hAnsi="Helvetica" w:cs="Helvetica"/>
          <w:i/>
          <w:color w:val="000000" w:themeColor="text1"/>
        </w:rPr>
        <w:t>American Economic Review</w:t>
      </w:r>
      <w:r w:rsidRPr="008734AE">
        <w:rPr>
          <w:rFonts w:ascii="Helvetica" w:hAnsi="Helvetica" w:cs="Helvetica"/>
          <w:color w:val="000000" w:themeColor="text1"/>
        </w:rPr>
        <w:t>, 94, 424–428.</w:t>
      </w:r>
    </w:p>
    <w:p w14:paraId="74503300" w14:textId="77777777" w:rsidR="005C4CE9" w:rsidRPr="008734AE" w:rsidRDefault="005C4CE9" w:rsidP="00C669F7">
      <w:pPr>
        <w:spacing w:line="240" w:lineRule="auto"/>
        <w:ind w:left="284" w:right="28" w:hanging="284"/>
        <w:rPr>
          <w:rFonts w:ascii="Helvetica" w:hAnsi="Helvetica" w:cs="Helvetica"/>
          <w:color w:val="000000" w:themeColor="text1"/>
        </w:rPr>
      </w:pPr>
      <w:r w:rsidRPr="008734AE">
        <w:rPr>
          <w:rFonts w:ascii="Helvetica" w:hAnsi="Helvetica" w:cs="Helvetica"/>
          <w:color w:val="000000" w:themeColor="text1"/>
        </w:rPr>
        <w:t>Dubé, J. P., Hitsch, G. J., and Rossi, P. E. 2010. State dependence and alternative explanations for consumer inertia. </w:t>
      </w:r>
      <w:r w:rsidRPr="008734AE">
        <w:rPr>
          <w:rFonts w:ascii="Helvetica" w:hAnsi="Helvetica" w:cs="Helvetica"/>
          <w:i/>
          <w:color w:val="000000" w:themeColor="text1"/>
        </w:rPr>
        <w:t>The RAND Journal of Economics</w:t>
      </w:r>
      <w:r w:rsidRPr="008734AE">
        <w:rPr>
          <w:rFonts w:ascii="Helvetica" w:hAnsi="Helvetica" w:cs="Helvetica"/>
          <w:color w:val="000000" w:themeColor="text1"/>
        </w:rPr>
        <w:t>, 41(3), 417-445.</w:t>
      </w:r>
    </w:p>
    <w:p w14:paraId="43C17897" w14:textId="77777777" w:rsidR="005C4CE9" w:rsidRPr="008734AE" w:rsidRDefault="005C4CE9" w:rsidP="00C669F7">
      <w:pPr>
        <w:spacing w:line="240" w:lineRule="auto"/>
        <w:ind w:left="284" w:right="28" w:hanging="284"/>
        <w:rPr>
          <w:rFonts w:ascii="Helvetica" w:hAnsi="Helvetica" w:cs="Helvetica"/>
          <w:color w:val="000000" w:themeColor="text1"/>
        </w:rPr>
      </w:pPr>
      <w:r w:rsidRPr="008734AE">
        <w:rPr>
          <w:rFonts w:ascii="Helvetica" w:hAnsi="Helvetica" w:cs="Helvetica"/>
          <w:color w:val="000000" w:themeColor="text1"/>
        </w:rPr>
        <w:t xml:space="preserve">Dubé, J.P., Hitsch, G.J. and Rossi, P.E. 2009. Do switching costs make markets less competitive?. </w:t>
      </w:r>
      <w:r w:rsidRPr="008734AE">
        <w:rPr>
          <w:rFonts w:ascii="Helvetica" w:hAnsi="Helvetica" w:cs="Helvetica"/>
          <w:i/>
          <w:color w:val="000000" w:themeColor="text1"/>
        </w:rPr>
        <w:t>Journal of Marketing Research</w:t>
      </w:r>
      <w:r w:rsidRPr="008734AE">
        <w:rPr>
          <w:rFonts w:ascii="Helvetica" w:hAnsi="Helvetica" w:cs="Helvetica"/>
          <w:color w:val="000000" w:themeColor="text1"/>
        </w:rPr>
        <w:t>, Vol. 46 No. 4, pp. 435-445.</w:t>
      </w:r>
    </w:p>
    <w:p w14:paraId="703C20C7" w14:textId="77777777" w:rsidR="005C4CE9" w:rsidRPr="008734AE" w:rsidRDefault="005C4CE9" w:rsidP="00C669F7">
      <w:pPr>
        <w:spacing w:line="240" w:lineRule="auto"/>
        <w:ind w:left="284" w:right="28" w:hanging="284"/>
        <w:rPr>
          <w:rFonts w:ascii="Helvetica" w:hAnsi="Helvetica" w:cs="Helvetica"/>
          <w:color w:val="000000" w:themeColor="text1"/>
          <w:szCs w:val="20"/>
        </w:rPr>
      </w:pPr>
      <w:r w:rsidRPr="008734AE">
        <w:rPr>
          <w:rFonts w:ascii="Helvetica" w:hAnsi="Helvetica" w:cs="Helvetica"/>
          <w:color w:val="000000" w:themeColor="text1"/>
          <w:szCs w:val="20"/>
        </w:rPr>
        <w:t xml:space="preserve">Eppler, M. J. &amp; Mengis, J. 2004. The Concept of Information Overload: A Review of Literature from Organization Science, Accounting, Marketing, MIS, and Related Disciplines. </w:t>
      </w:r>
      <w:r w:rsidRPr="008734AE">
        <w:rPr>
          <w:rFonts w:ascii="Helvetica" w:hAnsi="Helvetica" w:cs="Helvetica"/>
          <w:i/>
          <w:color w:val="000000" w:themeColor="text1"/>
          <w:szCs w:val="20"/>
        </w:rPr>
        <w:t>The Information Society: An International Journal.</w:t>
      </w:r>
      <w:r w:rsidRPr="008734AE">
        <w:rPr>
          <w:rFonts w:ascii="Helvetica" w:hAnsi="Helvetica" w:cs="Helvetica"/>
          <w:color w:val="000000" w:themeColor="text1"/>
          <w:szCs w:val="20"/>
        </w:rPr>
        <w:t xml:space="preserve"> 20 (5), pp.325–344.</w:t>
      </w:r>
    </w:p>
    <w:p w14:paraId="4DC27006" w14:textId="77777777" w:rsidR="005C4CE9" w:rsidRPr="008734AE" w:rsidRDefault="005C4CE9" w:rsidP="00C669F7">
      <w:pPr>
        <w:spacing w:line="240" w:lineRule="auto"/>
        <w:ind w:left="284" w:right="28" w:hanging="284"/>
        <w:rPr>
          <w:rFonts w:ascii="Helvetica" w:hAnsi="Helvetica" w:cs="Helvetica"/>
          <w:color w:val="000000" w:themeColor="text1"/>
        </w:rPr>
      </w:pPr>
      <w:r w:rsidRPr="008734AE">
        <w:rPr>
          <w:rFonts w:ascii="Helvetica" w:hAnsi="Helvetica" w:cs="Helvetica"/>
          <w:color w:val="000000" w:themeColor="text1"/>
          <w:szCs w:val="20"/>
          <w:shd w:val="clear" w:color="auto" w:fill="FFFFFF"/>
        </w:rPr>
        <w:t>Etco, M., Sénécal, S., Léger, P.M. and Fredette, M., 2017. The influence of online search behavior on consumers’ decision-making heuristics. </w:t>
      </w:r>
      <w:r w:rsidRPr="008734AE">
        <w:rPr>
          <w:rFonts w:ascii="Helvetica" w:hAnsi="Helvetica" w:cs="Helvetica"/>
          <w:i/>
          <w:iCs/>
          <w:color w:val="000000" w:themeColor="text1"/>
          <w:szCs w:val="20"/>
          <w:shd w:val="clear" w:color="auto" w:fill="FFFFFF"/>
        </w:rPr>
        <w:t>Journal of Computer Information Systems</w:t>
      </w:r>
      <w:r w:rsidRPr="008734AE">
        <w:rPr>
          <w:rFonts w:ascii="Helvetica" w:hAnsi="Helvetica" w:cs="Helvetica"/>
          <w:color w:val="000000" w:themeColor="text1"/>
          <w:szCs w:val="20"/>
          <w:shd w:val="clear" w:color="auto" w:fill="FFFFFF"/>
        </w:rPr>
        <w:t>, </w:t>
      </w:r>
      <w:r w:rsidRPr="008734AE">
        <w:rPr>
          <w:rFonts w:ascii="Helvetica" w:hAnsi="Helvetica" w:cs="Helvetica"/>
          <w:i/>
          <w:iCs/>
          <w:color w:val="000000" w:themeColor="text1"/>
          <w:szCs w:val="20"/>
          <w:shd w:val="clear" w:color="auto" w:fill="FFFFFF"/>
        </w:rPr>
        <w:t>57</w:t>
      </w:r>
      <w:r w:rsidRPr="008734AE">
        <w:rPr>
          <w:rFonts w:ascii="Helvetica" w:hAnsi="Helvetica" w:cs="Helvetica"/>
          <w:color w:val="000000" w:themeColor="text1"/>
          <w:szCs w:val="20"/>
          <w:shd w:val="clear" w:color="auto" w:fill="FFFFFF"/>
        </w:rPr>
        <w:t>(4), pp.344-352.</w:t>
      </w:r>
    </w:p>
    <w:p w14:paraId="3750683A" w14:textId="77777777" w:rsidR="005C4CE9" w:rsidRPr="008734AE" w:rsidRDefault="005C4CE9" w:rsidP="00C669F7">
      <w:pPr>
        <w:spacing w:line="240" w:lineRule="auto"/>
        <w:ind w:left="284" w:right="28" w:hanging="284"/>
        <w:rPr>
          <w:rFonts w:ascii="Helvetica" w:hAnsi="Helvetica" w:cs="Helvetica"/>
          <w:color w:val="000000" w:themeColor="text1"/>
          <w:szCs w:val="20"/>
          <w:shd w:val="clear" w:color="auto" w:fill="FFFFFF"/>
        </w:rPr>
      </w:pPr>
      <w:r w:rsidRPr="008734AE">
        <w:rPr>
          <w:rFonts w:ascii="Helvetica" w:hAnsi="Helvetica" w:cs="Helvetica"/>
          <w:color w:val="000000" w:themeColor="text1"/>
          <w:szCs w:val="20"/>
          <w:shd w:val="clear" w:color="auto" w:fill="FFFFFF"/>
        </w:rPr>
        <w:t>Gamble, A., Juliusson, E.A. and Gärling, T., 2009. Consumer attitudes towards switching supplier in three deregulated markets. </w:t>
      </w:r>
      <w:r w:rsidRPr="008734AE">
        <w:rPr>
          <w:rFonts w:ascii="Helvetica" w:hAnsi="Helvetica" w:cs="Helvetica"/>
          <w:i/>
          <w:iCs/>
          <w:color w:val="000000" w:themeColor="text1"/>
          <w:szCs w:val="20"/>
          <w:shd w:val="clear" w:color="auto" w:fill="FFFFFF"/>
        </w:rPr>
        <w:t>The Journal of Socio-Economics</w:t>
      </w:r>
      <w:r w:rsidRPr="008734AE">
        <w:rPr>
          <w:rFonts w:ascii="Helvetica" w:hAnsi="Helvetica" w:cs="Helvetica"/>
          <w:color w:val="000000" w:themeColor="text1"/>
          <w:szCs w:val="20"/>
          <w:shd w:val="clear" w:color="auto" w:fill="FFFFFF"/>
        </w:rPr>
        <w:t>, </w:t>
      </w:r>
      <w:r w:rsidRPr="008734AE">
        <w:rPr>
          <w:rFonts w:ascii="Helvetica" w:hAnsi="Helvetica" w:cs="Helvetica"/>
          <w:i/>
          <w:iCs/>
          <w:color w:val="000000" w:themeColor="text1"/>
          <w:szCs w:val="20"/>
          <w:shd w:val="clear" w:color="auto" w:fill="FFFFFF"/>
        </w:rPr>
        <w:t>38</w:t>
      </w:r>
      <w:r w:rsidRPr="008734AE">
        <w:rPr>
          <w:rFonts w:ascii="Helvetica" w:hAnsi="Helvetica" w:cs="Helvetica"/>
          <w:color w:val="000000" w:themeColor="text1"/>
          <w:szCs w:val="20"/>
          <w:shd w:val="clear" w:color="auto" w:fill="FFFFFF"/>
        </w:rPr>
        <w:t>(5), pp.814-819.</w:t>
      </w:r>
    </w:p>
    <w:p w14:paraId="22BB4EF1" w14:textId="77777777" w:rsidR="005C4CE9" w:rsidRPr="008734AE" w:rsidRDefault="005C4CE9" w:rsidP="00C669F7">
      <w:pPr>
        <w:spacing w:line="240" w:lineRule="auto"/>
        <w:ind w:left="284" w:right="28" w:hanging="284"/>
        <w:rPr>
          <w:rFonts w:ascii="Helvetica" w:hAnsi="Helvetica" w:cs="Helvetica"/>
          <w:color w:val="000000" w:themeColor="text1"/>
          <w:szCs w:val="20"/>
          <w:shd w:val="clear" w:color="auto" w:fill="FFFFFF"/>
        </w:rPr>
      </w:pPr>
      <w:r w:rsidRPr="008734AE">
        <w:rPr>
          <w:rFonts w:ascii="Helvetica" w:hAnsi="Helvetica" w:cs="Helvetica"/>
          <w:color w:val="000000" w:themeColor="text1"/>
          <w:szCs w:val="20"/>
          <w:shd w:val="clear" w:color="auto" w:fill="FFFFFF"/>
        </w:rPr>
        <w:t>Giulietti, M., Waterson, M. and Wildenbeest, M., 2014. Estimation of search frictions in the British electricity market. </w:t>
      </w:r>
      <w:r w:rsidRPr="008734AE">
        <w:rPr>
          <w:rFonts w:ascii="Helvetica" w:hAnsi="Helvetica" w:cs="Helvetica"/>
          <w:i/>
          <w:iCs/>
          <w:color w:val="000000" w:themeColor="text1"/>
          <w:szCs w:val="20"/>
          <w:shd w:val="clear" w:color="auto" w:fill="FFFFFF"/>
        </w:rPr>
        <w:t>The Journal of Industrial Economics</w:t>
      </w:r>
      <w:r w:rsidRPr="008734AE">
        <w:rPr>
          <w:rFonts w:ascii="Helvetica" w:hAnsi="Helvetica" w:cs="Helvetica"/>
          <w:color w:val="000000" w:themeColor="text1"/>
          <w:szCs w:val="20"/>
          <w:shd w:val="clear" w:color="auto" w:fill="FFFFFF"/>
        </w:rPr>
        <w:t>, </w:t>
      </w:r>
      <w:r w:rsidRPr="008734AE">
        <w:rPr>
          <w:rFonts w:ascii="Helvetica" w:hAnsi="Helvetica" w:cs="Helvetica"/>
          <w:i/>
          <w:iCs/>
          <w:color w:val="000000" w:themeColor="text1"/>
          <w:szCs w:val="20"/>
          <w:shd w:val="clear" w:color="auto" w:fill="FFFFFF"/>
        </w:rPr>
        <w:t>62</w:t>
      </w:r>
      <w:r w:rsidRPr="008734AE">
        <w:rPr>
          <w:rFonts w:ascii="Helvetica" w:hAnsi="Helvetica" w:cs="Helvetica"/>
          <w:color w:val="000000" w:themeColor="text1"/>
          <w:szCs w:val="20"/>
          <w:shd w:val="clear" w:color="auto" w:fill="FFFFFF"/>
        </w:rPr>
        <w:t>(4), pp.555-590.</w:t>
      </w:r>
    </w:p>
    <w:p w14:paraId="06D02D2D" w14:textId="77777777" w:rsidR="005C4CE9" w:rsidRPr="008734AE" w:rsidRDefault="005C4CE9" w:rsidP="00C669F7">
      <w:pPr>
        <w:spacing w:line="240" w:lineRule="auto"/>
        <w:ind w:left="284" w:right="28" w:hanging="284"/>
        <w:rPr>
          <w:rFonts w:ascii="Helvetica" w:hAnsi="Helvetica" w:cs="Helvetica"/>
          <w:color w:val="000000" w:themeColor="text1"/>
          <w:szCs w:val="20"/>
          <w:shd w:val="clear" w:color="auto" w:fill="FFFFFF"/>
        </w:rPr>
      </w:pPr>
      <w:r w:rsidRPr="008734AE">
        <w:rPr>
          <w:rFonts w:ascii="Helvetica" w:hAnsi="Helvetica" w:cs="Helvetica"/>
          <w:color w:val="000000" w:themeColor="text1"/>
          <w:szCs w:val="20"/>
          <w:shd w:val="clear" w:color="auto" w:fill="FFFFFF"/>
        </w:rPr>
        <w:t>Giulietti, M., Price, C.W. and Waterson, M., 2005. Consumer choice and competition policy: a study of UK energy markets. </w:t>
      </w:r>
      <w:r w:rsidRPr="008734AE">
        <w:rPr>
          <w:rFonts w:ascii="Helvetica" w:hAnsi="Helvetica" w:cs="Helvetica"/>
          <w:i/>
          <w:iCs/>
          <w:color w:val="000000" w:themeColor="text1"/>
          <w:szCs w:val="20"/>
          <w:shd w:val="clear" w:color="auto" w:fill="FFFFFF"/>
        </w:rPr>
        <w:t>The Economic Journal</w:t>
      </w:r>
      <w:r w:rsidRPr="008734AE">
        <w:rPr>
          <w:rFonts w:ascii="Helvetica" w:hAnsi="Helvetica" w:cs="Helvetica"/>
          <w:color w:val="000000" w:themeColor="text1"/>
          <w:szCs w:val="20"/>
          <w:shd w:val="clear" w:color="auto" w:fill="FFFFFF"/>
        </w:rPr>
        <w:t>, </w:t>
      </w:r>
      <w:r w:rsidRPr="008734AE">
        <w:rPr>
          <w:rFonts w:ascii="Helvetica" w:hAnsi="Helvetica" w:cs="Helvetica"/>
          <w:i/>
          <w:iCs/>
          <w:color w:val="000000" w:themeColor="text1"/>
          <w:szCs w:val="20"/>
          <w:shd w:val="clear" w:color="auto" w:fill="FFFFFF"/>
        </w:rPr>
        <w:t>115</w:t>
      </w:r>
      <w:r w:rsidRPr="008734AE">
        <w:rPr>
          <w:rFonts w:ascii="Helvetica" w:hAnsi="Helvetica" w:cs="Helvetica"/>
          <w:color w:val="000000" w:themeColor="text1"/>
          <w:szCs w:val="20"/>
          <w:shd w:val="clear" w:color="auto" w:fill="FFFFFF"/>
        </w:rPr>
        <w:t>(506), pp.949-968.</w:t>
      </w:r>
    </w:p>
    <w:p w14:paraId="7B61BE9B" w14:textId="77777777" w:rsidR="005C4CE9" w:rsidRPr="008734AE" w:rsidRDefault="005C4CE9" w:rsidP="00C669F7">
      <w:pPr>
        <w:spacing w:line="240" w:lineRule="auto"/>
        <w:ind w:left="284" w:right="28" w:hanging="284"/>
        <w:rPr>
          <w:rFonts w:ascii="Helvetica" w:hAnsi="Helvetica" w:cs="Helvetica"/>
          <w:color w:val="000000" w:themeColor="text1"/>
          <w:szCs w:val="20"/>
          <w:shd w:val="clear" w:color="auto" w:fill="FFFFFF"/>
        </w:rPr>
      </w:pPr>
      <w:r w:rsidRPr="008734AE">
        <w:rPr>
          <w:rFonts w:ascii="Helvetica" w:hAnsi="Helvetica" w:cs="Helvetica"/>
          <w:color w:val="000000" w:themeColor="text1"/>
          <w:szCs w:val="20"/>
          <w:shd w:val="clear" w:color="auto" w:fill="FFFFFF"/>
        </w:rPr>
        <w:t>Gray, D.M., D’Alessandro, S., Johnson, L.W. and Carter, L., 2017. Inertia in services: causes and consequences for switching. </w:t>
      </w:r>
      <w:r w:rsidRPr="008734AE">
        <w:rPr>
          <w:rFonts w:ascii="Helvetica" w:hAnsi="Helvetica" w:cs="Helvetica"/>
          <w:i/>
          <w:iCs/>
          <w:color w:val="000000" w:themeColor="text1"/>
          <w:szCs w:val="20"/>
          <w:shd w:val="clear" w:color="auto" w:fill="FFFFFF"/>
        </w:rPr>
        <w:t>Journal of Services Marketing</w:t>
      </w:r>
      <w:r w:rsidRPr="008734AE">
        <w:rPr>
          <w:rFonts w:ascii="Helvetica" w:hAnsi="Helvetica" w:cs="Helvetica"/>
          <w:color w:val="000000" w:themeColor="text1"/>
          <w:szCs w:val="20"/>
          <w:shd w:val="clear" w:color="auto" w:fill="FFFFFF"/>
        </w:rPr>
        <w:t>.</w:t>
      </w:r>
    </w:p>
    <w:p w14:paraId="6FDA4767" w14:textId="77777777" w:rsidR="005C4CE9" w:rsidRPr="008734AE" w:rsidRDefault="005C4CE9" w:rsidP="00C669F7">
      <w:pPr>
        <w:spacing w:line="240" w:lineRule="auto"/>
        <w:ind w:left="284" w:right="28" w:hanging="284"/>
        <w:rPr>
          <w:rFonts w:ascii="Helvetica" w:hAnsi="Helvetica" w:cs="Helvetica"/>
          <w:color w:val="000000" w:themeColor="text1"/>
          <w:szCs w:val="20"/>
          <w:shd w:val="clear" w:color="auto" w:fill="FFFFFF"/>
        </w:rPr>
      </w:pPr>
      <w:r w:rsidRPr="008734AE">
        <w:rPr>
          <w:rFonts w:ascii="Helvetica" w:hAnsi="Helvetica" w:cs="Helvetica"/>
          <w:color w:val="000000" w:themeColor="text1"/>
          <w:szCs w:val="20"/>
          <w:shd w:val="clear" w:color="auto" w:fill="FFFFFF"/>
        </w:rPr>
        <w:t>Hauser, J.R., Urban, G.L., Liberali, G. and Braun, M., 2009. Website morphing. </w:t>
      </w:r>
      <w:r w:rsidRPr="008734AE">
        <w:rPr>
          <w:rFonts w:ascii="Helvetica" w:hAnsi="Helvetica" w:cs="Helvetica"/>
          <w:i/>
          <w:iCs/>
          <w:color w:val="000000" w:themeColor="text1"/>
          <w:szCs w:val="20"/>
          <w:shd w:val="clear" w:color="auto" w:fill="FFFFFF"/>
        </w:rPr>
        <w:t>Marketing Science</w:t>
      </w:r>
      <w:r w:rsidRPr="008734AE">
        <w:rPr>
          <w:rFonts w:ascii="Helvetica" w:hAnsi="Helvetica" w:cs="Helvetica"/>
          <w:color w:val="000000" w:themeColor="text1"/>
          <w:szCs w:val="20"/>
          <w:shd w:val="clear" w:color="auto" w:fill="FFFFFF"/>
        </w:rPr>
        <w:t>, </w:t>
      </w:r>
      <w:r w:rsidRPr="008734AE">
        <w:rPr>
          <w:rFonts w:ascii="Helvetica" w:hAnsi="Helvetica" w:cs="Helvetica"/>
          <w:i/>
          <w:iCs/>
          <w:color w:val="000000" w:themeColor="text1"/>
          <w:szCs w:val="20"/>
          <w:shd w:val="clear" w:color="auto" w:fill="FFFFFF"/>
        </w:rPr>
        <w:t>28</w:t>
      </w:r>
      <w:r w:rsidRPr="008734AE">
        <w:rPr>
          <w:rFonts w:ascii="Helvetica" w:hAnsi="Helvetica" w:cs="Helvetica"/>
          <w:color w:val="000000" w:themeColor="text1"/>
          <w:szCs w:val="20"/>
          <w:shd w:val="clear" w:color="auto" w:fill="FFFFFF"/>
        </w:rPr>
        <w:t>(2), pp.202-223.</w:t>
      </w:r>
    </w:p>
    <w:p w14:paraId="23F22771" w14:textId="77777777" w:rsidR="005C4CE9" w:rsidRPr="008734AE" w:rsidRDefault="005C4CE9" w:rsidP="00C669F7">
      <w:pPr>
        <w:spacing w:line="240" w:lineRule="auto"/>
        <w:ind w:left="284" w:right="28" w:hanging="284"/>
        <w:rPr>
          <w:rFonts w:ascii="Helvetica" w:hAnsi="Helvetica" w:cs="Helvetica"/>
          <w:color w:val="000000" w:themeColor="text1"/>
          <w:szCs w:val="20"/>
          <w:shd w:val="clear" w:color="auto" w:fill="FFFFFF"/>
        </w:rPr>
      </w:pPr>
      <w:r w:rsidRPr="008734AE">
        <w:rPr>
          <w:rFonts w:ascii="Helvetica" w:hAnsi="Helvetica" w:cs="Helvetica"/>
          <w:color w:val="000000" w:themeColor="text1"/>
          <w:szCs w:val="20"/>
          <w:shd w:val="clear" w:color="auto" w:fill="FFFFFF"/>
        </w:rPr>
        <w:t>Hortaçsu, A., Madanizadeh, S.A. and Puller, S.L., 2017. Power to choose? An analysis of consumer inertia in the residential electricity market. </w:t>
      </w:r>
      <w:r w:rsidRPr="008734AE">
        <w:rPr>
          <w:rFonts w:ascii="Helvetica" w:hAnsi="Helvetica" w:cs="Helvetica"/>
          <w:i/>
          <w:iCs/>
          <w:color w:val="000000" w:themeColor="text1"/>
          <w:szCs w:val="20"/>
          <w:shd w:val="clear" w:color="auto" w:fill="FFFFFF"/>
        </w:rPr>
        <w:t>American Economic Journal: Economic Policy</w:t>
      </w:r>
      <w:r w:rsidRPr="008734AE">
        <w:rPr>
          <w:rFonts w:ascii="Helvetica" w:hAnsi="Helvetica" w:cs="Helvetica"/>
          <w:color w:val="000000" w:themeColor="text1"/>
          <w:szCs w:val="20"/>
          <w:shd w:val="clear" w:color="auto" w:fill="FFFFFF"/>
        </w:rPr>
        <w:t>, </w:t>
      </w:r>
      <w:r w:rsidRPr="008734AE">
        <w:rPr>
          <w:rFonts w:ascii="Helvetica" w:hAnsi="Helvetica" w:cs="Helvetica"/>
          <w:i/>
          <w:iCs/>
          <w:color w:val="000000" w:themeColor="text1"/>
          <w:szCs w:val="20"/>
          <w:shd w:val="clear" w:color="auto" w:fill="FFFFFF"/>
        </w:rPr>
        <w:t>9</w:t>
      </w:r>
      <w:r w:rsidRPr="008734AE">
        <w:rPr>
          <w:rFonts w:ascii="Helvetica" w:hAnsi="Helvetica" w:cs="Helvetica"/>
          <w:color w:val="000000" w:themeColor="text1"/>
          <w:szCs w:val="20"/>
          <w:shd w:val="clear" w:color="auto" w:fill="FFFFFF"/>
        </w:rPr>
        <w:t>(4), pp.192-226.</w:t>
      </w:r>
    </w:p>
    <w:p w14:paraId="1BDFD89E" w14:textId="77777777" w:rsidR="005C4CE9" w:rsidRPr="008734AE" w:rsidRDefault="005C4CE9" w:rsidP="00C669F7">
      <w:pPr>
        <w:spacing w:line="240" w:lineRule="auto"/>
        <w:ind w:left="284" w:right="28" w:hanging="284"/>
        <w:rPr>
          <w:rFonts w:ascii="Helvetica" w:hAnsi="Helvetica" w:cs="Helvetica"/>
          <w:color w:val="000000" w:themeColor="text1"/>
          <w:szCs w:val="20"/>
          <w:shd w:val="clear" w:color="auto" w:fill="FFFFFF"/>
        </w:rPr>
      </w:pPr>
      <w:r w:rsidRPr="008734AE">
        <w:rPr>
          <w:rFonts w:ascii="Helvetica" w:hAnsi="Helvetica" w:cs="Helvetica"/>
          <w:color w:val="000000" w:themeColor="text1"/>
          <w:szCs w:val="20"/>
          <w:shd w:val="clear" w:color="auto" w:fill="FFFFFF"/>
        </w:rPr>
        <w:t>Johnson, E.J., Shu, S.B., Dellaert, B.G., Fox, C., Goldstein, D.G., Häubl, G., Larrick, R.P., Payne, J.W., Peters, E., Schkade, D. and Wansink, B., 2012. Beyond nudges: Tools of a choice architecture. </w:t>
      </w:r>
      <w:r w:rsidRPr="008734AE">
        <w:rPr>
          <w:rFonts w:ascii="Helvetica" w:hAnsi="Helvetica" w:cs="Helvetica"/>
          <w:i/>
          <w:iCs/>
          <w:color w:val="000000" w:themeColor="text1"/>
          <w:szCs w:val="20"/>
          <w:shd w:val="clear" w:color="auto" w:fill="FFFFFF"/>
        </w:rPr>
        <w:t>Marketing Letters</w:t>
      </w:r>
      <w:r w:rsidRPr="008734AE">
        <w:rPr>
          <w:rFonts w:ascii="Helvetica" w:hAnsi="Helvetica" w:cs="Helvetica"/>
          <w:color w:val="000000" w:themeColor="text1"/>
          <w:szCs w:val="20"/>
          <w:shd w:val="clear" w:color="auto" w:fill="FFFFFF"/>
        </w:rPr>
        <w:t>, </w:t>
      </w:r>
      <w:r w:rsidRPr="008734AE">
        <w:rPr>
          <w:rFonts w:ascii="Helvetica" w:hAnsi="Helvetica" w:cs="Helvetica"/>
          <w:i/>
          <w:iCs/>
          <w:color w:val="000000" w:themeColor="text1"/>
          <w:szCs w:val="20"/>
          <w:shd w:val="clear" w:color="auto" w:fill="FFFFFF"/>
        </w:rPr>
        <w:t>23</w:t>
      </w:r>
      <w:r w:rsidRPr="008734AE">
        <w:rPr>
          <w:rFonts w:ascii="Helvetica" w:hAnsi="Helvetica" w:cs="Helvetica"/>
          <w:color w:val="000000" w:themeColor="text1"/>
          <w:szCs w:val="20"/>
          <w:shd w:val="clear" w:color="auto" w:fill="FFFFFF"/>
        </w:rPr>
        <w:t>(2), pp.487-504.</w:t>
      </w:r>
    </w:p>
    <w:p w14:paraId="7585F292" w14:textId="77777777" w:rsidR="005C4CE9" w:rsidRPr="008734AE" w:rsidRDefault="005C4CE9" w:rsidP="00C669F7">
      <w:pPr>
        <w:spacing w:line="240" w:lineRule="auto"/>
        <w:ind w:left="284" w:right="28" w:hanging="284"/>
        <w:rPr>
          <w:rFonts w:ascii="Helvetica" w:hAnsi="Helvetica" w:cs="Helvetica"/>
          <w:color w:val="000000" w:themeColor="text1"/>
          <w:szCs w:val="20"/>
          <w:shd w:val="clear" w:color="auto" w:fill="FFFFFF"/>
        </w:rPr>
      </w:pPr>
      <w:r w:rsidRPr="008734AE">
        <w:rPr>
          <w:rFonts w:ascii="Helvetica" w:hAnsi="Helvetica" w:cs="Helvetica"/>
          <w:color w:val="000000" w:themeColor="text1"/>
          <w:szCs w:val="20"/>
          <w:shd w:val="clear" w:color="auto" w:fill="FFFFFF"/>
        </w:rPr>
        <w:t>Klemperer, P., 1995. Competition when consumers have switching costs: An overview with applications to industrial organization, macroeconomics, and international trade. </w:t>
      </w:r>
      <w:r w:rsidRPr="008734AE">
        <w:rPr>
          <w:rFonts w:ascii="Helvetica" w:hAnsi="Helvetica" w:cs="Helvetica"/>
          <w:i/>
          <w:iCs/>
          <w:color w:val="000000" w:themeColor="text1"/>
          <w:szCs w:val="20"/>
          <w:shd w:val="clear" w:color="auto" w:fill="FFFFFF"/>
        </w:rPr>
        <w:t>The Review of Economic Studies</w:t>
      </w:r>
      <w:r w:rsidRPr="008734AE">
        <w:rPr>
          <w:rFonts w:ascii="Helvetica" w:hAnsi="Helvetica" w:cs="Helvetica"/>
          <w:color w:val="000000" w:themeColor="text1"/>
          <w:szCs w:val="20"/>
          <w:shd w:val="clear" w:color="auto" w:fill="FFFFFF"/>
        </w:rPr>
        <w:t>, </w:t>
      </w:r>
      <w:r w:rsidRPr="008734AE">
        <w:rPr>
          <w:rFonts w:ascii="Helvetica" w:hAnsi="Helvetica" w:cs="Helvetica"/>
          <w:i/>
          <w:iCs/>
          <w:color w:val="000000" w:themeColor="text1"/>
          <w:szCs w:val="20"/>
          <w:shd w:val="clear" w:color="auto" w:fill="FFFFFF"/>
        </w:rPr>
        <w:t>62</w:t>
      </w:r>
      <w:r w:rsidRPr="008734AE">
        <w:rPr>
          <w:rFonts w:ascii="Helvetica" w:hAnsi="Helvetica" w:cs="Helvetica"/>
          <w:color w:val="000000" w:themeColor="text1"/>
          <w:szCs w:val="20"/>
          <w:shd w:val="clear" w:color="auto" w:fill="FFFFFF"/>
        </w:rPr>
        <w:t>(4), pp.515-539.</w:t>
      </w:r>
    </w:p>
    <w:p w14:paraId="2EB7CEB1" w14:textId="77777777" w:rsidR="005C4CE9" w:rsidRPr="008734AE" w:rsidRDefault="005C4CE9" w:rsidP="00C669F7">
      <w:pPr>
        <w:spacing w:line="240" w:lineRule="auto"/>
        <w:ind w:left="284" w:right="28" w:hanging="284"/>
        <w:rPr>
          <w:rFonts w:ascii="Helvetica" w:hAnsi="Helvetica" w:cs="Helvetica"/>
          <w:color w:val="000000" w:themeColor="text1"/>
          <w:szCs w:val="20"/>
          <w:shd w:val="clear" w:color="auto" w:fill="FFFFFF"/>
        </w:rPr>
      </w:pPr>
      <w:r w:rsidRPr="008734AE">
        <w:rPr>
          <w:rFonts w:ascii="Helvetica" w:hAnsi="Helvetica" w:cs="Helvetica"/>
          <w:color w:val="000000" w:themeColor="text1"/>
        </w:rPr>
        <w:t>Kling, J. R., Mullainathan, S., Shafir, E., Vermeulen, L., &amp; Wrobel, M. V. (2011). Misprediction in choosing Medicare drug plans. Harvard University Press, Cambridge.</w:t>
      </w:r>
    </w:p>
    <w:p w14:paraId="5C811552" w14:textId="77777777" w:rsidR="005C4CE9" w:rsidRPr="008734AE" w:rsidRDefault="005C4CE9" w:rsidP="00C669F7">
      <w:pPr>
        <w:spacing w:line="240" w:lineRule="auto"/>
        <w:ind w:left="284" w:right="28" w:hanging="284"/>
        <w:rPr>
          <w:rFonts w:ascii="Helvetica" w:hAnsi="Helvetica" w:cs="Helvetica"/>
          <w:color w:val="000000" w:themeColor="text1"/>
          <w:szCs w:val="20"/>
          <w:shd w:val="clear" w:color="auto" w:fill="FFFFFF"/>
        </w:rPr>
      </w:pPr>
      <w:r w:rsidRPr="008734AE">
        <w:rPr>
          <w:rFonts w:ascii="Helvetica" w:hAnsi="Helvetica" w:cs="Helvetica"/>
          <w:color w:val="000000" w:themeColor="text1"/>
          <w:szCs w:val="20"/>
          <w:shd w:val="clear" w:color="auto" w:fill="FFFFFF"/>
        </w:rPr>
        <w:t>Lee, R. and Neale, L., 2012. Interactions and consequences of inertia and switching costs. </w:t>
      </w:r>
      <w:r w:rsidRPr="008734AE">
        <w:rPr>
          <w:rFonts w:ascii="Helvetica" w:hAnsi="Helvetica" w:cs="Helvetica"/>
          <w:i/>
          <w:iCs/>
          <w:color w:val="000000" w:themeColor="text1"/>
          <w:szCs w:val="20"/>
          <w:shd w:val="clear" w:color="auto" w:fill="FFFFFF"/>
        </w:rPr>
        <w:t>Journal of Services Marketing</w:t>
      </w:r>
      <w:r w:rsidRPr="008734AE">
        <w:rPr>
          <w:rFonts w:ascii="Helvetica" w:hAnsi="Helvetica" w:cs="Helvetica"/>
          <w:color w:val="000000" w:themeColor="text1"/>
          <w:szCs w:val="20"/>
          <w:shd w:val="clear" w:color="auto" w:fill="FFFFFF"/>
        </w:rPr>
        <w:t>, 26(5), pp.265-374.</w:t>
      </w:r>
    </w:p>
    <w:p w14:paraId="5F1BCD65" w14:textId="7B55FCA5" w:rsidR="005C4CE9" w:rsidRPr="008734AE" w:rsidRDefault="005C4CE9" w:rsidP="00C669F7">
      <w:pPr>
        <w:spacing w:line="240" w:lineRule="auto"/>
        <w:ind w:left="284" w:right="28" w:hanging="284"/>
        <w:rPr>
          <w:rFonts w:ascii="Helvetica" w:hAnsi="Helvetica" w:cs="Helvetica"/>
          <w:color w:val="000000" w:themeColor="text1"/>
          <w:szCs w:val="20"/>
          <w:shd w:val="clear" w:color="auto" w:fill="FFFFFF"/>
        </w:rPr>
      </w:pPr>
      <w:r w:rsidRPr="008734AE">
        <w:rPr>
          <w:rFonts w:ascii="Helvetica" w:hAnsi="Helvetica" w:cs="Helvetica"/>
          <w:color w:val="000000" w:themeColor="text1"/>
          <w:szCs w:val="20"/>
          <w:shd w:val="clear" w:color="auto" w:fill="FFFFFF"/>
        </w:rPr>
        <w:t xml:space="preserve">McShane, B., and Böckenholt, U. 2017. </w:t>
      </w:r>
      <w:r w:rsidR="006B4A44">
        <w:rPr>
          <w:rFonts w:ascii="Helvetica" w:hAnsi="Helvetica" w:cs="Helvetica"/>
          <w:color w:val="000000" w:themeColor="text1"/>
          <w:szCs w:val="20"/>
          <w:shd w:val="clear" w:color="auto" w:fill="FFFFFF"/>
        </w:rPr>
        <w:t>‘</w:t>
      </w:r>
      <w:r w:rsidRPr="008734AE">
        <w:rPr>
          <w:rFonts w:ascii="Helvetica" w:hAnsi="Helvetica" w:cs="Helvetica"/>
          <w:color w:val="000000" w:themeColor="text1"/>
          <w:szCs w:val="20"/>
          <w:shd w:val="clear" w:color="auto" w:fill="FFFFFF"/>
        </w:rPr>
        <w:t>Multilevel Multivariate Meta-Analysis with Application to Choice Overload.</w:t>
      </w:r>
      <w:r w:rsidR="006B4A44">
        <w:rPr>
          <w:rFonts w:ascii="Helvetica" w:hAnsi="Helvetica" w:cs="Helvetica"/>
          <w:color w:val="000000" w:themeColor="text1"/>
          <w:szCs w:val="20"/>
          <w:shd w:val="clear" w:color="auto" w:fill="FFFFFF"/>
        </w:rPr>
        <w:t>’</w:t>
      </w:r>
      <w:r w:rsidRPr="008734AE">
        <w:rPr>
          <w:rFonts w:ascii="Helvetica" w:hAnsi="Helvetica" w:cs="Helvetica"/>
          <w:color w:val="000000" w:themeColor="text1"/>
          <w:szCs w:val="20"/>
          <w:shd w:val="clear" w:color="auto" w:fill="FFFFFF"/>
        </w:rPr>
        <w:t xml:space="preserve"> </w:t>
      </w:r>
      <w:r w:rsidRPr="008734AE">
        <w:rPr>
          <w:rFonts w:ascii="Helvetica" w:hAnsi="Helvetica" w:cs="Helvetica"/>
          <w:i/>
          <w:color w:val="000000" w:themeColor="text1"/>
          <w:szCs w:val="20"/>
          <w:shd w:val="clear" w:color="auto" w:fill="FFFFFF"/>
        </w:rPr>
        <w:t>Psychometrika</w:t>
      </w:r>
    </w:p>
    <w:p w14:paraId="48A37707" w14:textId="77777777" w:rsidR="005C4CE9" w:rsidRPr="008734AE" w:rsidRDefault="005C4CE9" w:rsidP="00C669F7">
      <w:pPr>
        <w:spacing w:line="240" w:lineRule="auto"/>
        <w:ind w:left="284" w:right="28" w:hanging="284"/>
        <w:rPr>
          <w:rFonts w:ascii="Helvetica" w:hAnsi="Helvetica" w:cs="Helvetica"/>
          <w:color w:val="000000" w:themeColor="text1"/>
          <w:szCs w:val="20"/>
          <w:shd w:val="clear" w:color="auto" w:fill="FFFFFF"/>
        </w:rPr>
      </w:pPr>
      <w:r w:rsidRPr="008734AE">
        <w:rPr>
          <w:rFonts w:ascii="Helvetica" w:hAnsi="Helvetica" w:cs="Helvetica"/>
          <w:color w:val="000000" w:themeColor="text1"/>
          <w:szCs w:val="20"/>
          <w:shd w:val="clear" w:color="auto" w:fill="FFFFFF"/>
        </w:rPr>
        <w:lastRenderedPageBreak/>
        <w:t>Mols, F., Haslam, S.A., Jetten, J. and Steffens, N.K., 2015. Why a nudge is not enough: A social identity critique of governance by stealth. </w:t>
      </w:r>
      <w:r w:rsidRPr="008734AE">
        <w:rPr>
          <w:rFonts w:ascii="Helvetica" w:hAnsi="Helvetica" w:cs="Helvetica"/>
          <w:i/>
          <w:iCs/>
          <w:color w:val="000000" w:themeColor="text1"/>
          <w:szCs w:val="20"/>
          <w:shd w:val="clear" w:color="auto" w:fill="FFFFFF"/>
        </w:rPr>
        <w:t>European Journal of Political Research</w:t>
      </w:r>
      <w:r w:rsidRPr="008734AE">
        <w:rPr>
          <w:rFonts w:ascii="Helvetica" w:hAnsi="Helvetica" w:cs="Helvetica"/>
          <w:color w:val="000000" w:themeColor="text1"/>
          <w:szCs w:val="20"/>
          <w:shd w:val="clear" w:color="auto" w:fill="FFFFFF"/>
        </w:rPr>
        <w:t>, </w:t>
      </w:r>
      <w:r w:rsidRPr="008734AE">
        <w:rPr>
          <w:rFonts w:ascii="Helvetica" w:hAnsi="Helvetica" w:cs="Helvetica"/>
          <w:i/>
          <w:iCs/>
          <w:color w:val="000000" w:themeColor="text1"/>
          <w:szCs w:val="20"/>
          <w:shd w:val="clear" w:color="auto" w:fill="FFFFFF"/>
        </w:rPr>
        <w:t>54</w:t>
      </w:r>
      <w:r w:rsidRPr="008734AE">
        <w:rPr>
          <w:rFonts w:ascii="Helvetica" w:hAnsi="Helvetica" w:cs="Helvetica"/>
          <w:color w:val="000000" w:themeColor="text1"/>
          <w:szCs w:val="20"/>
          <w:shd w:val="clear" w:color="auto" w:fill="FFFFFF"/>
        </w:rPr>
        <w:t>(1), pp.81-98.</w:t>
      </w:r>
    </w:p>
    <w:p w14:paraId="421A317E" w14:textId="77777777" w:rsidR="005C4CE9" w:rsidRPr="008734AE" w:rsidRDefault="005C4CE9" w:rsidP="00C669F7">
      <w:pPr>
        <w:spacing w:line="240" w:lineRule="auto"/>
        <w:ind w:left="284" w:right="28" w:hanging="284"/>
        <w:rPr>
          <w:rFonts w:ascii="Helvetica" w:hAnsi="Helvetica" w:cs="Helvetica"/>
          <w:color w:val="000000" w:themeColor="text1"/>
          <w:szCs w:val="20"/>
          <w:shd w:val="clear" w:color="auto" w:fill="FFFFFF"/>
        </w:rPr>
      </w:pPr>
      <w:r w:rsidRPr="008734AE">
        <w:rPr>
          <w:rFonts w:ascii="Helvetica" w:hAnsi="Helvetica" w:cs="Helvetica"/>
          <w:color w:val="000000" w:themeColor="text1"/>
          <w:szCs w:val="20"/>
          <w:shd w:val="clear" w:color="auto" w:fill="FFFFFF"/>
        </w:rPr>
        <w:t xml:space="preserve">Mountain, B., 2019. New regulations expose energy price gouging through ‘free’ comparison sites. </w:t>
      </w:r>
      <w:r w:rsidRPr="008734AE">
        <w:rPr>
          <w:rFonts w:ascii="Helvetica" w:hAnsi="Helvetica" w:cs="Helvetica"/>
          <w:i/>
          <w:color w:val="000000" w:themeColor="text1"/>
          <w:szCs w:val="20"/>
          <w:shd w:val="clear" w:color="auto" w:fill="FFFFFF"/>
        </w:rPr>
        <w:t>The Conversation</w:t>
      </w:r>
      <w:r w:rsidRPr="008734AE">
        <w:rPr>
          <w:rFonts w:ascii="Helvetica" w:hAnsi="Helvetica" w:cs="Helvetica"/>
          <w:color w:val="000000" w:themeColor="text1"/>
          <w:szCs w:val="20"/>
          <w:shd w:val="clear" w:color="auto" w:fill="FFFFFF"/>
        </w:rPr>
        <w:t>, 9 January</w:t>
      </w:r>
    </w:p>
    <w:p w14:paraId="01E98279" w14:textId="77777777" w:rsidR="005C4CE9" w:rsidRPr="008734AE" w:rsidRDefault="005C4CE9" w:rsidP="00C669F7">
      <w:pPr>
        <w:spacing w:line="240" w:lineRule="auto"/>
        <w:ind w:left="284" w:right="28" w:hanging="284"/>
        <w:rPr>
          <w:rFonts w:ascii="Helvetica" w:hAnsi="Helvetica" w:cs="Helvetica"/>
          <w:i/>
          <w:color w:val="000000" w:themeColor="text1"/>
          <w:szCs w:val="20"/>
          <w:shd w:val="clear" w:color="auto" w:fill="FFFFFF"/>
        </w:rPr>
      </w:pPr>
      <w:r w:rsidRPr="008734AE">
        <w:rPr>
          <w:rFonts w:ascii="Helvetica" w:hAnsi="Helvetica" w:cs="Helvetica"/>
          <w:color w:val="000000" w:themeColor="text1"/>
          <w:szCs w:val="20"/>
          <w:shd w:val="clear" w:color="auto" w:fill="FFFFFF"/>
        </w:rPr>
        <w:t xml:space="preserve">Murakami, R., 2021. Consumers’ Switching Behavior and Bundling: An Empirical Study of Japanese Energy Retail Markets. </w:t>
      </w:r>
      <w:r w:rsidRPr="008734AE">
        <w:rPr>
          <w:rFonts w:ascii="Helvetica" w:hAnsi="Helvetica" w:cs="Helvetica"/>
          <w:i/>
          <w:color w:val="000000" w:themeColor="text1"/>
          <w:szCs w:val="20"/>
          <w:shd w:val="clear" w:color="auto" w:fill="FFFFFF"/>
        </w:rPr>
        <w:t>Kindai Working Papers in Economics No. E-46</w:t>
      </w:r>
    </w:p>
    <w:p w14:paraId="763F0B4F" w14:textId="77777777" w:rsidR="005C4CE9" w:rsidRPr="008734AE" w:rsidRDefault="005C4CE9" w:rsidP="00C669F7">
      <w:pPr>
        <w:spacing w:line="240" w:lineRule="auto"/>
        <w:ind w:left="284" w:right="28" w:hanging="284"/>
        <w:rPr>
          <w:rFonts w:ascii="Helvetica" w:hAnsi="Helvetica" w:cs="Helvetica"/>
          <w:color w:val="000000" w:themeColor="text1"/>
          <w:szCs w:val="20"/>
          <w:shd w:val="clear" w:color="auto" w:fill="FFFFFF"/>
        </w:rPr>
      </w:pPr>
      <w:r w:rsidRPr="008734AE">
        <w:rPr>
          <w:rFonts w:ascii="Helvetica" w:hAnsi="Helvetica" w:cs="Helvetica"/>
          <w:color w:val="000000" w:themeColor="text1"/>
          <w:szCs w:val="20"/>
          <w:shd w:val="clear" w:color="auto" w:fill="FFFFFF"/>
        </w:rPr>
        <w:t>Ndebele, T., Marsh, D. and Scarpa, R., 2019. Consumer switching in retail electricity markets: Is price all that matters?. </w:t>
      </w:r>
      <w:r w:rsidRPr="008734AE">
        <w:rPr>
          <w:rFonts w:ascii="Helvetica" w:hAnsi="Helvetica" w:cs="Helvetica"/>
          <w:i/>
          <w:iCs/>
          <w:color w:val="000000" w:themeColor="text1"/>
          <w:szCs w:val="20"/>
          <w:shd w:val="clear" w:color="auto" w:fill="FFFFFF"/>
        </w:rPr>
        <w:t>Energy Economics</w:t>
      </w:r>
      <w:r w:rsidRPr="008734AE">
        <w:rPr>
          <w:rFonts w:ascii="Helvetica" w:hAnsi="Helvetica" w:cs="Helvetica"/>
          <w:color w:val="000000" w:themeColor="text1"/>
          <w:szCs w:val="20"/>
          <w:shd w:val="clear" w:color="auto" w:fill="FFFFFF"/>
        </w:rPr>
        <w:t>, </w:t>
      </w:r>
      <w:r w:rsidRPr="008734AE">
        <w:rPr>
          <w:rFonts w:ascii="Helvetica" w:hAnsi="Helvetica" w:cs="Helvetica"/>
          <w:i/>
          <w:iCs/>
          <w:color w:val="000000" w:themeColor="text1"/>
          <w:szCs w:val="20"/>
          <w:shd w:val="clear" w:color="auto" w:fill="FFFFFF"/>
        </w:rPr>
        <w:t>83</w:t>
      </w:r>
      <w:r w:rsidRPr="008734AE">
        <w:rPr>
          <w:rFonts w:ascii="Helvetica" w:hAnsi="Helvetica" w:cs="Helvetica"/>
          <w:color w:val="000000" w:themeColor="text1"/>
          <w:szCs w:val="20"/>
          <w:shd w:val="clear" w:color="auto" w:fill="FFFFFF"/>
        </w:rPr>
        <w:t>, pp.88-103.</w:t>
      </w:r>
    </w:p>
    <w:p w14:paraId="6BA1CE1C" w14:textId="43FDF592" w:rsidR="005C4CE9" w:rsidRPr="008734AE" w:rsidRDefault="005C4CE9" w:rsidP="00C669F7">
      <w:pPr>
        <w:spacing w:line="240" w:lineRule="auto"/>
        <w:ind w:left="284" w:right="28" w:hanging="284"/>
        <w:rPr>
          <w:rFonts w:ascii="Helvetica" w:hAnsi="Helvetica" w:cs="Helvetica"/>
          <w:color w:val="000000" w:themeColor="text1"/>
          <w:szCs w:val="20"/>
          <w:shd w:val="clear" w:color="auto" w:fill="FFFFFF"/>
        </w:rPr>
      </w:pPr>
      <w:r w:rsidRPr="008734AE">
        <w:rPr>
          <w:rFonts w:ascii="Helvetica" w:hAnsi="Helvetica" w:cs="Helvetica"/>
          <w:color w:val="000000" w:themeColor="text1"/>
          <w:szCs w:val="20"/>
          <w:shd w:val="clear" w:color="auto" w:fill="FFFFFF"/>
        </w:rPr>
        <w:t>Ofgem 2020. Prompting sustained engagement in energy tariff switching: Learnings from following up customers from Ofgem's Collective Switch trials</w:t>
      </w:r>
    </w:p>
    <w:p w14:paraId="396CF50B" w14:textId="77777777" w:rsidR="005C4CE9" w:rsidRPr="008734AE" w:rsidRDefault="005C4CE9" w:rsidP="00C669F7">
      <w:pPr>
        <w:spacing w:line="240" w:lineRule="auto"/>
        <w:ind w:left="284" w:right="28" w:hanging="284"/>
        <w:rPr>
          <w:rFonts w:ascii="Helvetica" w:hAnsi="Helvetica" w:cs="Helvetica"/>
          <w:color w:val="000000" w:themeColor="text1"/>
          <w:szCs w:val="20"/>
          <w:shd w:val="clear" w:color="auto" w:fill="FFFFFF"/>
        </w:rPr>
      </w:pPr>
      <w:r w:rsidRPr="008734AE">
        <w:rPr>
          <w:rFonts w:ascii="Helvetica" w:hAnsi="Helvetica" w:cs="Helvetica"/>
          <w:color w:val="000000" w:themeColor="text1"/>
          <w:szCs w:val="20"/>
          <w:shd w:val="clear" w:color="auto" w:fill="FFFFFF"/>
        </w:rPr>
        <w:t>Ofgem 2019. Ofgem’s collective switch trials. https://www.ofgem.gov.uk/publications/ofgems-collective-switch-trials</w:t>
      </w:r>
    </w:p>
    <w:p w14:paraId="24017DFD" w14:textId="77777777" w:rsidR="005C4CE9" w:rsidRPr="008734AE" w:rsidRDefault="005C4CE9" w:rsidP="00C669F7">
      <w:pPr>
        <w:spacing w:line="240" w:lineRule="auto"/>
        <w:ind w:left="284" w:right="28" w:hanging="284"/>
        <w:rPr>
          <w:rFonts w:ascii="Helvetica" w:hAnsi="Helvetica" w:cs="Helvetica"/>
          <w:color w:val="000000" w:themeColor="text1"/>
          <w:szCs w:val="20"/>
          <w:shd w:val="clear" w:color="auto" w:fill="FFFFFF"/>
        </w:rPr>
      </w:pPr>
      <w:r w:rsidRPr="008734AE">
        <w:rPr>
          <w:rFonts w:ascii="Helvetica" w:hAnsi="Helvetica" w:cs="Helvetica"/>
          <w:color w:val="000000" w:themeColor="text1"/>
          <w:szCs w:val="20"/>
          <w:shd w:val="clear" w:color="auto" w:fill="FFFFFF"/>
        </w:rPr>
        <w:t>Orquin, J.L. and Loose, S.M., 2013. Attention and choice: A review on eye movements in decision making. </w:t>
      </w:r>
      <w:r w:rsidRPr="008734AE">
        <w:rPr>
          <w:rFonts w:ascii="Helvetica" w:hAnsi="Helvetica" w:cs="Helvetica"/>
          <w:i/>
          <w:iCs/>
          <w:color w:val="000000" w:themeColor="text1"/>
          <w:szCs w:val="20"/>
          <w:shd w:val="clear" w:color="auto" w:fill="FFFFFF"/>
        </w:rPr>
        <w:t>Acta Psychologica</w:t>
      </w:r>
      <w:r w:rsidRPr="008734AE">
        <w:rPr>
          <w:rFonts w:ascii="Helvetica" w:hAnsi="Helvetica" w:cs="Helvetica"/>
          <w:color w:val="000000" w:themeColor="text1"/>
          <w:szCs w:val="20"/>
          <w:shd w:val="clear" w:color="auto" w:fill="FFFFFF"/>
        </w:rPr>
        <w:t>, </w:t>
      </w:r>
      <w:r w:rsidRPr="008734AE">
        <w:rPr>
          <w:rFonts w:ascii="Helvetica" w:hAnsi="Helvetica" w:cs="Helvetica"/>
          <w:i/>
          <w:iCs/>
          <w:color w:val="000000" w:themeColor="text1"/>
          <w:szCs w:val="20"/>
          <w:shd w:val="clear" w:color="auto" w:fill="FFFFFF"/>
        </w:rPr>
        <w:t>144</w:t>
      </w:r>
      <w:r w:rsidRPr="008734AE">
        <w:rPr>
          <w:rFonts w:ascii="Helvetica" w:hAnsi="Helvetica" w:cs="Helvetica"/>
          <w:color w:val="000000" w:themeColor="text1"/>
          <w:szCs w:val="20"/>
          <w:shd w:val="clear" w:color="auto" w:fill="FFFFFF"/>
        </w:rPr>
        <w:t>(1), pp.190-206.</w:t>
      </w:r>
    </w:p>
    <w:p w14:paraId="684B2854" w14:textId="77777777" w:rsidR="005C4CE9" w:rsidRPr="008734AE" w:rsidRDefault="005C4CE9" w:rsidP="00C669F7">
      <w:pPr>
        <w:spacing w:line="240" w:lineRule="auto"/>
        <w:ind w:left="284" w:right="28" w:hanging="284"/>
        <w:rPr>
          <w:rFonts w:ascii="Helvetica" w:hAnsi="Helvetica" w:cs="Helvetica"/>
          <w:i/>
          <w:color w:val="000000" w:themeColor="text1"/>
          <w:szCs w:val="20"/>
          <w:shd w:val="clear" w:color="auto" w:fill="FFFFFF"/>
        </w:rPr>
      </w:pPr>
      <w:r w:rsidRPr="008734AE">
        <w:rPr>
          <w:rFonts w:ascii="Helvetica" w:hAnsi="Helvetica" w:cs="Helvetica"/>
          <w:color w:val="000000" w:themeColor="text1"/>
          <w:szCs w:val="20"/>
          <w:shd w:val="clear" w:color="auto" w:fill="FFFFFF"/>
        </w:rPr>
        <w:t>Pomp, M., Shestalova, V. and Rangel, L., 2005. </w:t>
      </w:r>
      <w:r w:rsidRPr="008734AE">
        <w:rPr>
          <w:rFonts w:ascii="Helvetica" w:hAnsi="Helvetica" w:cs="Helvetica"/>
          <w:iCs/>
          <w:color w:val="000000" w:themeColor="text1"/>
          <w:szCs w:val="20"/>
          <w:shd w:val="clear" w:color="auto" w:fill="FFFFFF"/>
        </w:rPr>
        <w:t>Switch on the competition; causes, consequences and policy implications of consumer switching costs</w:t>
      </w:r>
      <w:r w:rsidRPr="008734AE">
        <w:rPr>
          <w:rFonts w:ascii="Helvetica" w:hAnsi="Helvetica" w:cs="Helvetica"/>
          <w:color w:val="000000" w:themeColor="text1"/>
          <w:szCs w:val="20"/>
          <w:shd w:val="clear" w:color="auto" w:fill="FFFFFF"/>
        </w:rPr>
        <w:t xml:space="preserve"> (No. 97). </w:t>
      </w:r>
      <w:r w:rsidRPr="008734AE">
        <w:rPr>
          <w:rFonts w:ascii="Helvetica" w:hAnsi="Helvetica" w:cs="Helvetica"/>
          <w:i/>
          <w:color w:val="000000" w:themeColor="text1"/>
          <w:szCs w:val="20"/>
          <w:shd w:val="clear" w:color="auto" w:fill="FFFFFF"/>
        </w:rPr>
        <w:t>CPB Netherlands Bureau for Economic Policy Analysis.</w:t>
      </w:r>
    </w:p>
    <w:p w14:paraId="2656FB0E" w14:textId="77777777" w:rsidR="005C4CE9" w:rsidRPr="008734AE" w:rsidRDefault="005C4CE9" w:rsidP="00C669F7">
      <w:pPr>
        <w:spacing w:line="240" w:lineRule="auto"/>
        <w:ind w:left="284" w:right="28" w:hanging="284"/>
        <w:rPr>
          <w:rFonts w:ascii="Helvetica" w:hAnsi="Helvetica" w:cs="Helvetica"/>
          <w:color w:val="000000" w:themeColor="text1"/>
          <w:szCs w:val="20"/>
          <w:shd w:val="clear" w:color="auto" w:fill="FFFFFF"/>
        </w:rPr>
      </w:pPr>
      <w:r w:rsidRPr="008734AE">
        <w:rPr>
          <w:rFonts w:ascii="Helvetica" w:hAnsi="Helvetica" w:cs="Helvetica"/>
          <w:color w:val="000000" w:themeColor="text1"/>
          <w:szCs w:val="20"/>
          <w:shd w:val="clear" w:color="auto" w:fill="FFFFFF"/>
        </w:rPr>
        <w:t>Rutter, R., Chalvatzis, K.J., Roper, S. and Lettice, F., 2018. Branding instead of product innovation: a study on the brand personalities of the UK's electricity market. </w:t>
      </w:r>
      <w:r w:rsidRPr="008734AE">
        <w:rPr>
          <w:rFonts w:ascii="Helvetica" w:hAnsi="Helvetica" w:cs="Helvetica"/>
          <w:i/>
          <w:iCs/>
          <w:color w:val="000000" w:themeColor="text1"/>
          <w:szCs w:val="20"/>
          <w:shd w:val="clear" w:color="auto" w:fill="FFFFFF"/>
        </w:rPr>
        <w:t>European Management Review</w:t>
      </w:r>
      <w:r w:rsidRPr="008734AE">
        <w:rPr>
          <w:rFonts w:ascii="Helvetica" w:hAnsi="Helvetica" w:cs="Helvetica"/>
          <w:color w:val="000000" w:themeColor="text1"/>
          <w:szCs w:val="20"/>
          <w:shd w:val="clear" w:color="auto" w:fill="FFFFFF"/>
        </w:rPr>
        <w:t>, </w:t>
      </w:r>
      <w:r w:rsidRPr="008734AE">
        <w:rPr>
          <w:rFonts w:ascii="Helvetica" w:hAnsi="Helvetica" w:cs="Helvetica"/>
          <w:i/>
          <w:iCs/>
          <w:color w:val="000000" w:themeColor="text1"/>
          <w:szCs w:val="20"/>
          <w:shd w:val="clear" w:color="auto" w:fill="FFFFFF"/>
        </w:rPr>
        <w:t>15</w:t>
      </w:r>
      <w:r w:rsidRPr="008734AE">
        <w:rPr>
          <w:rFonts w:ascii="Helvetica" w:hAnsi="Helvetica" w:cs="Helvetica"/>
          <w:color w:val="000000" w:themeColor="text1"/>
          <w:szCs w:val="20"/>
          <w:shd w:val="clear" w:color="auto" w:fill="FFFFFF"/>
        </w:rPr>
        <w:t>(2), pp.255-272.</w:t>
      </w:r>
    </w:p>
    <w:p w14:paraId="71EA0812" w14:textId="77777777" w:rsidR="005C4CE9" w:rsidRPr="008734AE" w:rsidRDefault="005C4CE9" w:rsidP="00C669F7">
      <w:pPr>
        <w:spacing w:line="240" w:lineRule="auto"/>
        <w:ind w:left="284" w:right="28" w:hanging="284"/>
        <w:rPr>
          <w:rFonts w:ascii="Helvetica" w:hAnsi="Helvetica" w:cs="Helvetica"/>
          <w:color w:val="000000" w:themeColor="text1"/>
          <w:szCs w:val="20"/>
          <w:shd w:val="clear" w:color="auto" w:fill="FFFFFF"/>
        </w:rPr>
      </w:pPr>
      <w:r w:rsidRPr="008734AE">
        <w:rPr>
          <w:rFonts w:ascii="Helvetica" w:hAnsi="Helvetica" w:cs="Helvetica"/>
          <w:color w:val="000000" w:themeColor="text1"/>
          <w:szCs w:val="20"/>
          <w:shd w:val="clear" w:color="auto" w:fill="FFFFFF"/>
        </w:rPr>
        <w:t xml:space="preserve">Salies, E., 2005. A measure of switching costs in the GB electricity retail market. </w:t>
      </w:r>
      <w:r w:rsidRPr="008734AE">
        <w:rPr>
          <w:rFonts w:ascii="Helvetica" w:hAnsi="Helvetica" w:cs="Helvetica"/>
          <w:i/>
          <w:color w:val="000000" w:themeColor="text1"/>
          <w:szCs w:val="20"/>
          <w:shd w:val="clear" w:color="auto" w:fill="FFFFFF"/>
        </w:rPr>
        <w:t>MPRA Paper No. 28255.</w:t>
      </w:r>
    </w:p>
    <w:p w14:paraId="3A449F63" w14:textId="77777777" w:rsidR="005C4CE9" w:rsidRPr="008734AE" w:rsidRDefault="005C4CE9" w:rsidP="00C669F7">
      <w:pPr>
        <w:spacing w:line="240" w:lineRule="auto"/>
        <w:ind w:left="284" w:right="28" w:hanging="284"/>
        <w:rPr>
          <w:rFonts w:ascii="Helvetica" w:hAnsi="Helvetica" w:cs="Helvetica"/>
          <w:color w:val="000000" w:themeColor="text1"/>
          <w:szCs w:val="20"/>
          <w:shd w:val="clear" w:color="auto" w:fill="FFFFFF"/>
        </w:rPr>
      </w:pPr>
      <w:r w:rsidRPr="008734AE">
        <w:rPr>
          <w:rFonts w:ascii="Helvetica" w:hAnsi="Helvetica" w:cs="Helvetica"/>
          <w:color w:val="000000" w:themeColor="text1"/>
          <w:szCs w:val="20"/>
          <w:shd w:val="clear" w:color="auto" w:fill="FFFFFF"/>
        </w:rPr>
        <w:t>Samuelson, W. and Zeckhauser, R., 1988. Status quo bias in decision making. </w:t>
      </w:r>
      <w:r w:rsidRPr="008734AE">
        <w:rPr>
          <w:rFonts w:ascii="Helvetica" w:hAnsi="Helvetica" w:cs="Helvetica"/>
          <w:i/>
          <w:iCs/>
          <w:color w:val="000000" w:themeColor="text1"/>
          <w:szCs w:val="20"/>
          <w:shd w:val="clear" w:color="auto" w:fill="FFFFFF"/>
        </w:rPr>
        <w:t>Journal of Risk and Uncertainty</w:t>
      </w:r>
      <w:r w:rsidRPr="008734AE">
        <w:rPr>
          <w:rFonts w:ascii="Helvetica" w:hAnsi="Helvetica" w:cs="Helvetica"/>
          <w:color w:val="000000" w:themeColor="text1"/>
          <w:szCs w:val="20"/>
          <w:shd w:val="clear" w:color="auto" w:fill="FFFFFF"/>
        </w:rPr>
        <w:t>, </w:t>
      </w:r>
      <w:r w:rsidRPr="008734AE">
        <w:rPr>
          <w:rFonts w:ascii="Helvetica" w:hAnsi="Helvetica" w:cs="Helvetica"/>
          <w:i/>
          <w:iCs/>
          <w:color w:val="000000" w:themeColor="text1"/>
          <w:szCs w:val="20"/>
          <w:shd w:val="clear" w:color="auto" w:fill="FFFFFF"/>
        </w:rPr>
        <w:t>1</w:t>
      </w:r>
      <w:r w:rsidRPr="008734AE">
        <w:rPr>
          <w:rFonts w:ascii="Helvetica" w:hAnsi="Helvetica" w:cs="Helvetica"/>
          <w:color w:val="000000" w:themeColor="text1"/>
          <w:szCs w:val="20"/>
          <w:shd w:val="clear" w:color="auto" w:fill="FFFFFF"/>
        </w:rPr>
        <w:t>(1), pp.7-59.</w:t>
      </w:r>
    </w:p>
    <w:p w14:paraId="75A374C0" w14:textId="77777777" w:rsidR="005C4CE9" w:rsidRPr="008734AE" w:rsidRDefault="005C4CE9" w:rsidP="00C669F7">
      <w:pPr>
        <w:spacing w:line="240" w:lineRule="auto"/>
        <w:ind w:left="284" w:right="28" w:hanging="284"/>
        <w:rPr>
          <w:rFonts w:ascii="Helvetica" w:hAnsi="Helvetica" w:cs="Helvetica"/>
          <w:color w:val="000000" w:themeColor="text1"/>
          <w:szCs w:val="20"/>
          <w:shd w:val="clear" w:color="auto" w:fill="FFFFFF"/>
        </w:rPr>
      </w:pPr>
      <w:r w:rsidRPr="008734AE">
        <w:rPr>
          <w:rFonts w:ascii="Helvetica" w:hAnsi="Helvetica" w:cs="Helvetica"/>
          <w:color w:val="000000" w:themeColor="text1"/>
          <w:szCs w:val="20"/>
          <w:shd w:val="clear" w:color="auto" w:fill="FFFFFF"/>
        </w:rPr>
        <w:t>Scheibehenne, B., Greifeneder, R. and Todd, P.M., 2010. Can there ever be too many options? A meta-analytic review of choice overload. </w:t>
      </w:r>
      <w:r w:rsidRPr="008734AE">
        <w:rPr>
          <w:rFonts w:ascii="Helvetica" w:hAnsi="Helvetica" w:cs="Helvetica"/>
          <w:i/>
          <w:iCs/>
          <w:color w:val="000000" w:themeColor="text1"/>
          <w:szCs w:val="20"/>
          <w:shd w:val="clear" w:color="auto" w:fill="FFFFFF"/>
        </w:rPr>
        <w:t>Journal of Consumer Research</w:t>
      </w:r>
      <w:r w:rsidRPr="008734AE">
        <w:rPr>
          <w:rFonts w:ascii="Helvetica" w:hAnsi="Helvetica" w:cs="Helvetica"/>
          <w:color w:val="000000" w:themeColor="text1"/>
          <w:szCs w:val="20"/>
          <w:shd w:val="clear" w:color="auto" w:fill="FFFFFF"/>
        </w:rPr>
        <w:t>, </w:t>
      </w:r>
      <w:r w:rsidRPr="008734AE">
        <w:rPr>
          <w:rFonts w:ascii="Helvetica" w:hAnsi="Helvetica" w:cs="Helvetica"/>
          <w:i/>
          <w:iCs/>
          <w:color w:val="000000" w:themeColor="text1"/>
          <w:szCs w:val="20"/>
          <w:shd w:val="clear" w:color="auto" w:fill="FFFFFF"/>
        </w:rPr>
        <w:t>37</w:t>
      </w:r>
      <w:r w:rsidRPr="008734AE">
        <w:rPr>
          <w:rFonts w:ascii="Helvetica" w:hAnsi="Helvetica" w:cs="Helvetica"/>
          <w:color w:val="000000" w:themeColor="text1"/>
          <w:szCs w:val="20"/>
          <w:shd w:val="clear" w:color="auto" w:fill="FFFFFF"/>
        </w:rPr>
        <w:t>(3), pp.409-425.</w:t>
      </w:r>
    </w:p>
    <w:p w14:paraId="1AC2D726" w14:textId="77777777" w:rsidR="005C4CE9" w:rsidRPr="008734AE" w:rsidRDefault="005C4CE9" w:rsidP="00C669F7">
      <w:pPr>
        <w:spacing w:line="240" w:lineRule="auto"/>
        <w:ind w:left="284" w:right="28" w:hanging="284"/>
        <w:rPr>
          <w:rFonts w:asciiTheme="majorHAnsi" w:hAnsiTheme="majorHAnsi" w:cstheme="majorHAnsi"/>
          <w:color w:val="000000" w:themeColor="text1"/>
        </w:rPr>
      </w:pPr>
      <w:r w:rsidRPr="008734AE">
        <w:rPr>
          <w:rFonts w:asciiTheme="majorHAnsi" w:hAnsiTheme="majorHAnsi" w:cstheme="majorHAnsi"/>
          <w:color w:val="000000" w:themeColor="text1"/>
          <w:szCs w:val="20"/>
          <w:shd w:val="clear" w:color="auto" w:fill="FFFFFF"/>
        </w:rPr>
        <w:t>Shi, S.W., Wedel, M. and Pieters, F.G.M., 2013. Information acquisition during online decision making: A model-based exploration using eye-tracking data. </w:t>
      </w:r>
      <w:r w:rsidRPr="008734AE">
        <w:rPr>
          <w:rFonts w:asciiTheme="majorHAnsi" w:hAnsiTheme="majorHAnsi" w:cstheme="majorHAnsi"/>
          <w:i/>
          <w:iCs/>
          <w:color w:val="000000" w:themeColor="text1"/>
          <w:szCs w:val="20"/>
          <w:shd w:val="clear" w:color="auto" w:fill="FFFFFF"/>
        </w:rPr>
        <w:t>Management Science</w:t>
      </w:r>
      <w:r w:rsidRPr="008734AE">
        <w:rPr>
          <w:rFonts w:asciiTheme="majorHAnsi" w:hAnsiTheme="majorHAnsi" w:cstheme="majorHAnsi"/>
          <w:color w:val="000000" w:themeColor="text1"/>
          <w:szCs w:val="20"/>
          <w:shd w:val="clear" w:color="auto" w:fill="FFFFFF"/>
        </w:rPr>
        <w:t>, </w:t>
      </w:r>
      <w:r w:rsidRPr="008734AE">
        <w:rPr>
          <w:rFonts w:asciiTheme="majorHAnsi" w:hAnsiTheme="majorHAnsi" w:cstheme="majorHAnsi"/>
          <w:i/>
          <w:iCs/>
          <w:color w:val="000000" w:themeColor="text1"/>
          <w:szCs w:val="20"/>
          <w:shd w:val="clear" w:color="auto" w:fill="FFFFFF"/>
        </w:rPr>
        <w:t>59</w:t>
      </w:r>
      <w:r w:rsidRPr="008734AE">
        <w:rPr>
          <w:rFonts w:asciiTheme="majorHAnsi" w:hAnsiTheme="majorHAnsi" w:cstheme="majorHAnsi"/>
          <w:color w:val="000000" w:themeColor="text1"/>
          <w:szCs w:val="20"/>
          <w:shd w:val="clear" w:color="auto" w:fill="FFFFFF"/>
        </w:rPr>
        <w:t>(5), pp.1009-1026.</w:t>
      </w:r>
    </w:p>
    <w:p w14:paraId="3FC487C6" w14:textId="77777777" w:rsidR="005C4CE9" w:rsidRPr="008734AE" w:rsidRDefault="005C4CE9" w:rsidP="00C669F7">
      <w:pPr>
        <w:spacing w:line="240" w:lineRule="auto"/>
        <w:ind w:left="284" w:right="28" w:hanging="284"/>
        <w:rPr>
          <w:rFonts w:ascii="Helvetica" w:hAnsi="Helvetica" w:cs="Helvetica"/>
          <w:color w:val="000000" w:themeColor="text1"/>
          <w:szCs w:val="20"/>
          <w:shd w:val="clear" w:color="auto" w:fill="FFFFFF"/>
        </w:rPr>
      </w:pPr>
      <w:r w:rsidRPr="008734AE">
        <w:rPr>
          <w:rFonts w:ascii="Helvetica" w:hAnsi="Helvetica" w:cs="Helvetica"/>
          <w:color w:val="000000" w:themeColor="text1"/>
          <w:szCs w:val="20"/>
          <w:shd w:val="clear" w:color="auto" w:fill="FFFFFF"/>
        </w:rPr>
        <w:t>Shin, K.J. and Managi, S., 2017. Liberalization of a retail electricity market: Consumer satisfaction and household switching behavior in Japan. </w:t>
      </w:r>
      <w:r w:rsidRPr="008734AE">
        <w:rPr>
          <w:rFonts w:ascii="Helvetica" w:hAnsi="Helvetica" w:cs="Helvetica"/>
          <w:i/>
          <w:iCs/>
          <w:color w:val="000000" w:themeColor="text1"/>
          <w:szCs w:val="20"/>
          <w:shd w:val="clear" w:color="auto" w:fill="FFFFFF"/>
        </w:rPr>
        <w:t>Energy Policy</w:t>
      </w:r>
      <w:r w:rsidRPr="008734AE">
        <w:rPr>
          <w:rFonts w:ascii="Helvetica" w:hAnsi="Helvetica" w:cs="Helvetica"/>
          <w:color w:val="000000" w:themeColor="text1"/>
          <w:szCs w:val="20"/>
          <w:shd w:val="clear" w:color="auto" w:fill="FFFFFF"/>
        </w:rPr>
        <w:t>, </w:t>
      </w:r>
      <w:r w:rsidRPr="008734AE">
        <w:rPr>
          <w:rFonts w:ascii="Helvetica" w:hAnsi="Helvetica" w:cs="Helvetica"/>
          <w:i/>
          <w:iCs/>
          <w:color w:val="000000" w:themeColor="text1"/>
          <w:szCs w:val="20"/>
          <w:shd w:val="clear" w:color="auto" w:fill="FFFFFF"/>
        </w:rPr>
        <w:t>110</w:t>
      </w:r>
      <w:r w:rsidRPr="008734AE">
        <w:rPr>
          <w:rFonts w:ascii="Helvetica" w:hAnsi="Helvetica" w:cs="Helvetica"/>
          <w:color w:val="000000" w:themeColor="text1"/>
          <w:szCs w:val="20"/>
          <w:shd w:val="clear" w:color="auto" w:fill="FFFFFF"/>
        </w:rPr>
        <w:t>, pp.675-685.</w:t>
      </w:r>
    </w:p>
    <w:p w14:paraId="71998EE5" w14:textId="77777777" w:rsidR="005C4CE9" w:rsidRPr="008734AE" w:rsidRDefault="005C4CE9" w:rsidP="00C669F7">
      <w:pPr>
        <w:spacing w:line="240" w:lineRule="auto"/>
        <w:ind w:left="284" w:right="28" w:hanging="284"/>
        <w:rPr>
          <w:rFonts w:ascii="Helvetica" w:hAnsi="Helvetica" w:cs="Helvetica"/>
          <w:color w:val="000000" w:themeColor="text1"/>
          <w:szCs w:val="20"/>
          <w:shd w:val="clear" w:color="auto" w:fill="FFFFFF"/>
        </w:rPr>
      </w:pPr>
      <w:r w:rsidRPr="008734AE">
        <w:rPr>
          <w:rFonts w:ascii="Helvetica" w:hAnsi="Helvetica" w:cs="Helvetica"/>
          <w:color w:val="000000" w:themeColor="text1"/>
          <w:szCs w:val="20"/>
          <w:shd w:val="clear" w:color="auto" w:fill="FFFFFF"/>
        </w:rPr>
        <w:t>Simon, H.A., 1955. A behavioral model of rational choice. </w:t>
      </w:r>
      <w:r w:rsidRPr="008734AE">
        <w:rPr>
          <w:rFonts w:ascii="Helvetica" w:hAnsi="Helvetica" w:cs="Helvetica"/>
          <w:i/>
          <w:iCs/>
          <w:color w:val="000000" w:themeColor="text1"/>
          <w:szCs w:val="20"/>
          <w:shd w:val="clear" w:color="auto" w:fill="FFFFFF"/>
        </w:rPr>
        <w:t>The Quarterly Journal of Economics</w:t>
      </w:r>
      <w:r w:rsidRPr="008734AE">
        <w:rPr>
          <w:rFonts w:ascii="Helvetica" w:hAnsi="Helvetica" w:cs="Helvetica"/>
          <w:color w:val="000000" w:themeColor="text1"/>
          <w:szCs w:val="20"/>
          <w:shd w:val="clear" w:color="auto" w:fill="FFFFFF"/>
        </w:rPr>
        <w:t>, </w:t>
      </w:r>
      <w:r w:rsidRPr="008734AE">
        <w:rPr>
          <w:rFonts w:ascii="Helvetica" w:hAnsi="Helvetica" w:cs="Helvetica"/>
          <w:i/>
          <w:iCs/>
          <w:color w:val="000000" w:themeColor="text1"/>
          <w:szCs w:val="20"/>
          <w:shd w:val="clear" w:color="auto" w:fill="FFFFFF"/>
        </w:rPr>
        <w:t>69</w:t>
      </w:r>
      <w:r w:rsidRPr="008734AE">
        <w:rPr>
          <w:rFonts w:ascii="Helvetica" w:hAnsi="Helvetica" w:cs="Helvetica"/>
          <w:color w:val="000000" w:themeColor="text1"/>
          <w:szCs w:val="20"/>
          <w:shd w:val="clear" w:color="auto" w:fill="FFFFFF"/>
        </w:rPr>
        <w:t>(1), pp.99-118.</w:t>
      </w:r>
    </w:p>
    <w:p w14:paraId="2B0BCA79" w14:textId="77777777" w:rsidR="005C4CE9" w:rsidRPr="008734AE" w:rsidRDefault="005C4CE9" w:rsidP="00C669F7">
      <w:pPr>
        <w:spacing w:line="240" w:lineRule="auto"/>
        <w:ind w:left="284" w:right="28" w:hanging="284"/>
        <w:rPr>
          <w:rFonts w:ascii="Helvetica" w:hAnsi="Helvetica" w:cs="Helvetica"/>
          <w:i/>
          <w:color w:val="000000" w:themeColor="text1"/>
          <w:szCs w:val="20"/>
          <w:shd w:val="clear" w:color="auto" w:fill="FFFFFF"/>
        </w:rPr>
      </w:pPr>
      <w:r w:rsidRPr="008734AE">
        <w:rPr>
          <w:rStyle w:val="HTMLCite"/>
          <w:rFonts w:ascii="Helvetica" w:hAnsi="Helvetica" w:cs="Helvetica"/>
          <w:color w:val="000000" w:themeColor="text1"/>
          <w:szCs w:val="20"/>
          <w:shd w:val="clear" w:color="auto" w:fill="FFFFFF"/>
        </w:rPr>
        <w:t>Simon, H.A., 1971. Designing Organizations for an Information-rich World. Baltimore, MD: Johns Hopkins University Press. pp. 37–52</w:t>
      </w:r>
      <w:r w:rsidRPr="008734AE">
        <w:rPr>
          <w:rStyle w:val="reference-accessdate"/>
          <w:rFonts w:ascii="Helvetica" w:hAnsi="Helvetica" w:cs="Helvetica"/>
          <w:i/>
          <w:color w:val="000000" w:themeColor="text1"/>
          <w:szCs w:val="20"/>
          <w:shd w:val="clear" w:color="auto" w:fill="FFFFFF"/>
        </w:rPr>
        <w:t>.</w:t>
      </w:r>
    </w:p>
    <w:p w14:paraId="7E63515B" w14:textId="77777777" w:rsidR="005C4CE9" w:rsidRPr="008734AE" w:rsidRDefault="005C4CE9" w:rsidP="00C669F7">
      <w:pPr>
        <w:spacing w:line="240" w:lineRule="auto"/>
        <w:ind w:left="284" w:right="28" w:hanging="284"/>
        <w:rPr>
          <w:rFonts w:ascii="Helvetica" w:hAnsi="Helvetica" w:cs="Helvetica"/>
          <w:color w:val="000000" w:themeColor="text1"/>
          <w:szCs w:val="20"/>
          <w:shd w:val="clear" w:color="auto" w:fill="FFFFFF"/>
        </w:rPr>
      </w:pPr>
      <w:r w:rsidRPr="008734AE">
        <w:rPr>
          <w:rFonts w:ascii="Helvetica" w:hAnsi="Helvetica" w:cs="Helvetica"/>
          <w:color w:val="000000" w:themeColor="text1"/>
          <w:szCs w:val="20"/>
          <w:shd w:val="clear" w:color="auto" w:fill="FFFFFF"/>
        </w:rPr>
        <w:t>Strombom, B.A., Buchmueller, T.C. and Feldstein, P.J., 2002. Switching costs, price sensitivity and health plan choice. </w:t>
      </w:r>
      <w:r w:rsidRPr="008734AE">
        <w:rPr>
          <w:rFonts w:ascii="Helvetica" w:hAnsi="Helvetica" w:cs="Helvetica"/>
          <w:i/>
          <w:iCs/>
          <w:color w:val="000000" w:themeColor="text1"/>
          <w:szCs w:val="20"/>
          <w:shd w:val="clear" w:color="auto" w:fill="FFFFFF"/>
        </w:rPr>
        <w:t>Journal of Health Economics</w:t>
      </w:r>
      <w:r w:rsidRPr="008734AE">
        <w:rPr>
          <w:rFonts w:ascii="Helvetica" w:hAnsi="Helvetica" w:cs="Helvetica"/>
          <w:color w:val="000000" w:themeColor="text1"/>
          <w:szCs w:val="20"/>
          <w:shd w:val="clear" w:color="auto" w:fill="FFFFFF"/>
        </w:rPr>
        <w:t>, </w:t>
      </w:r>
      <w:r w:rsidRPr="008734AE">
        <w:rPr>
          <w:rFonts w:ascii="Helvetica" w:hAnsi="Helvetica" w:cs="Helvetica"/>
          <w:i/>
          <w:iCs/>
          <w:color w:val="000000" w:themeColor="text1"/>
          <w:szCs w:val="20"/>
          <w:shd w:val="clear" w:color="auto" w:fill="FFFFFF"/>
        </w:rPr>
        <w:t>21</w:t>
      </w:r>
      <w:r w:rsidRPr="008734AE">
        <w:rPr>
          <w:rFonts w:ascii="Helvetica" w:hAnsi="Helvetica" w:cs="Helvetica"/>
          <w:color w:val="000000" w:themeColor="text1"/>
          <w:szCs w:val="20"/>
          <w:shd w:val="clear" w:color="auto" w:fill="FFFFFF"/>
        </w:rPr>
        <w:t>(1), pp.89-116.</w:t>
      </w:r>
    </w:p>
    <w:p w14:paraId="43350240" w14:textId="77777777" w:rsidR="005C4CE9" w:rsidRPr="008734AE" w:rsidRDefault="005C4CE9" w:rsidP="00C669F7">
      <w:pPr>
        <w:spacing w:line="240" w:lineRule="auto"/>
        <w:ind w:left="284" w:right="28" w:hanging="284"/>
        <w:rPr>
          <w:rFonts w:ascii="Helvetica" w:hAnsi="Helvetica" w:cs="Helvetica"/>
          <w:color w:val="000000" w:themeColor="text1"/>
          <w:szCs w:val="20"/>
          <w:shd w:val="clear" w:color="auto" w:fill="FFFFFF"/>
        </w:rPr>
      </w:pPr>
      <w:r w:rsidRPr="008734AE">
        <w:rPr>
          <w:rFonts w:ascii="Helvetica" w:hAnsi="Helvetica" w:cs="Helvetica"/>
          <w:color w:val="000000" w:themeColor="text1"/>
          <w:szCs w:val="20"/>
        </w:rPr>
        <w:t xml:space="preserve">Thaler, R. 1980. Toward a positive theory of consumer choice. </w:t>
      </w:r>
      <w:r w:rsidRPr="008734AE">
        <w:rPr>
          <w:rFonts w:ascii="Helvetica" w:hAnsi="Helvetica" w:cs="Helvetica"/>
          <w:i/>
          <w:color w:val="000000" w:themeColor="text1"/>
          <w:szCs w:val="20"/>
        </w:rPr>
        <w:t>Journal of Economic Behavior and Organization.</w:t>
      </w:r>
      <w:r w:rsidRPr="008734AE">
        <w:rPr>
          <w:rFonts w:ascii="Helvetica" w:hAnsi="Helvetica" w:cs="Helvetica"/>
          <w:color w:val="000000" w:themeColor="text1"/>
          <w:szCs w:val="20"/>
        </w:rPr>
        <w:t xml:space="preserve"> (1) pp.39–60</w:t>
      </w:r>
    </w:p>
    <w:p w14:paraId="63A42432" w14:textId="77777777" w:rsidR="005C4CE9" w:rsidRPr="008734AE" w:rsidRDefault="005C4CE9" w:rsidP="00C669F7">
      <w:pPr>
        <w:spacing w:line="240" w:lineRule="auto"/>
        <w:ind w:left="284" w:right="28" w:hanging="284"/>
        <w:rPr>
          <w:rFonts w:ascii="Helvetica" w:hAnsi="Helvetica" w:cs="Helvetica"/>
          <w:color w:val="000000" w:themeColor="text1"/>
          <w:szCs w:val="20"/>
        </w:rPr>
      </w:pPr>
      <w:r w:rsidRPr="008734AE">
        <w:rPr>
          <w:rFonts w:ascii="Helvetica" w:hAnsi="Helvetica" w:cs="Helvetica"/>
          <w:color w:val="000000" w:themeColor="text1"/>
          <w:szCs w:val="20"/>
        </w:rPr>
        <w:t>Thaler, R. H., &amp; Sunstein, C. R. 2008. Nudge: improving decisions about health, wealth and happiness. New Haven: Yale University Press.</w:t>
      </w:r>
    </w:p>
    <w:p w14:paraId="2B0D6EED" w14:textId="77777777" w:rsidR="005C4CE9" w:rsidRPr="008734AE" w:rsidRDefault="005C4CE9" w:rsidP="00C669F7">
      <w:pPr>
        <w:spacing w:line="240" w:lineRule="auto"/>
        <w:ind w:left="284" w:right="28" w:hanging="284"/>
        <w:rPr>
          <w:rFonts w:ascii="Helvetica" w:hAnsi="Helvetica" w:cs="Helvetica"/>
          <w:color w:val="000000" w:themeColor="text1"/>
          <w:szCs w:val="20"/>
          <w:shd w:val="clear" w:color="auto" w:fill="FFFFFF"/>
        </w:rPr>
      </w:pPr>
      <w:r w:rsidRPr="008734AE">
        <w:rPr>
          <w:rFonts w:ascii="Helvetica" w:hAnsi="Helvetica" w:cs="Helvetica"/>
          <w:color w:val="000000" w:themeColor="text1"/>
          <w:szCs w:val="20"/>
          <w:shd w:val="clear" w:color="auto" w:fill="FFFFFF"/>
        </w:rPr>
        <w:lastRenderedPageBreak/>
        <w:t xml:space="preserve">Uddin, M., Wang, L.C., and Smyth, R. 2021 Do government-initiated energy comparison sites encourage consumer search and lower prices? Evidence from an online randomized controlled experiment in Australia </w:t>
      </w:r>
      <w:r w:rsidRPr="008734AE">
        <w:rPr>
          <w:rFonts w:ascii="Helvetica" w:hAnsi="Helvetica" w:cs="Helvetica"/>
          <w:i/>
          <w:color w:val="000000" w:themeColor="text1"/>
          <w:szCs w:val="20"/>
          <w:shd w:val="clear" w:color="auto" w:fill="FFFFFF"/>
        </w:rPr>
        <w:t>Journal of Economic Behavior &amp; Organization</w:t>
      </w:r>
      <w:r w:rsidRPr="008734AE">
        <w:rPr>
          <w:rFonts w:ascii="Helvetica" w:hAnsi="Helvetica" w:cs="Helvetica"/>
          <w:color w:val="000000" w:themeColor="text1"/>
          <w:szCs w:val="20"/>
          <w:shd w:val="clear" w:color="auto" w:fill="FFFFFF"/>
        </w:rPr>
        <w:t xml:space="preserve"> 188 pp.167-182</w:t>
      </w:r>
    </w:p>
    <w:p w14:paraId="3D654EFE" w14:textId="77777777" w:rsidR="005C4CE9" w:rsidRPr="008734AE" w:rsidRDefault="005C4CE9" w:rsidP="00C669F7">
      <w:pPr>
        <w:spacing w:line="240" w:lineRule="auto"/>
        <w:ind w:left="284" w:right="28" w:hanging="284"/>
        <w:rPr>
          <w:rFonts w:ascii="Helvetica" w:hAnsi="Helvetica" w:cs="Helvetica"/>
          <w:color w:val="000000" w:themeColor="text1"/>
          <w:szCs w:val="20"/>
          <w:shd w:val="clear" w:color="auto" w:fill="FFFFFF"/>
        </w:rPr>
      </w:pPr>
      <w:r w:rsidRPr="008734AE">
        <w:rPr>
          <w:rFonts w:ascii="Helvetica" w:hAnsi="Helvetica" w:cs="Helvetica"/>
          <w:color w:val="000000" w:themeColor="text1"/>
          <w:szCs w:val="20"/>
          <w:shd w:val="clear" w:color="auto" w:fill="FFFFFF"/>
        </w:rPr>
        <w:t>Waterson, M., 2003. The role of consumers in competition and competition policy. </w:t>
      </w:r>
      <w:r w:rsidRPr="008734AE">
        <w:rPr>
          <w:rFonts w:ascii="Helvetica" w:hAnsi="Helvetica" w:cs="Helvetica"/>
          <w:i/>
          <w:iCs/>
          <w:color w:val="000000" w:themeColor="text1"/>
          <w:szCs w:val="20"/>
          <w:shd w:val="clear" w:color="auto" w:fill="FFFFFF"/>
        </w:rPr>
        <w:t>International journal of Industrial Organization</w:t>
      </w:r>
      <w:r w:rsidRPr="008734AE">
        <w:rPr>
          <w:rFonts w:ascii="Helvetica" w:hAnsi="Helvetica" w:cs="Helvetica"/>
          <w:color w:val="000000" w:themeColor="text1"/>
          <w:szCs w:val="20"/>
          <w:shd w:val="clear" w:color="auto" w:fill="FFFFFF"/>
        </w:rPr>
        <w:t>, </w:t>
      </w:r>
      <w:r w:rsidRPr="008734AE">
        <w:rPr>
          <w:rFonts w:ascii="Helvetica" w:hAnsi="Helvetica" w:cs="Helvetica"/>
          <w:i/>
          <w:iCs/>
          <w:color w:val="000000" w:themeColor="text1"/>
          <w:szCs w:val="20"/>
          <w:shd w:val="clear" w:color="auto" w:fill="FFFFFF"/>
        </w:rPr>
        <w:t>21</w:t>
      </w:r>
      <w:r w:rsidRPr="008734AE">
        <w:rPr>
          <w:rFonts w:ascii="Helvetica" w:hAnsi="Helvetica" w:cs="Helvetica"/>
          <w:color w:val="000000" w:themeColor="text1"/>
          <w:szCs w:val="20"/>
          <w:shd w:val="clear" w:color="auto" w:fill="FFFFFF"/>
        </w:rPr>
        <w:t>(2), pp.129-150.</w:t>
      </w:r>
    </w:p>
    <w:p w14:paraId="72943864" w14:textId="77777777" w:rsidR="005C4CE9" w:rsidRPr="008734AE" w:rsidRDefault="005C4CE9" w:rsidP="00C669F7">
      <w:pPr>
        <w:spacing w:line="240" w:lineRule="auto"/>
        <w:ind w:left="284" w:right="28" w:hanging="284"/>
        <w:rPr>
          <w:rFonts w:ascii="Helvetica" w:hAnsi="Helvetica" w:cs="Helvetica"/>
          <w:color w:val="000000" w:themeColor="text1"/>
          <w:szCs w:val="20"/>
          <w:shd w:val="clear" w:color="auto" w:fill="FFFFFF"/>
        </w:rPr>
      </w:pPr>
      <w:r w:rsidRPr="008734AE">
        <w:rPr>
          <w:rFonts w:ascii="Helvetica" w:hAnsi="Helvetica" w:cs="Helvetica"/>
          <w:color w:val="000000" w:themeColor="text1"/>
          <w:szCs w:val="20"/>
          <w:shd w:val="clear" w:color="auto" w:fill="FFFFFF"/>
        </w:rPr>
        <w:t>Yang, Y., 2014. Understanding household switching behavior in the retail electricity market. </w:t>
      </w:r>
      <w:r w:rsidRPr="008734AE">
        <w:rPr>
          <w:rFonts w:ascii="Helvetica" w:hAnsi="Helvetica" w:cs="Helvetica"/>
          <w:i/>
          <w:iCs/>
          <w:color w:val="000000" w:themeColor="text1"/>
          <w:szCs w:val="20"/>
          <w:shd w:val="clear" w:color="auto" w:fill="FFFFFF"/>
        </w:rPr>
        <w:t>Energy Policy</w:t>
      </w:r>
      <w:r w:rsidRPr="008734AE">
        <w:rPr>
          <w:rFonts w:ascii="Helvetica" w:hAnsi="Helvetica" w:cs="Helvetica"/>
          <w:color w:val="000000" w:themeColor="text1"/>
          <w:szCs w:val="20"/>
          <w:shd w:val="clear" w:color="auto" w:fill="FFFFFF"/>
        </w:rPr>
        <w:t>, </w:t>
      </w:r>
      <w:r w:rsidRPr="008734AE">
        <w:rPr>
          <w:rFonts w:ascii="Helvetica" w:hAnsi="Helvetica" w:cs="Helvetica"/>
          <w:i/>
          <w:iCs/>
          <w:color w:val="000000" w:themeColor="text1"/>
          <w:szCs w:val="20"/>
          <w:shd w:val="clear" w:color="auto" w:fill="FFFFFF"/>
        </w:rPr>
        <w:t>69</w:t>
      </w:r>
      <w:r w:rsidRPr="008734AE">
        <w:rPr>
          <w:rFonts w:ascii="Helvetica" w:hAnsi="Helvetica" w:cs="Helvetica"/>
          <w:color w:val="000000" w:themeColor="text1"/>
          <w:szCs w:val="20"/>
          <w:shd w:val="clear" w:color="auto" w:fill="FFFFFF"/>
        </w:rPr>
        <w:t>, pp.406-414.</w:t>
      </w:r>
    </w:p>
    <w:p w14:paraId="3D8B551F" w14:textId="38181014" w:rsidR="009C7EE6" w:rsidRPr="00C669F7" w:rsidRDefault="005C4CE9" w:rsidP="00C669F7">
      <w:pPr>
        <w:spacing w:line="240" w:lineRule="auto"/>
        <w:ind w:left="284" w:right="28" w:hanging="284"/>
        <w:rPr>
          <w:rFonts w:ascii="Helvetica" w:hAnsi="Helvetica" w:cs="Helvetica"/>
          <w:color w:val="000000" w:themeColor="text1"/>
          <w:szCs w:val="20"/>
          <w:shd w:val="clear" w:color="auto" w:fill="FFFFFF"/>
        </w:rPr>
      </w:pPr>
      <w:r w:rsidRPr="008734AE">
        <w:rPr>
          <w:rFonts w:ascii="Helvetica" w:hAnsi="Helvetica" w:cs="Helvetica"/>
          <w:color w:val="000000" w:themeColor="text1"/>
          <w:szCs w:val="20"/>
          <w:shd w:val="clear" w:color="auto" w:fill="FFFFFF"/>
        </w:rPr>
        <w:t>Yang, L., Toubia, O. and de Jong, M.G., 2018. Attention, information processing, and choice in incentive-aligned choice experiments. </w:t>
      </w:r>
      <w:r w:rsidRPr="008734AE">
        <w:rPr>
          <w:rFonts w:ascii="Helvetica" w:hAnsi="Helvetica" w:cs="Helvetica"/>
          <w:i/>
          <w:iCs/>
          <w:color w:val="000000" w:themeColor="text1"/>
          <w:szCs w:val="20"/>
          <w:shd w:val="clear" w:color="auto" w:fill="FFFFFF"/>
        </w:rPr>
        <w:t>Journal of Marketing Research</w:t>
      </w:r>
      <w:r w:rsidRPr="008734AE">
        <w:rPr>
          <w:rFonts w:ascii="Helvetica" w:hAnsi="Helvetica" w:cs="Helvetica"/>
          <w:color w:val="000000" w:themeColor="text1"/>
          <w:szCs w:val="20"/>
          <w:shd w:val="clear" w:color="auto" w:fill="FFFFFF"/>
        </w:rPr>
        <w:t>, </w:t>
      </w:r>
      <w:r w:rsidRPr="008734AE">
        <w:rPr>
          <w:rFonts w:ascii="Helvetica" w:hAnsi="Helvetica" w:cs="Helvetica"/>
          <w:i/>
          <w:iCs/>
          <w:color w:val="000000" w:themeColor="text1"/>
          <w:szCs w:val="20"/>
          <w:shd w:val="clear" w:color="auto" w:fill="FFFFFF"/>
        </w:rPr>
        <w:t>55</w:t>
      </w:r>
      <w:r w:rsidRPr="008734AE">
        <w:rPr>
          <w:rFonts w:ascii="Helvetica" w:hAnsi="Helvetica" w:cs="Helvetica"/>
          <w:color w:val="000000" w:themeColor="text1"/>
          <w:szCs w:val="20"/>
          <w:shd w:val="clear" w:color="auto" w:fill="FFFFFF"/>
        </w:rPr>
        <w:t>(6), pp.783-800.</w:t>
      </w:r>
    </w:p>
    <w:p w14:paraId="620BF80A" w14:textId="517A6392" w:rsidR="008D30D5" w:rsidRDefault="008D30D5">
      <w:pPr>
        <w:spacing w:after="0" w:line="240" w:lineRule="auto"/>
      </w:pPr>
      <w:r>
        <w:br w:type="page"/>
      </w:r>
    </w:p>
    <w:p w14:paraId="20D02DDF" w14:textId="77777777" w:rsidR="003C2EB1" w:rsidRDefault="003C2EB1" w:rsidP="008412AC">
      <w:pPr>
        <w:pStyle w:val="Heading2"/>
      </w:pPr>
      <w:bookmarkStart w:id="57" w:name="_Toc200588788"/>
      <w:bookmarkStart w:id="58" w:name="_Toc200642892"/>
      <w:bookmarkStart w:id="59" w:name="_Toc181870049"/>
      <w:bookmarkStart w:id="60" w:name="_Toc184198597"/>
      <w:r>
        <w:lastRenderedPageBreak/>
        <w:t>Appendix A: Methodology</w:t>
      </w:r>
      <w:bookmarkEnd w:id="57"/>
      <w:bookmarkEnd w:id="58"/>
    </w:p>
    <w:p w14:paraId="03E097D8" w14:textId="77777777" w:rsidR="003C2EB1" w:rsidRPr="003C2EB1" w:rsidRDefault="003C2EB1" w:rsidP="003C2EB1">
      <w:pPr>
        <w:rPr>
          <w:b/>
        </w:rPr>
      </w:pPr>
      <w:r w:rsidRPr="003C2EB1">
        <w:rPr>
          <w:b/>
        </w:rPr>
        <w:t>Our research program</w:t>
      </w:r>
    </w:p>
    <w:p w14:paraId="5A2DF7E2" w14:textId="77777777" w:rsidR="003C2EB1" w:rsidRPr="003C2EB1" w:rsidRDefault="003C2EB1" w:rsidP="003C2EB1">
      <w:r w:rsidRPr="003C2EB1">
        <w:t xml:space="preserve">Our research program included a number of distinct approaches that enabled us to comprehend: </w:t>
      </w:r>
    </w:p>
    <w:p w14:paraId="308B7EB5" w14:textId="77777777" w:rsidR="003C2EB1" w:rsidRPr="003C2EB1" w:rsidRDefault="003C2EB1" w:rsidP="008412AC">
      <w:pPr>
        <w:pStyle w:val="ListBullet"/>
      </w:pPr>
      <w:r w:rsidRPr="003C2EB1">
        <w:t>The population: current and future users of the website, their needs and preferences.</w:t>
      </w:r>
    </w:p>
    <w:p w14:paraId="7288A4EA" w14:textId="77777777" w:rsidR="003C2EB1" w:rsidRPr="003C2EB1" w:rsidRDefault="003C2EB1" w:rsidP="008412AC">
      <w:pPr>
        <w:pStyle w:val="ListBullet"/>
      </w:pPr>
      <w:r w:rsidRPr="003C2EB1">
        <w:t>The status quo: what was and was not working, how consumers are actually using the website.</w:t>
      </w:r>
    </w:p>
    <w:p w14:paraId="7F2BA9ED" w14:textId="77777777" w:rsidR="003C2EB1" w:rsidRPr="003C2EB1" w:rsidRDefault="003C2EB1" w:rsidP="008412AC">
      <w:pPr>
        <w:pStyle w:val="ListBullet"/>
      </w:pPr>
      <w:r w:rsidRPr="003C2EB1">
        <w:t>Reactions to new designs and prototypes: whether they were solving identified problems, and how they might be further improved.</w:t>
      </w:r>
    </w:p>
    <w:p w14:paraId="5CB5F133" w14:textId="77777777" w:rsidR="003C2EB1" w:rsidRPr="003C2EB1" w:rsidRDefault="003C2EB1" w:rsidP="003C2EB1">
      <w:pPr>
        <w:rPr>
          <w:b/>
        </w:rPr>
      </w:pPr>
      <w:r w:rsidRPr="003C2EB1">
        <w:rPr>
          <w:b/>
        </w:rPr>
        <w:t xml:space="preserve">We conducted analysis of existing data sources </w:t>
      </w:r>
    </w:p>
    <w:p w14:paraId="4AF31615" w14:textId="77777777" w:rsidR="003C2EB1" w:rsidRPr="003C2EB1" w:rsidRDefault="003C2EB1" w:rsidP="003C2EB1">
      <w:r w:rsidRPr="003C2EB1">
        <w:t>BETA conducted a scan of the literature on consumer switching &amp; comparison websites and reviewed de-identified EME web-form and call centre data to identify existing barriers and pain points (‘Call-centre data’ 2021). In addition, reviewed existing Google Analytics reports on the EME website in December 2021 (‘Website Google Analytics data’ 2021).</w:t>
      </w:r>
    </w:p>
    <w:p w14:paraId="6AA2F453" w14:textId="77777777" w:rsidR="003C2EB1" w:rsidRPr="003C2EB1" w:rsidRDefault="003C2EB1" w:rsidP="003C2EB1">
      <w:r w:rsidRPr="003C2EB1">
        <w:rPr>
          <w:b/>
        </w:rPr>
        <w:t xml:space="preserve">We placed a </w:t>
      </w:r>
      <w:r w:rsidRPr="003C2EB1">
        <w:rPr>
          <w:b/>
          <w:i/>
        </w:rPr>
        <w:t>Give feedback</w:t>
      </w:r>
      <w:r w:rsidRPr="003C2EB1">
        <w:rPr>
          <w:b/>
        </w:rPr>
        <w:t xml:space="preserve"> widget on the EME website </w:t>
      </w:r>
    </w:p>
    <w:p w14:paraId="0884060C" w14:textId="77777777" w:rsidR="003C2EB1" w:rsidRPr="003C2EB1" w:rsidRDefault="003C2EB1" w:rsidP="003C2EB1">
      <w:pPr>
        <w:rPr>
          <w:b/>
          <w:bCs/>
        </w:rPr>
      </w:pPr>
      <w:r w:rsidRPr="003C2EB1">
        <w:rPr>
          <w:lang w:val="en-US"/>
        </w:rPr>
        <w:t xml:space="preserve">Using Hotjar, a behaviour analytics and user feedback service used by EME, a </w:t>
      </w:r>
      <w:r w:rsidRPr="003C2EB1">
        <w:rPr>
          <w:bCs/>
        </w:rPr>
        <w:t xml:space="preserve">sidebar widget was placed on all pages of the site encouraging users to </w:t>
      </w:r>
      <w:r w:rsidRPr="003C2EB1">
        <w:rPr>
          <w:bCs/>
          <w:i/>
        </w:rPr>
        <w:t xml:space="preserve">Give Feedback </w:t>
      </w:r>
      <w:r w:rsidRPr="003C2EB1">
        <w:rPr>
          <w:bCs/>
        </w:rPr>
        <w:t>(</w:t>
      </w:r>
      <w:r w:rsidRPr="003C2EB1">
        <w:rPr>
          <w:bCs/>
          <w:i/>
        </w:rPr>
        <w:t>‘Website Feedback data’</w:t>
      </w:r>
      <w:r w:rsidRPr="003C2EB1">
        <w:rPr>
          <w:bCs/>
        </w:rPr>
        <w:t xml:space="preserve"> 2022). Clicking on the sidebar, there was an option for site visitors to rate their overall experience out of five stars and to </w:t>
      </w:r>
      <w:r w:rsidRPr="003C2EB1">
        <w:rPr>
          <w:bCs/>
          <w:i/>
        </w:rPr>
        <w:t>Tell us about your overall experience or any suggested improvements</w:t>
      </w:r>
      <w:r w:rsidRPr="003C2EB1">
        <w:rPr>
          <w:bCs/>
        </w:rPr>
        <w:t>.</w:t>
      </w:r>
    </w:p>
    <w:p w14:paraId="4BE8B16E" w14:textId="77777777" w:rsidR="003C2EB1" w:rsidRPr="003C2EB1" w:rsidRDefault="003C2EB1" w:rsidP="003C2EB1">
      <w:r w:rsidRPr="003C2EB1">
        <w:rPr>
          <w:b/>
        </w:rPr>
        <w:t xml:space="preserve">We surveyed EME users about data sharing pathways </w:t>
      </w:r>
    </w:p>
    <w:p w14:paraId="38EBB635" w14:textId="4C66689B" w:rsidR="003C2EB1" w:rsidRPr="003C2EB1" w:rsidRDefault="003C2EB1" w:rsidP="003C2EB1">
      <w:r w:rsidRPr="003C2EB1">
        <w:t>An additional Hotjar</w:t>
      </w:r>
      <w:r w:rsidR="00BE35DC" w:rsidRPr="003C2EB1">
        <w:t xml:space="preserve"> short</w:t>
      </w:r>
      <w:r w:rsidRPr="003C2EB1">
        <w:t xml:space="preserve"> survey was designed to pop-up after a visitor to the EME website had entered their selections and were about to be shown their energy plan results (</w:t>
      </w:r>
      <w:r w:rsidRPr="003C2EB1">
        <w:rPr>
          <w:i/>
        </w:rPr>
        <w:t>‘Website Search Pathway Survey data’</w:t>
      </w:r>
      <w:r w:rsidRPr="003C2EB1">
        <w:t xml:space="preserve"> 2021). The survey asked only which data entry pathway had been chosen and why.</w:t>
      </w:r>
    </w:p>
    <w:p w14:paraId="45B9E2A6" w14:textId="77777777" w:rsidR="003C2EB1" w:rsidRPr="003C2EB1" w:rsidRDefault="003C2EB1" w:rsidP="003C2EB1">
      <w:r w:rsidRPr="003C2EB1">
        <w:t>Options included:</w:t>
      </w:r>
    </w:p>
    <w:p w14:paraId="0738DA84" w14:textId="77777777" w:rsidR="003C2EB1" w:rsidRPr="003C2EB1" w:rsidRDefault="003C2EB1" w:rsidP="008412AC">
      <w:pPr>
        <w:pStyle w:val="ListBullet"/>
      </w:pPr>
      <w:r w:rsidRPr="003C2EB1">
        <w:t>enabling data linkage by entering their National Meter Identifier (NMI)</w:t>
      </w:r>
    </w:p>
    <w:p w14:paraId="2B23B61F" w14:textId="77777777" w:rsidR="003C2EB1" w:rsidRPr="003C2EB1" w:rsidRDefault="003C2EB1" w:rsidP="008412AC">
      <w:pPr>
        <w:pStyle w:val="ListBullet"/>
      </w:pPr>
      <w:r w:rsidRPr="003C2EB1">
        <w:t>uploading a PDF bill</w:t>
      </w:r>
    </w:p>
    <w:p w14:paraId="140E97A2" w14:textId="77777777" w:rsidR="003C2EB1" w:rsidRPr="003C2EB1" w:rsidRDefault="003C2EB1" w:rsidP="008412AC">
      <w:pPr>
        <w:pStyle w:val="ListBullet"/>
      </w:pPr>
      <w:r w:rsidRPr="003C2EB1">
        <w:t>manually entering their usage data</w:t>
      </w:r>
    </w:p>
    <w:p w14:paraId="0EDBE990" w14:textId="77777777" w:rsidR="003C2EB1" w:rsidRPr="003C2EB1" w:rsidRDefault="003C2EB1" w:rsidP="008412AC">
      <w:pPr>
        <w:pStyle w:val="ListBullet"/>
      </w:pPr>
      <w:r w:rsidRPr="003C2EB1">
        <w:t>entering no data, estimates are then based on an average for household size and location.</w:t>
      </w:r>
    </w:p>
    <w:p w14:paraId="259BE645" w14:textId="1BC432AA" w:rsidR="003C2EB1" w:rsidRPr="008412AC" w:rsidRDefault="00FB0DC8" w:rsidP="003C2EB1">
      <w:pPr>
        <w:rPr>
          <w:b/>
        </w:rPr>
      </w:pPr>
      <w:r>
        <w:rPr>
          <w:b/>
        </w:rPr>
        <w:lastRenderedPageBreak/>
        <w:t>Using seven short surveys to understand drivers and barriers to switching plans</w:t>
      </w:r>
    </w:p>
    <w:p w14:paraId="68DDBE4E" w14:textId="4A937DCD" w:rsidR="003C2EB1" w:rsidRPr="003C2EB1" w:rsidRDefault="003C2EB1" w:rsidP="003C2EB1">
      <w:r w:rsidRPr="003C2EB1">
        <w:t xml:space="preserve">We wanted our survey to test if user personas from previous qualitative research commissioned by the AER was reflective of actual </w:t>
      </w:r>
      <w:r w:rsidR="00FB0DC8">
        <w:t>EME users</w:t>
      </w:r>
      <w:r w:rsidRPr="003C2EB1">
        <w:t xml:space="preserve">. </w:t>
      </w:r>
    </w:p>
    <w:p w14:paraId="1DDA9CFD" w14:textId="77777777" w:rsidR="003C2EB1" w:rsidRPr="003C2EB1" w:rsidRDefault="003C2EB1" w:rsidP="003C2EB1">
      <w:r w:rsidRPr="003C2EB1">
        <w:t>The personality traits and preferences described through the personas were captured through survey questions posed on the EME website through a pop-up Hotjar survey (‘Website User Survey Series’ 2022). From 21 to 28 February, we fielded seven short surveys through the EME website, swapping them over on a daily basis. The sample for each survey ranged from 531 to 1,173.</w:t>
      </w:r>
    </w:p>
    <w:p w14:paraId="66C569E7" w14:textId="77777777" w:rsidR="003C2EB1" w:rsidRPr="003C2EB1" w:rsidRDefault="003C2EB1" w:rsidP="003C2EB1">
      <w:r w:rsidRPr="003C2EB1">
        <w:t>EME visitors completing each survey were a subset of total visitors to the site. The surveys were not compulsory, and were designed to pop up upon completion of a plan search, just before results were revealed. This means that the responding sample is likely to be more representative of visitors who are serious about looking for a new plan, not visitors casually browsing or those following a direct link to the site to view a Basic Plan Information Document. Each survey contained only four questions and the device type used was captured by the Hotjar software. Age was collected in each survey, so only age and device type were captured across all surveys. Across the week, there was an 18% response rate to 35,632 impressions.</w:t>
      </w:r>
    </w:p>
    <w:p w14:paraId="3E7CB482" w14:textId="7E78905B" w:rsidR="003C2EB1" w:rsidRPr="003C2EB1" w:rsidRDefault="00BE35DC" w:rsidP="003C2EB1">
      <w:r>
        <w:rPr>
          <w:b/>
        </w:rPr>
        <w:t>We observed consumers</w:t>
      </w:r>
      <w:r w:rsidR="003C2EB1" w:rsidRPr="003C2EB1">
        <w:rPr>
          <w:b/>
        </w:rPr>
        <w:t xml:space="preserve"> using the website and several prototypes </w:t>
      </w:r>
    </w:p>
    <w:p w14:paraId="5125C727" w14:textId="694799FD" w:rsidR="003C2EB1" w:rsidRPr="003C2EB1" w:rsidRDefault="003C2EB1" w:rsidP="003C2EB1">
      <w:r w:rsidRPr="003C2EB1">
        <w:t xml:space="preserve">Four rounds of qualitative user research were undertaken to test and refine designs, each round with naïve users recruited through a panel process (‘Website user-testing’ data 2022). Each round had a different set of materials to test, based on ideas and content generated collaboratively by the AER, Pretzel and BETA. These included clickable prototypes showing the website landing page, the funnel, </w:t>
      </w:r>
      <w:r w:rsidR="00F635DE">
        <w:t xml:space="preserve">the </w:t>
      </w:r>
      <w:r w:rsidRPr="003C2EB1">
        <w:t xml:space="preserve">results page and several examples of individual plan pages. It also featured help windows, and pathways for </w:t>
      </w:r>
      <w:r w:rsidRPr="003C2EB1">
        <w:rPr>
          <w:i/>
        </w:rPr>
        <w:t>PDF, NMI</w:t>
      </w:r>
      <w:r w:rsidRPr="003C2EB1">
        <w:t xml:space="preserve">, </w:t>
      </w:r>
      <w:r w:rsidRPr="003C2EB1">
        <w:rPr>
          <w:i/>
        </w:rPr>
        <w:t>Manual entry</w:t>
      </w:r>
      <w:r w:rsidRPr="003C2EB1">
        <w:t xml:space="preserve"> and </w:t>
      </w:r>
      <w:r w:rsidRPr="003C2EB1">
        <w:rPr>
          <w:i/>
        </w:rPr>
        <w:t>Quick compare</w:t>
      </w:r>
      <w:r w:rsidRPr="003C2EB1">
        <w:t xml:space="preserve">. In each round, 8-10 participants were invited to participate. </w:t>
      </w:r>
    </w:p>
    <w:p w14:paraId="3155FA89" w14:textId="77777777" w:rsidR="003C2EB1" w:rsidRPr="003C2EB1" w:rsidRDefault="003C2EB1" w:rsidP="008412AC">
      <w:pPr>
        <w:pStyle w:val="ListBullet"/>
      </w:pPr>
      <w:r w:rsidRPr="003C2EB1">
        <w:t>Round 1: Tested the prototypes built by Pretzel: a household search with several alternative data entry pathways.</w:t>
      </w:r>
    </w:p>
    <w:p w14:paraId="4A792BAA" w14:textId="77777777" w:rsidR="003C2EB1" w:rsidRPr="003C2EB1" w:rsidRDefault="003C2EB1" w:rsidP="008412AC">
      <w:pPr>
        <w:pStyle w:val="ListBullet"/>
      </w:pPr>
      <w:r w:rsidRPr="003C2EB1">
        <w:t>Round 2: Tested the existing live EME website: respondents were asked to undertake a search based on their personal circumstances (postcode, etc.).</w:t>
      </w:r>
    </w:p>
    <w:p w14:paraId="258D070E" w14:textId="77777777" w:rsidR="003C2EB1" w:rsidRPr="003C2EB1" w:rsidRDefault="003C2EB1" w:rsidP="008412AC">
      <w:pPr>
        <w:pStyle w:val="ListBullet"/>
      </w:pPr>
      <w:r w:rsidRPr="003C2EB1">
        <w:t>Round 3: Tested prototypes updated based on feedback from Round 1 and Round 2.</w:t>
      </w:r>
    </w:p>
    <w:p w14:paraId="2E5465F3" w14:textId="77777777" w:rsidR="003C2EB1" w:rsidRPr="003C2EB1" w:rsidRDefault="003C2EB1" w:rsidP="008412AC">
      <w:pPr>
        <w:pStyle w:val="ListBullet"/>
      </w:pPr>
      <w:r w:rsidRPr="003C2EB1">
        <w:t>Round 4: Tested prototypes developed for small businesses with small business owners.</w:t>
      </w:r>
    </w:p>
    <w:p w14:paraId="76D7E827" w14:textId="77777777" w:rsidR="003C2EB1" w:rsidRPr="003C2EB1" w:rsidRDefault="003C2EB1" w:rsidP="003C2EB1">
      <w:r w:rsidRPr="003C2EB1">
        <w:t>BETA provided the interviewer guide, but Hall &amp; Partners was contracted to recruit participants, facilitate the user interviews and provide reports. BETA, Pretzel and AER staff observed interviews and had regular debriefs with Hall &amp; Partners.</w:t>
      </w:r>
    </w:p>
    <w:p w14:paraId="53F207F1" w14:textId="77777777" w:rsidR="003C2EB1" w:rsidRPr="003C2EB1" w:rsidRDefault="003C2EB1" w:rsidP="003C2EB1">
      <w:r w:rsidRPr="003C2EB1">
        <w:rPr>
          <w:b/>
        </w:rPr>
        <w:t>We tested several design options and surveyed Australians about switching preferences</w:t>
      </w:r>
    </w:p>
    <w:p w14:paraId="0727986C" w14:textId="77777777" w:rsidR="003C2EB1" w:rsidRPr="003C2EB1" w:rsidRDefault="003C2EB1" w:rsidP="003C2EB1">
      <w:r w:rsidRPr="003C2EB1">
        <w:t xml:space="preserve">BETA developed a survey which went out to a panel of participants who were broadly representative of population demographics. A link inviting participants to complete the survey was also posted on the EME website so that EME users could participate. Both samples, </w:t>
      </w:r>
      <w:r w:rsidRPr="003C2EB1">
        <w:lastRenderedPageBreak/>
        <w:t>over 2,100 respondents, saw the same survey, which included two survey experiments and a series of survey questions. Where results of the survey are presented here (</w:t>
      </w:r>
      <w:r w:rsidRPr="003C2EB1">
        <w:rPr>
          <w:i/>
        </w:rPr>
        <w:t xml:space="preserve">‘Panel Survey data’ </w:t>
      </w:r>
      <w:r w:rsidRPr="003C2EB1">
        <w:t>2022), we use only complete responses from panel participants (n=1,554), as the EME users’ responses numbered only 513 and represented only an extremely interested and unrepresentative subset of EME users.</w:t>
      </w:r>
    </w:p>
    <w:p w14:paraId="150F21FB" w14:textId="77777777" w:rsidR="003C2EB1" w:rsidRPr="003C2EB1" w:rsidRDefault="003C2EB1" w:rsidP="003C2EB1">
      <w:r w:rsidRPr="003C2EB1">
        <w:t>The survey questions targeted:</w:t>
      </w:r>
    </w:p>
    <w:p w14:paraId="00975D40" w14:textId="77777777" w:rsidR="003C2EB1" w:rsidRPr="003C2EB1" w:rsidRDefault="003C2EB1" w:rsidP="008412AC">
      <w:pPr>
        <w:pStyle w:val="ListBullet"/>
      </w:pPr>
      <w:r w:rsidRPr="003C2EB1">
        <w:t>awareness of EME and other energy comparison websites</w:t>
      </w:r>
    </w:p>
    <w:p w14:paraId="49E1032B" w14:textId="77777777" w:rsidR="003C2EB1" w:rsidRPr="003C2EB1" w:rsidRDefault="003C2EB1" w:rsidP="008412AC">
      <w:pPr>
        <w:pStyle w:val="ListBullet"/>
      </w:pPr>
      <w:r w:rsidRPr="003C2EB1">
        <w:t>design of the EME site</w:t>
      </w:r>
    </w:p>
    <w:p w14:paraId="584354D3" w14:textId="77777777" w:rsidR="003C2EB1" w:rsidRPr="003C2EB1" w:rsidRDefault="003C2EB1" w:rsidP="008412AC">
      <w:pPr>
        <w:pStyle w:val="ListBullet"/>
      </w:pPr>
      <w:r w:rsidRPr="003C2EB1">
        <w:t>comprehension of technical jargon in the energy sector</w:t>
      </w:r>
    </w:p>
    <w:p w14:paraId="2A19FD8B" w14:textId="77777777" w:rsidR="003C2EB1" w:rsidRPr="003C2EB1" w:rsidRDefault="003C2EB1" w:rsidP="008412AC">
      <w:pPr>
        <w:pStyle w:val="ListBullet"/>
      </w:pPr>
      <w:r w:rsidRPr="003C2EB1">
        <w:t>attitudes to reducing energy usage</w:t>
      </w:r>
    </w:p>
    <w:p w14:paraId="42207DA3" w14:textId="77777777" w:rsidR="003C2EB1" w:rsidRPr="003C2EB1" w:rsidRDefault="003C2EB1" w:rsidP="008412AC">
      <w:pPr>
        <w:pStyle w:val="ListBullet"/>
      </w:pPr>
      <w:r w:rsidRPr="003C2EB1">
        <w:t>switching, energy bills and household features</w:t>
      </w:r>
    </w:p>
    <w:p w14:paraId="73809C45" w14:textId="77777777" w:rsidR="003C2EB1" w:rsidRPr="003C2EB1" w:rsidRDefault="003C2EB1" w:rsidP="008412AC">
      <w:pPr>
        <w:pStyle w:val="ListBullet"/>
      </w:pPr>
      <w:r w:rsidRPr="003C2EB1">
        <w:t>demographic characteristics and financial status.</w:t>
      </w:r>
    </w:p>
    <w:p w14:paraId="27F7FCE7" w14:textId="77777777" w:rsidR="003C2EB1" w:rsidRPr="003C2EB1" w:rsidRDefault="003C2EB1" w:rsidP="003C2EB1">
      <w:r w:rsidRPr="003C2EB1">
        <w:t>We conducted survey experiments to test the impact of two changes to the EME results page: bumping the retailer’s lowest offer to the top of the results, and including information about discounts against plans where relevant (</w:t>
      </w:r>
      <w:r w:rsidRPr="003C2EB1">
        <w:rPr>
          <w:i/>
        </w:rPr>
        <w:t>‘Panel Survey-Experiment data’</w:t>
      </w:r>
      <w:r w:rsidRPr="003C2EB1">
        <w:t xml:space="preserve"> 2022).</w:t>
      </w:r>
    </w:p>
    <w:p w14:paraId="6FADEAE1" w14:textId="77777777" w:rsidR="003C2EB1" w:rsidRPr="003C2EB1" w:rsidRDefault="003C2EB1" w:rsidP="003C2EB1">
      <w:pPr>
        <w:rPr>
          <w:b/>
        </w:rPr>
      </w:pPr>
      <w:r w:rsidRPr="003C2EB1">
        <w:br w:type="page"/>
      </w:r>
    </w:p>
    <w:p w14:paraId="7E18A615" w14:textId="77777777" w:rsidR="003C2EB1" w:rsidRPr="003C2EB1" w:rsidRDefault="003C2EB1" w:rsidP="003C2EB1">
      <w:pPr>
        <w:rPr>
          <w:b/>
        </w:rPr>
      </w:pPr>
      <w:r w:rsidRPr="003C2EB1">
        <w:rPr>
          <w:b/>
        </w:rPr>
        <w:lastRenderedPageBreak/>
        <w:t>Summary of research methods</w:t>
      </w:r>
    </w:p>
    <w:p w14:paraId="12A866A6" w14:textId="77777777" w:rsidR="003C2EB1" w:rsidRPr="003C2EB1" w:rsidRDefault="003C2EB1" w:rsidP="003C2EB1">
      <w:r w:rsidRPr="003C2EB1">
        <w:t xml:space="preserve">Our methods included qualitative, quantitative and experimental methods as well as analysis of existing data sources, summarised in </w:t>
      </w:r>
      <w:r w:rsidRPr="003C2EB1">
        <w:fldChar w:fldCharType="begin"/>
      </w:r>
      <w:r w:rsidRPr="003C2EB1">
        <w:instrText xml:space="preserve"> REF _Ref184216946 \h </w:instrText>
      </w:r>
      <w:r w:rsidRPr="003C2EB1">
        <w:fldChar w:fldCharType="separate"/>
      </w:r>
      <w:r w:rsidRPr="003C2EB1">
        <w:t>Table 1</w:t>
      </w:r>
      <w:r w:rsidRPr="003C2EB1">
        <w:fldChar w:fldCharType="end"/>
      </w:r>
      <w:r w:rsidRPr="003C2EB1">
        <w:t>.</w:t>
      </w:r>
    </w:p>
    <w:p w14:paraId="61769AE3" w14:textId="77777777" w:rsidR="003C2EB1" w:rsidRPr="003C2EB1" w:rsidRDefault="003C2EB1" w:rsidP="003C2EB1">
      <w:pPr>
        <w:rPr>
          <w:b/>
          <w:iCs/>
        </w:rPr>
      </w:pPr>
      <w:r w:rsidRPr="003C2EB1">
        <w:rPr>
          <w:b/>
          <w:iCs/>
        </w:rPr>
        <w:t xml:space="preserve">Table </w:t>
      </w:r>
      <w:r w:rsidRPr="003C2EB1">
        <w:rPr>
          <w:b/>
          <w:iCs/>
        </w:rPr>
        <w:fldChar w:fldCharType="begin"/>
      </w:r>
      <w:r w:rsidRPr="003C2EB1">
        <w:rPr>
          <w:b/>
          <w:iCs/>
        </w:rPr>
        <w:instrText xml:space="preserve"> SEQ Table \* ARABIC </w:instrText>
      </w:r>
      <w:r w:rsidRPr="003C2EB1">
        <w:rPr>
          <w:b/>
          <w:iCs/>
        </w:rPr>
        <w:fldChar w:fldCharType="separate"/>
      </w:r>
      <w:r w:rsidRPr="003C2EB1">
        <w:rPr>
          <w:b/>
          <w:iCs/>
        </w:rPr>
        <w:t>1</w:t>
      </w:r>
      <w:r w:rsidRPr="003C2EB1">
        <w:fldChar w:fldCharType="end"/>
      </w:r>
      <w:r w:rsidRPr="003C2EB1">
        <w:rPr>
          <w:b/>
          <w:iCs/>
        </w:rPr>
        <w:t xml:space="preserve">. </w:t>
      </w:r>
      <w:r w:rsidRPr="003C2EB1">
        <w:rPr>
          <w:b/>
          <w:iCs/>
        </w:rPr>
        <w:tab/>
        <w:t>Sources of evidence</w:t>
      </w:r>
    </w:p>
    <w:tbl>
      <w:tblPr>
        <w:tblStyle w:val="DefaultTable"/>
        <w:tblW w:w="4966" w:type="pct"/>
        <w:tblCellMar>
          <w:top w:w="85" w:type="dxa"/>
        </w:tblCellMar>
        <w:tblLook w:val="0420" w:firstRow="1" w:lastRow="0" w:firstColumn="0" w:lastColumn="0" w:noHBand="0" w:noVBand="1"/>
        <w:tblCaption w:val="Table 1"/>
        <w:tblDescription w:val="Example table with Alt Text for accessibility"/>
      </w:tblPr>
      <w:tblGrid>
        <w:gridCol w:w="4535"/>
        <w:gridCol w:w="1419"/>
        <w:gridCol w:w="2268"/>
      </w:tblGrid>
      <w:tr w:rsidR="003C2EB1" w:rsidRPr="003C2EB1" w14:paraId="68787508" w14:textId="77777777" w:rsidTr="00552BCA">
        <w:trPr>
          <w:cnfStyle w:val="100000000000" w:firstRow="1" w:lastRow="0" w:firstColumn="0" w:lastColumn="0" w:oddVBand="0" w:evenVBand="0" w:oddHBand="0" w:evenHBand="0" w:firstRowFirstColumn="0" w:firstRowLastColumn="0" w:lastRowFirstColumn="0" w:lastRowLastColumn="0"/>
          <w:tblHeader/>
        </w:trPr>
        <w:tc>
          <w:tcPr>
            <w:tcW w:w="2758" w:type="pct"/>
            <w:tcBorders>
              <w:top w:val="nil"/>
              <w:left w:val="nil"/>
              <w:bottom w:val="single" w:sz="18" w:space="0" w:color="2D276C" w:themeColor="accent6"/>
              <w:right w:val="nil"/>
            </w:tcBorders>
            <w:shd w:val="clear" w:color="auto" w:fill="ABDBF6" w:themeFill="accent1"/>
            <w:hideMark/>
          </w:tcPr>
          <w:p w14:paraId="1E20D33A" w14:textId="77777777" w:rsidR="003C2EB1" w:rsidRPr="003C2EB1" w:rsidRDefault="003C2EB1" w:rsidP="003C2EB1">
            <w:pPr>
              <w:rPr>
                <w:color w:val="auto"/>
                <w:sz w:val="20"/>
              </w:rPr>
            </w:pPr>
            <w:r w:rsidRPr="003C2EB1">
              <w:rPr>
                <w:color w:val="auto"/>
                <w:sz w:val="20"/>
              </w:rPr>
              <w:t>Source of evidence</w:t>
            </w:r>
          </w:p>
        </w:tc>
        <w:tc>
          <w:tcPr>
            <w:tcW w:w="863" w:type="pct"/>
            <w:tcBorders>
              <w:top w:val="nil"/>
              <w:left w:val="nil"/>
              <w:bottom w:val="single" w:sz="18" w:space="0" w:color="2D276C" w:themeColor="accent6"/>
              <w:right w:val="nil"/>
            </w:tcBorders>
            <w:shd w:val="clear" w:color="auto" w:fill="ABDBF6" w:themeFill="accent1"/>
            <w:hideMark/>
          </w:tcPr>
          <w:p w14:paraId="6C542CF6" w14:textId="77777777" w:rsidR="003C2EB1" w:rsidRPr="003C2EB1" w:rsidRDefault="003C2EB1" w:rsidP="003C2EB1">
            <w:pPr>
              <w:rPr>
                <w:color w:val="auto"/>
                <w:sz w:val="20"/>
              </w:rPr>
            </w:pPr>
            <w:r w:rsidRPr="003C2EB1">
              <w:rPr>
                <w:color w:val="auto"/>
                <w:sz w:val="20"/>
              </w:rPr>
              <w:t>Sample size</w:t>
            </w:r>
          </w:p>
        </w:tc>
        <w:tc>
          <w:tcPr>
            <w:tcW w:w="1379" w:type="pct"/>
            <w:tcBorders>
              <w:top w:val="nil"/>
              <w:left w:val="nil"/>
              <w:bottom w:val="single" w:sz="18" w:space="0" w:color="2D276C" w:themeColor="accent6"/>
              <w:right w:val="nil"/>
            </w:tcBorders>
            <w:shd w:val="clear" w:color="auto" w:fill="ABDBF6" w:themeFill="accent1"/>
            <w:hideMark/>
          </w:tcPr>
          <w:p w14:paraId="744DD1D9" w14:textId="77777777" w:rsidR="003C2EB1" w:rsidRPr="003C2EB1" w:rsidRDefault="003C2EB1" w:rsidP="003C2EB1">
            <w:pPr>
              <w:rPr>
                <w:color w:val="auto"/>
                <w:sz w:val="20"/>
              </w:rPr>
            </w:pPr>
            <w:r w:rsidRPr="003C2EB1">
              <w:rPr>
                <w:color w:val="auto"/>
                <w:sz w:val="20"/>
              </w:rPr>
              <w:t>Report reference</w:t>
            </w:r>
          </w:p>
        </w:tc>
      </w:tr>
      <w:tr w:rsidR="003C2EB1" w:rsidRPr="003C2EB1" w14:paraId="0A9EBDC1" w14:textId="77777777" w:rsidTr="00552BCA">
        <w:tc>
          <w:tcPr>
            <w:tcW w:w="2758" w:type="pct"/>
            <w:tcBorders>
              <w:top w:val="single" w:sz="18" w:space="0" w:color="2D276C" w:themeColor="accent6"/>
              <w:left w:val="nil"/>
              <w:bottom w:val="single" w:sz="4" w:space="0" w:color="808080" w:themeColor="background1" w:themeShade="80"/>
              <w:right w:val="nil"/>
            </w:tcBorders>
            <w:shd w:val="clear" w:color="auto" w:fill="FFFFFF" w:themeFill="background1"/>
            <w:hideMark/>
          </w:tcPr>
          <w:p w14:paraId="702E8FD7" w14:textId="77777777" w:rsidR="003C2EB1" w:rsidRPr="003C2EB1" w:rsidRDefault="003C2EB1" w:rsidP="003C2EB1">
            <w:r w:rsidRPr="003C2EB1">
              <w:t>Observations from EME web-form and call centre data</w:t>
            </w:r>
          </w:p>
        </w:tc>
        <w:tc>
          <w:tcPr>
            <w:tcW w:w="863" w:type="pct"/>
            <w:tcBorders>
              <w:top w:val="single" w:sz="18" w:space="0" w:color="2D276C" w:themeColor="accent6"/>
              <w:left w:val="nil"/>
              <w:bottom w:val="single" w:sz="4" w:space="0" w:color="808080" w:themeColor="background1" w:themeShade="80"/>
              <w:right w:val="nil"/>
            </w:tcBorders>
            <w:shd w:val="clear" w:color="auto" w:fill="FFFFFF" w:themeFill="background1"/>
            <w:hideMark/>
          </w:tcPr>
          <w:p w14:paraId="45512670" w14:textId="77777777" w:rsidR="003C2EB1" w:rsidRPr="003C2EB1" w:rsidRDefault="003C2EB1" w:rsidP="003C2EB1">
            <w:r w:rsidRPr="003C2EB1">
              <w:t>N=1,291</w:t>
            </w:r>
          </w:p>
        </w:tc>
        <w:tc>
          <w:tcPr>
            <w:tcW w:w="1379" w:type="pct"/>
            <w:tcBorders>
              <w:top w:val="single" w:sz="18" w:space="0" w:color="2D276C" w:themeColor="accent6"/>
              <w:left w:val="nil"/>
              <w:bottom w:val="single" w:sz="4" w:space="0" w:color="808080" w:themeColor="background1" w:themeShade="80"/>
              <w:right w:val="nil"/>
            </w:tcBorders>
            <w:shd w:val="clear" w:color="auto" w:fill="FFFFFF" w:themeFill="background1"/>
            <w:hideMark/>
          </w:tcPr>
          <w:p w14:paraId="553C6FED" w14:textId="77777777" w:rsidR="003C2EB1" w:rsidRPr="003C2EB1" w:rsidRDefault="003C2EB1" w:rsidP="003C2EB1">
            <w:r w:rsidRPr="003C2EB1">
              <w:rPr>
                <w:i/>
              </w:rPr>
              <w:t xml:space="preserve">‘Call-centre data’ </w:t>
            </w:r>
            <w:r w:rsidRPr="003C2EB1">
              <w:t>2021</w:t>
            </w:r>
          </w:p>
        </w:tc>
      </w:tr>
      <w:tr w:rsidR="003C2EB1" w:rsidRPr="003C2EB1" w14:paraId="28832EBC" w14:textId="77777777" w:rsidTr="00552BCA">
        <w:tc>
          <w:tcPr>
            <w:tcW w:w="2758"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06E242C0" w14:textId="77777777" w:rsidR="003C2EB1" w:rsidRPr="003C2EB1" w:rsidRDefault="003C2EB1" w:rsidP="003C2EB1">
            <w:r w:rsidRPr="003C2EB1">
              <w:t xml:space="preserve">Google Analytics report on the EME website </w:t>
            </w:r>
          </w:p>
        </w:tc>
        <w:tc>
          <w:tcPr>
            <w:tcW w:w="863"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3127649E" w14:textId="77777777" w:rsidR="003C2EB1" w:rsidRPr="003C2EB1" w:rsidRDefault="003C2EB1" w:rsidP="003C2EB1">
            <w:r w:rsidRPr="003C2EB1">
              <w:t>-</w:t>
            </w:r>
          </w:p>
        </w:tc>
        <w:tc>
          <w:tcPr>
            <w:tcW w:w="1379"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4F4BC2F6" w14:textId="77777777" w:rsidR="003C2EB1" w:rsidRPr="003C2EB1" w:rsidRDefault="003C2EB1" w:rsidP="003C2EB1">
            <w:r w:rsidRPr="003C2EB1">
              <w:rPr>
                <w:i/>
              </w:rPr>
              <w:t>‘Website Google Analytics data’</w:t>
            </w:r>
            <w:r w:rsidRPr="003C2EB1">
              <w:t xml:space="preserve"> 2021, 2022, 2024</w:t>
            </w:r>
          </w:p>
        </w:tc>
      </w:tr>
      <w:tr w:rsidR="003C2EB1" w:rsidRPr="003C2EB1" w14:paraId="5AA00ACA" w14:textId="77777777" w:rsidTr="00552BCA">
        <w:tc>
          <w:tcPr>
            <w:tcW w:w="2758"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4BA4B431" w14:textId="77777777" w:rsidR="003C2EB1" w:rsidRPr="003C2EB1" w:rsidRDefault="003C2EB1" w:rsidP="003C2EB1">
            <w:r w:rsidRPr="003C2EB1">
              <w:t xml:space="preserve">Entries in a widget on all pages of the EME website encouraging users to </w:t>
            </w:r>
            <w:r w:rsidRPr="003C2EB1">
              <w:rPr>
                <w:i/>
              </w:rPr>
              <w:t>Give feedback</w:t>
            </w:r>
          </w:p>
        </w:tc>
        <w:tc>
          <w:tcPr>
            <w:tcW w:w="863"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08A1AA19" w14:textId="77777777" w:rsidR="003C2EB1" w:rsidRPr="003C2EB1" w:rsidRDefault="003C2EB1" w:rsidP="003C2EB1">
            <w:r w:rsidRPr="003C2EB1">
              <w:t>N=133</w:t>
            </w:r>
          </w:p>
        </w:tc>
        <w:tc>
          <w:tcPr>
            <w:tcW w:w="1379"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3D0742F2" w14:textId="77777777" w:rsidR="003C2EB1" w:rsidRPr="003C2EB1" w:rsidRDefault="003C2EB1" w:rsidP="003C2EB1">
            <w:r w:rsidRPr="003C2EB1">
              <w:rPr>
                <w:i/>
              </w:rPr>
              <w:t>‘Website Feedback data’</w:t>
            </w:r>
            <w:r w:rsidRPr="003C2EB1">
              <w:t xml:space="preserve"> 2022</w:t>
            </w:r>
          </w:p>
        </w:tc>
      </w:tr>
      <w:tr w:rsidR="003C2EB1" w:rsidRPr="003C2EB1" w14:paraId="7C84CF6D" w14:textId="77777777" w:rsidTr="00552BCA">
        <w:tc>
          <w:tcPr>
            <w:tcW w:w="2758"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48CACF29" w14:textId="77777777" w:rsidR="003C2EB1" w:rsidRPr="003C2EB1" w:rsidRDefault="003C2EB1" w:rsidP="003C2EB1">
            <w:r w:rsidRPr="003C2EB1">
              <w:t>Pop-up survey of EME users about data sharing pathways</w:t>
            </w:r>
          </w:p>
        </w:tc>
        <w:tc>
          <w:tcPr>
            <w:tcW w:w="863"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277A2153" w14:textId="77777777" w:rsidR="003C2EB1" w:rsidRPr="003C2EB1" w:rsidRDefault="003C2EB1" w:rsidP="003C2EB1">
            <w:r w:rsidRPr="003C2EB1">
              <w:t>N=15,306</w:t>
            </w:r>
          </w:p>
        </w:tc>
        <w:tc>
          <w:tcPr>
            <w:tcW w:w="1379"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135D474B" w14:textId="77777777" w:rsidR="003C2EB1" w:rsidRPr="003C2EB1" w:rsidRDefault="003C2EB1" w:rsidP="003C2EB1">
            <w:r w:rsidRPr="003C2EB1">
              <w:rPr>
                <w:i/>
              </w:rPr>
              <w:t>‘Website Search Pathway Survey data’</w:t>
            </w:r>
            <w:r w:rsidRPr="003C2EB1">
              <w:t xml:space="preserve"> 2022</w:t>
            </w:r>
          </w:p>
        </w:tc>
      </w:tr>
      <w:tr w:rsidR="003C2EB1" w:rsidRPr="003C2EB1" w14:paraId="195CABAC" w14:textId="77777777" w:rsidTr="00552BCA">
        <w:tc>
          <w:tcPr>
            <w:tcW w:w="2758"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0E1677DF" w14:textId="77777777" w:rsidR="003C2EB1" w:rsidRPr="003C2EB1" w:rsidRDefault="003C2EB1" w:rsidP="003C2EB1">
            <w:r w:rsidRPr="003C2EB1">
              <w:t>Short pop-up surveys of EME users about drivers and barriers to switching plans</w:t>
            </w:r>
          </w:p>
        </w:tc>
        <w:tc>
          <w:tcPr>
            <w:tcW w:w="863"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0F014F73" w14:textId="77777777" w:rsidR="003C2EB1" w:rsidRPr="003C2EB1" w:rsidRDefault="003C2EB1" w:rsidP="003C2EB1">
            <w:r w:rsidRPr="003C2EB1">
              <w:t xml:space="preserve">N=6,432 </w:t>
            </w:r>
            <w:r w:rsidRPr="003C2EB1">
              <w:br/>
              <w:t>(531-1,173 in each survey)</w:t>
            </w:r>
          </w:p>
        </w:tc>
        <w:tc>
          <w:tcPr>
            <w:tcW w:w="1379"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4051B369" w14:textId="77777777" w:rsidR="003C2EB1" w:rsidRPr="003C2EB1" w:rsidRDefault="003C2EB1" w:rsidP="003C2EB1">
            <w:r w:rsidRPr="003C2EB1">
              <w:rPr>
                <w:i/>
              </w:rPr>
              <w:t>‘Website User Survey Series’</w:t>
            </w:r>
            <w:r w:rsidRPr="003C2EB1">
              <w:t xml:space="preserve"> 2022</w:t>
            </w:r>
          </w:p>
        </w:tc>
      </w:tr>
      <w:tr w:rsidR="003C2EB1" w:rsidRPr="003C2EB1" w14:paraId="68BEC0C1" w14:textId="77777777" w:rsidTr="00552BCA">
        <w:tc>
          <w:tcPr>
            <w:tcW w:w="2758"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1332A7E0" w14:textId="47F81FB1" w:rsidR="003C2EB1" w:rsidRPr="003C2EB1" w:rsidRDefault="003C2EB1" w:rsidP="003C2EB1">
            <w:r w:rsidRPr="003C2EB1">
              <w:t xml:space="preserve">Qualitative </w:t>
            </w:r>
            <w:r w:rsidR="00A6431C">
              <w:t>user-testing</w:t>
            </w:r>
            <w:r w:rsidRPr="003C2EB1">
              <w:t xml:space="preserve"> of website and prototypes</w:t>
            </w:r>
          </w:p>
        </w:tc>
        <w:tc>
          <w:tcPr>
            <w:tcW w:w="863"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195EED4E" w14:textId="77777777" w:rsidR="003C2EB1" w:rsidRPr="003C2EB1" w:rsidRDefault="003C2EB1" w:rsidP="003C2EB1">
            <w:r w:rsidRPr="003C2EB1">
              <w:t xml:space="preserve">N=40 </w:t>
            </w:r>
            <w:r w:rsidRPr="003C2EB1">
              <w:br/>
              <w:t>(~10 per round)</w:t>
            </w:r>
          </w:p>
        </w:tc>
        <w:tc>
          <w:tcPr>
            <w:tcW w:w="1379"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69C29443" w14:textId="77777777" w:rsidR="003C2EB1" w:rsidRPr="003C2EB1" w:rsidRDefault="003C2EB1" w:rsidP="003C2EB1">
            <w:r w:rsidRPr="003C2EB1">
              <w:rPr>
                <w:i/>
              </w:rPr>
              <w:t>‘Website User-Testing data’</w:t>
            </w:r>
            <w:r w:rsidRPr="003C2EB1">
              <w:t xml:space="preserve"> 2022</w:t>
            </w:r>
          </w:p>
        </w:tc>
      </w:tr>
      <w:tr w:rsidR="003C2EB1" w:rsidRPr="003C2EB1" w14:paraId="447CEF28" w14:textId="77777777" w:rsidTr="00552BCA">
        <w:tc>
          <w:tcPr>
            <w:tcW w:w="2758"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78F593F6" w14:textId="77777777" w:rsidR="003C2EB1" w:rsidRPr="003C2EB1" w:rsidRDefault="003C2EB1" w:rsidP="003C2EB1">
            <w:r w:rsidRPr="003C2EB1">
              <w:t>Survey about switching preferences and use of comparison websites</w:t>
            </w:r>
          </w:p>
        </w:tc>
        <w:tc>
          <w:tcPr>
            <w:tcW w:w="863"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003A3B22" w14:textId="77777777" w:rsidR="003C2EB1" w:rsidRPr="003C2EB1" w:rsidRDefault="003C2EB1" w:rsidP="003C2EB1">
            <w:r w:rsidRPr="003C2EB1">
              <w:t xml:space="preserve">Panel=1,554, EME=513 </w:t>
            </w:r>
          </w:p>
        </w:tc>
        <w:tc>
          <w:tcPr>
            <w:tcW w:w="1379"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tcPr>
          <w:p w14:paraId="54FB3714" w14:textId="77777777" w:rsidR="003C2EB1" w:rsidRPr="003C2EB1" w:rsidRDefault="003C2EB1" w:rsidP="003C2EB1">
            <w:r w:rsidRPr="003C2EB1">
              <w:rPr>
                <w:i/>
              </w:rPr>
              <w:t xml:space="preserve">‘Panel Survey data’ </w:t>
            </w:r>
            <w:r w:rsidRPr="003C2EB1">
              <w:t>2022</w:t>
            </w:r>
          </w:p>
        </w:tc>
      </w:tr>
      <w:tr w:rsidR="003C2EB1" w:rsidRPr="003C2EB1" w14:paraId="2E8030E1" w14:textId="77777777" w:rsidTr="00552BCA">
        <w:tc>
          <w:tcPr>
            <w:tcW w:w="2758" w:type="pct"/>
            <w:tcBorders>
              <w:top w:val="single" w:sz="4" w:space="0" w:color="808080" w:themeColor="background1" w:themeShade="80"/>
              <w:left w:val="nil"/>
              <w:bottom w:val="single" w:sz="18" w:space="0" w:color="2D276C" w:themeColor="accent6"/>
              <w:right w:val="nil"/>
            </w:tcBorders>
            <w:shd w:val="clear" w:color="auto" w:fill="FFFFFF" w:themeFill="background1"/>
          </w:tcPr>
          <w:p w14:paraId="07EFA12F" w14:textId="77777777" w:rsidR="003C2EB1" w:rsidRPr="003C2EB1" w:rsidRDefault="003C2EB1" w:rsidP="003C2EB1">
            <w:r w:rsidRPr="003C2EB1">
              <w:t>Survey experiments on discounts and bumping retailer’s lowest offer to the top of the page</w:t>
            </w:r>
          </w:p>
        </w:tc>
        <w:tc>
          <w:tcPr>
            <w:tcW w:w="863" w:type="pct"/>
            <w:tcBorders>
              <w:top w:val="single" w:sz="4" w:space="0" w:color="808080" w:themeColor="background1" w:themeShade="80"/>
              <w:left w:val="nil"/>
              <w:bottom w:val="single" w:sz="18" w:space="0" w:color="2D276C" w:themeColor="accent6"/>
              <w:right w:val="nil"/>
            </w:tcBorders>
            <w:shd w:val="clear" w:color="auto" w:fill="FFFFFF" w:themeFill="background1"/>
          </w:tcPr>
          <w:p w14:paraId="0F073EC6" w14:textId="77777777" w:rsidR="003C2EB1" w:rsidRPr="003C2EB1" w:rsidRDefault="003C2EB1" w:rsidP="003C2EB1">
            <w:r w:rsidRPr="003C2EB1">
              <w:t>N=2,136</w:t>
            </w:r>
          </w:p>
        </w:tc>
        <w:tc>
          <w:tcPr>
            <w:tcW w:w="1379" w:type="pct"/>
            <w:tcBorders>
              <w:top w:val="single" w:sz="4" w:space="0" w:color="808080" w:themeColor="background1" w:themeShade="80"/>
              <w:left w:val="nil"/>
              <w:bottom w:val="single" w:sz="18" w:space="0" w:color="2D276C" w:themeColor="accent6"/>
              <w:right w:val="nil"/>
            </w:tcBorders>
            <w:shd w:val="clear" w:color="auto" w:fill="FFFFFF" w:themeFill="background1"/>
          </w:tcPr>
          <w:p w14:paraId="23FFFC56" w14:textId="77777777" w:rsidR="003C2EB1" w:rsidRPr="003C2EB1" w:rsidRDefault="003C2EB1" w:rsidP="003C2EB1">
            <w:r w:rsidRPr="003C2EB1">
              <w:rPr>
                <w:i/>
              </w:rPr>
              <w:t>‘Panel Survey-Experiment data’</w:t>
            </w:r>
            <w:r w:rsidRPr="003C2EB1">
              <w:t xml:space="preserve"> 2022</w:t>
            </w:r>
          </w:p>
        </w:tc>
      </w:tr>
    </w:tbl>
    <w:p w14:paraId="49FADA89" w14:textId="46BF973B" w:rsidR="003C2EB1" w:rsidRPr="008412AC" w:rsidRDefault="003C2EB1" w:rsidP="008412AC">
      <w:pPr>
        <w:rPr>
          <w:b/>
        </w:rPr>
      </w:pPr>
      <w:r>
        <w:br w:type="page"/>
      </w:r>
    </w:p>
    <w:p w14:paraId="7740C6E2" w14:textId="14E495A8" w:rsidR="00C32523" w:rsidRDefault="00C32523" w:rsidP="00C32523">
      <w:pPr>
        <w:pStyle w:val="Heading2"/>
      </w:pPr>
      <w:bookmarkStart w:id="61" w:name="_Toc200588789"/>
      <w:bookmarkStart w:id="62" w:name="_Toc200642893"/>
      <w:r>
        <w:lastRenderedPageBreak/>
        <w:t xml:space="preserve">Appendix </w:t>
      </w:r>
      <w:r w:rsidR="003C2EB1">
        <w:t>B</w:t>
      </w:r>
      <w:r>
        <w:t xml:space="preserve">: </w:t>
      </w:r>
      <w:r>
        <w:br/>
        <w:t>Technical details</w:t>
      </w:r>
      <w:bookmarkEnd w:id="59"/>
      <w:bookmarkEnd w:id="60"/>
      <w:bookmarkEnd w:id="61"/>
      <w:bookmarkEnd w:id="62"/>
    </w:p>
    <w:p w14:paraId="0B1ACFE7" w14:textId="77777777" w:rsidR="00C32523" w:rsidRDefault="00C32523" w:rsidP="00C32523">
      <w:pPr>
        <w:pStyle w:val="Heading3"/>
      </w:pPr>
      <w:r>
        <w:t>Pre-registration, pre-analysis plan and ethics</w:t>
      </w:r>
    </w:p>
    <w:p w14:paraId="1EA697E1" w14:textId="7B1DF416" w:rsidR="00C32523" w:rsidRPr="008E1224" w:rsidRDefault="00C32523" w:rsidP="00C32523">
      <w:r w:rsidRPr="00553D20">
        <w:t>Th</w:t>
      </w:r>
      <w:r w:rsidR="00EC6D2C">
        <w:t>e</w:t>
      </w:r>
      <w:r w:rsidRPr="00553D20">
        <w:t xml:space="preserve"> pre</w:t>
      </w:r>
      <w:r w:rsidRPr="00553D20">
        <w:noBreakHyphen/>
        <w:t>a</w:t>
      </w:r>
      <w:r>
        <w:t>nalysis plan</w:t>
      </w:r>
      <w:r w:rsidR="00EC6D2C">
        <w:t xml:space="preserve"> for the RCT</w:t>
      </w:r>
      <w:r>
        <w:t xml:space="preserve"> was registered on 27 June 2022</w:t>
      </w:r>
      <w:r w:rsidRPr="00553D20">
        <w:t xml:space="preserve">. This was after the </w:t>
      </w:r>
      <w:r>
        <w:t>experiment</w:t>
      </w:r>
      <w:r w:rsidRPr="00553D20">
        <w:t xml:space="preserve"> launch on 10 June 2022 but before data collection was completed and befo</w:t>
      </w:r>
      <w:r>
        <w:t>re any analysis was undertaken</w:t>
      </w:r>
      <w:r>
        <w:rPr>
          <w:rFonts w:ascii="Helvetica" w:hAnsi="Helvetica"/>
        </w:rPr>
        <w:t xml:space="preserve">. The ethical aspects of the experimental research were reviewed and approved by the Macquarie </w:t>
      </w:r>
      <w:r w:rsidRPr="00826BEC">
        <w:rPr>
          <w:rFonts w:ascii="Helvetica" w:hAnsi="Helvetica"/>
        </w:rPr>
        <w:t xml:space="preserve">University </w:t>
      </w:r>
      <w:r w:rsidRPr="008E1224">
        <w:rPr>
          <w:rFonts w:ascii="Helvetica" w:hAnsi="Helvetica"/>
        </w:rPr>
        <w:t>Low Risk Committee</w:t>
      </w:r>
      <w:r w:rsidRPr="00826BEC">
        <w:rPr>
          <w:rFonts w:ascii="Helvetica" w:hAnsi="Helvetica"/>
        </w:rPr>
        <w:t xml:space="preserve"> (Project</w:t>
      </w:r>
      <w:r>
        <w:rPr>
          <w:rFonts w:ascii="Helvetica" w:hAnsi="Helvetica"/>
        </w:rPr>
        <w:t xml:space="preserve"> ID: 11843), as </w:t>
      </w:r>
      <w:r w:rsidR="00F635DE">
        <w:rPr>
          <w:rFonts w:ascii="Helvetica" w:hAnsi="Helvetica"/>
        </w:rPr>
        <w:t xml:space="preserve">were </w:t>
      </w:r>
      <w:r>
        <w:rPr>
          <w:rFonts w:ascii="Helvetica" w:hAnsi="Helvetica"/>
        </w:rPr>
        <w:t xml:space="preserve">the </w:t>
      </w:r>
      <w:r w:rsidR="00A6431C">
        <w:rPr>
          <w:rFonts w:ascii="Helvetica" w:hAnsi="Helvetica"/>
        </w:rPr>
        <w:t>user-testing</w:t>
      </w:r>
      <w:r>
        <w:rPr>
          <w:rFonts w:ascii="Helvetica" w:hAnsi="Helvetica"/>
        </w:rPr>
        <w:t xml:space="preserve"> / interviews (Project ID: 11212). The short pop-up surveys on the Energy Made Easy website were assessed as negligible risk (approved by Macquarie University Ethics Secretariat)</w:t>
      </w:r>
    </w:p>
    <w:p w14:paraId="781D46BC" w14:textId="77777777" w:rsidR="00C32523" w:rsidRDefault="00C32523" w:rsidP="00C32523">
      <w:pPr>
        <w:rPr>
          <w:rFonts w:ascii="Helvetica" w:hAnsi="Helvetica"/>
        </w:rPr>
      </w:pPr>
      <w:r>
        <w:rPr>
          <w:rFonts w:ascii="Helvetica" w:hAnsi="Helvetica"/>
        </w:rPr>
        <w:t xml:space="preserve">The analysis of the </w:t>
      </w:r>
      <w:r w:rsidRPr="00B241B0">
        <w:rPr>
          <w:rFonts w:ascii="Helvetica" w:hAnsi="Helvetica"/>
        </w:rPr>
        <w:t xml:space="preserve">RCT data </w:t>
      </w:r>
      <w:r w:rsidRPr="008E1224">
        <w:rPr>
          <w:rFonts w:ascii="Helvetica" w:hAnsi="Helvetica"/>
        </w:rPr>
        <w:t>was</w:t>
      </w:r>
      <w:r w:rsidRPr="00B241B0">
        <w:rPr>
          <w:rFonts w:ascii="Helvetica" w:hAnsi="Helvetica"/>
        </w:rPr>
        <w:t xml:space="preserve"> consistent with the pre-analysis plan. All exploratory analyses are clearly designated. The</w:t>
      </w:r>
      <w:r>
        <w:rPr>
          <w:rFonts w:ascii="Helvetica" w:hAnsi="Helvetica"/>
        </w:rPr>
        <w:t xml:space="preserve"> pre-analysis plan is available on the BETA website. </w:t>
      </w:r>
    </w:p>
    <w:p w14:paraId="162F9CC0" w14:textId="77777777" w:rsidR="00C32523" w:rsidRDefault="00C32523" w:rsidP="00C32523">
      <w:pPr>
        <w:pStyle w:val="Heading3"/>
      </w:pPr>
      <w:r>
        <w:t>Data cleaning</w:t>
      </w:r>
    </w:p>
    <w:p w14:paraId="3B9D2E5E" w14:textId="0ACA61AE" w:rsidR="00C32523" w:rsidRDefault="00C32523" w:rsidP="00C32523">
      <w:r>
        <w:t xml:space="preserve">We cleaned and analysed the data using </w:t>
      </w:r>
      <w:r w:rsidR="00EC6D2C">
        <w:t>R</w:t>
      </w:r>
      <w:r w:rsidRPr="00B241B0">
        <w:t xml:space="preserve">. </w:t>
      </w:r>
      <w:r w:rsidRPr="008E1224">
        <w:t>As we collected data we did regular checks on quotas, assessments for bots, and checks for randomisation or other errors. We did not analyse the data until after collection was complete.</w:t>
      </w:r>
    </w:p>
    <w:p w14:paraId="1808A3F8" w14:textId="77777777" w:rsidR="00C32523" w:rsidRDefault="00C32523" w:rsidP="00C32523">
      <w:pPr>
        <w:pStyle w:val="Heading3"/>
      </w:pPr>
      <w:r>
        <w:t>Population and sampling</w:t>
      </w:r>
    </w:p>
    <w:p w14:paraId="1E871013" w14:textId="77777777" w:rsidR="00C32523" w:rsidRDefault="00C32523" w:rsidP="00C32523">
      <w:r>
        <w:t xml:space="preserve">Our sample was drawn from two sources. </w:t>
      </w:r>
    </w:p>
    <w:p w14:paraId="3E807E79" w14:textId="64703302" w:rsidR="00C32523" w:rsidRDefault="00C32523" w:rsidP="00C32523">
      <w:r w:rsidRPr="00937BD5">
        <w:rPr>
          <w:b/>
        </w:rPr>
        <w:t>Online panel</w:t>
      </w:r>
      <w:r>
        <w:t xml:space="preserve">: </w:t>
      </w:r>
      <w:r w:rsidR="00FC24A3">
        <w:t>We aimed for a sample of 1,725</w:t>
      </w:r>
      <w:r>
        <w:t xml:space="preserve"> respondents drawn from an online survey panel constructed by the Online Research Unit (the ORU). The ORU’s panel was </w:t>
      </w:r>
      <w:r w:rsidRPr="00AA16D6">
        <w:t xml:space="preserve">recruited </w:t>
      </w:r>
      <w:r>
        <w:t xml:space="preserve">through a mix of offline and online methods including </w:t>
      </w:r>
      <w:r w:rsidRPr="00AA16D6">
        <w:t xml:space="preserve">post, phone, print and online recruitment. </w:t>
      </w:r>
      <w:r>
        <w:t xml:space="preserve">Panel members received incentives for participation </w:t>
      </w:r>
      <w:r w:rsidRPr="00AA16D6">
        <w:t>by post to a physical address. This reduce</w:t>
      </w:r>
      <w:r>
        <w:t>d</w:t>
      </w:r>
      <w:r w:rsidRPr="00AA16D6">
        <w:t xml:space="preserve"> the risks of fraudulent respondents or panellists that reside outside of Australia.</w:t>
      </w:r>
      <w:r>
        <w:t xml:space="preserve"> </w:t>
      </w:r>
    </w:p>
    <w:p w14:paraId="6280AC11" w14:textId="77777777" w:rsidR="00C32523" w:rsidRPr="00AA16D6" w:rsidRDefault="00C32523" w:rsidP="00C32523">
      <w:r>
        <w:t xml:space="preserve">Participants from the ORU’s panel were </w:t>
      </w:r>
      <w:r w:rsidRPr="00AA16D6">
        <w:t>restrict</w:t>
      </w:r>
      <w:r>
        <w:t>ed</w:t>
      </w:r>
      <w:r w:rsidRPr="00AA16D6">
        <w:t xml:space="preserve"> </w:t>
      </w:r>
      <w:r>
        <w:t xml:space="preserve">to those aged 18 </w:t>
      </w:r>
      <w:r w:rsidRPr="00AA16D6">
        <w:t xml:space="preserve">years </w:t>
      </w:r>
      <w:r>
        <w:t xml:space="preserve">or above </w:t>
      </w:r>
      <w:r w:rsidRPr="00AA16D6">
        <w:t>old</w:t>
      </w:r>
      <w:r>
        <w:t xml:space="preserve"> who live in </w:t>
      </w:r>
      <w:r w:rsidRPr="00AA16D6">
        <w:t>jurisdictions in the National Energy Market</w:t>
      </w:r>
      <w:r>
        <w:t xml:space="preserve"> </w:t>
      </w:r>
      <w:r w:rsidRPr="00AA16D6">
        <w:t>(NSW, QLD, SA, TAS and the ACT)</w:t>
      </w:r>
      <w:r>
        <w:t xml:space="preserve">, </w:t>
      </w:r>
      <w:r w:rsidRPr="00AA16D6">
        <w:t>since the EME site only provides comparisons for those jurisdictions.</w:t>
      </w:r>
      <w:r>
        <w:t xml:space="preserve"> We applied loose quotas for survey participants based on age, gender and location (metro/regional).</w:t>
      </w:r>
    </w:p>
    <w:p w14:paraId="7D55E648" w14:textId="305E4512" w:rsidR="00C32523" w:rsidRDefault="00C32523" w:rsidP="00C32523">
      <w:r w:rsidRPr="00937BD5">
        <w:rPr>
          <w:b/>
        </w:rPr>
        <w:t>EME website visitors</w:t>
      </w:r>
      <w:r>
        <w:t>: The second sample source was via a link from the EME website that displayed during June for approximately 2 weeks</w:t>
      </w:r>
      <w:r w:rsidRPr="00AA16D6">
        <w:t>.</w:t>
      </w:r>
      <w:r>
        <w:t xml:space="preserve"> We aimed for at least 1,275</w:t>
      </w:r>
      <w:r w:rsidR="00A82C37">
        <w:t xml:space="preserve"> responses</w:t>
      </w:r>
      <w:r>
        <w:t xml:space="preserve"> – see section below on Sample Size and Power Calculations for further details. W</w:t>
      </w:r>
      <w:r w:rsidRPr="00AA16D6">
        <w:t xml:space="preserve">e </w:t>
      </w:r>
      <w:r>
        <w:t xml:space="preserve">did not impose any </w:t>
      </w:r>
      <w:r w:rsidRPr="00AA16D6">
        <w:t xml:space="preserve">restrictions </w:t>
      </w:r>
      <w:r>
        <w:t xml:space="preserve">on the age or location of respondents because </w:t>
      </w:r>
      <w:r w:rsidRPr="00AA16D6">
        <w:t xml:space="preserve">previous </w:t>
      </w:r>
      <w:r>
        <w:t xml:space="preserve">surveys on the </w:t>
      </w:r>
      <w:r w:rsidRPr="00AA16D6">
        <w:t xml:space="preserve">EME </w:t>
      </w:r>
      <w:r>
        <w:t xml:space="preserve">site </w:t>
      </w:r>
      <w:r w:rsidRPr="00AA16D6">
        <w:t xml:space="preserve">suggest almost all users who responded to </w:t>
      </w:r>
      <w:r>
        <w:t xml:space="preserve">a </w:t>
      </w:r>
      <w:r w:rsidRPr="00AA16D6">
        <w:t xml:space="preserve">survey were </w:t>
      </w:r>
      <w:r>
        <w:t xml:space="preserve">18 years or older </w:t>
      </w:r>
      <w:r w:rsidRPr="00AA16D6">
        <w:lastRenderedPageBreak/>
        <w:t>(99.9%) and living in NEM jurisdictions (99.6%).</w:t>
      </w:r>
      <w:r>
        <w:t xml:space="preserve"> </w:t>
      </w:r>
      <w:r w:rsidRPr="00AA16D6">
        <w:t xml:space="preserve">Participants who </w:t>
      </w:r>
      <w:r w:rsidR="00A82C37">
        <w:t>completed the survey</w:t>
      </w:r>
      <w:r w:rsidRPr="00AA16D6">
        <w:t xml:space="preserve"> via the EME site </w:t>
      </w:r>
      <w:r>
        <w:t>did</w:t>
      </w:r>
      <w:r w:rsidRPr="00AA16D6">
        <w:t xml:space="preserve"> not receive any payment or reimbursement for their participation.</w:t>
      </w:r>
    </w:p>
    <w:p w14:paraId="63705DC0" w14:textId="77777777" w:rsidR="00C32523" w:rsidRDefault="00C32523" w:rsidP="00C32523">
      <w:r w:rsidRPr="007E2B43">
        <w:rPr>
          <w:b/>
        </w:rPr>
        <w:t>Population of interest</w:t>
      </w:r>
      <w:r>
        <w:t>: Our population of interest was prospective visitors to the Energy Made Easy website. In principle, this could extend to all household and small business energy consumers in the National Energy Market. In practice, only a subset of these energy consumers would ever visit the website. Neither of the samples were representative of the population of interest so some caution must be applied in generalising the results of the survey experiments.</w:t>
      </w:r>
    </w:p>
    <w:p w14:paraId="7734FBB8" w14:textId="3F26D84E" w:rsidR="00C32523" w:rsidRDefault="00FC24A3" w:rsidP="00FC24A3">
      <w:r>
        <w:t>After data cleaning, we achieved a final</w:t>
      </w:r>
      <w:r w:rsidR="00C32523">
        <w:t xml:space="preserve"> sample </w:t>
      </w:r>
      <w:r>
        <w:t>of 1,650</w:t>
      </w:r>
      <w:r w:rsidR="00C32523">
        <w:t xml:space="preserve"> respond</w:t>
      </w:r>
      <w:r>
        <w:t>ents through the panel and 620</w:t>
      </w:r>
      <w:r w:rsidR="00C32523">
        <w:t xml:space="preserve"> respondents through the websit</w:t>
      </w:r>
      <w:r>
        <w:t xml:space="preserve">e, making our final sample 2,270 respondents. </w:t>
      </w:r>
    </w:p>
    <w:p w14:paraId="46A9B396" w14:textId="77777777" w:rsidR="00C32523" w:rsidRDefault="00C32523" w:rsidP="00C32523">
      <w:pPr>
        <w:pStyle w:val="Heading3"/>
      </w:pPr>
      <w:r>
        <w:t xml:space="preserve">Survey design </w:t>
      </w:r>
    </w:p>
    <w:p w14:paraId="0CDA906E" w14:textId="01DEC469" w:rsidR="00C32523" w:rsidRDefault="00FC24A3" w:rsidP="00FC24A3">
      <w:r>
        <w:t>The median duration was 8.6 minutes (panel sample) and 10.</w:t>
      </w:r>
      <w:r w:rsidR="002B1550">
        <w:t>3 minutes (website sample). While the panel sample was reasonably representative of the population, the web sample was predominantly male (65%) and substantially older (50% over 55). Both surveys contained an almost identical question set and randomisation to treatment was balanced across the samples.</w:t>
      </w:r>
    </w:p>
    <w:p w14:paraId="242E5AF7" w14:textId="1AA9AAA9" w:rsidR="002B1550" w:rsidRDefault="002B1550" w:rsidP="00FC24A3">
      <w:r>
        <w:t>The survey flow ran as follows:</w:t>
      </w:r>
    </w:p>
    <w:p w14:paraId="7A04E497" w14:textId="362A3F50" w:rsidR="002B1550" w:rsidRPr="005F6BDA" w:rsidRDefault="00E461C9" w:rsidP="005F6BDA">
      <w:pPr>
        <w:pStyle w:val="ListNumber"/>
        <w:numPr>
          <w:ilvl w:val="0"/>
          <w:numId w:val="70"/>
        </w:numPr>
      </w:pPr>
      <w:r w:rsidRPr="005F6BDA">
        <w:t>Screeners</w:t>
      </w:r>
    </w:p>
    <w:p w14:paraId="70C23057" w14:textId="26E88ACA" w:rsidR="00E461C9" w:rsidRPr="005F6BDA" w:rsidRDefault="00E461C9" w:rsidP="005F6BDA">
      <w:pPr>
        <w:pStyle w:val="ListNumber"/>
      </w:pPr>
      <w:r w:rsidRPr="005F6BDA">
        <w:t>Switching behaviours</w:t>
      </w:r>
    </w:p>
    <w:p w14:paraId="422129EB" w14:textId="062E59B9" w:rsidR="00E461C9" w:rsidRPr="005F6BDA" w:rsidRDefault="00E461C9" w:rsidP="005F6BDA">
      <w:pPr>
        <w:pStyle w:val="ListNumber"/>
      </w:pPr>
      <w:r w:rsidRPr="005F6BDA">
        <w:t>Randomisation to treatment arms</w:t>
      </w:r>
      <w:r w:rsidR="006B3E6A" w:rsidRPr="005F6BDA">
        <w:t xml:space="preserve"> for both experiments</w:t>
      </w:r>
    </w:p>
    <w:p w14:paraId="154906BC" w14:textId="36E55EDA" w:rsidR="00E461C9" w:rsidRPr="005F6BDA" w:rsidRDefault="00E461C9" w:rsidP="005F6BDA">
      <w:pPr>
        <w:pStyle w:val="ListNumber"/>
      </w:pPr>
      <w:r w:rsidRPr="005F6BDA">
        <w:t>Both experiments</w:t>
      </w:r>
      <w:r w:rsidR="00DF38FC" w:rsidRPr="005F6BDA">
        <w:t xml:space="preserve"> consecutively</w:t>
      </w:r>
      <w:r w:rsidRPr="005F6BDA">
        <w:t>, order randomised</w:t>
      </w:r>
    </w:p>
    <w:p w14:paraId="403D9B1D" w14:textId="10391CF3" w:rsidR="00E461C9" w:rsidRPr="005F6BDA" w:rsidRDefault="00E461C9" w:rsidP="005F6BDA">
      <w:pPr>
        <w:pStyle w:val="ListNumber"/>
      </w:pPr>
      <w:r w:rsidRPr="005F6BDA">
        <w:t>Energy Made Easy preferences</w:t>
      </w:r>
    </w:p>
    <w:p w14:paraId="7A185C8F" w14:textId="7910681C" w:rsidR="00E461C9" w:rsidRPr="005F6BDA" w:rsidRDefault="00E461C9" w:rsidP="005F6BDA">
      <w:pPr>
        <w:pStyle w:val="ListNumber"/>
      </w:pPr>
      <w:r w:rsidRPr="005F6BDA">
        <w:t>Engagements with the energy market and energy consumption</w:t>
      </w:r>
    </w:p>
    <w:p w14:paraId="0576ECD1" w14:textId="3A474C93" w:rsidR="00E461C9" w:rsidRPr="005F6BDA" w:rsidRDefault="006B3E6A" w:rsidP="005F6BDA">
      <w:pPr>
        <w:pStyle w:val="ListNumber"/>
      </w:pPr>
      <w:r w:rsidRPr="005F6BDA">
        <w:t>Demographics</w:t>
      </w:r>
    </w:p>
    <w:p w14:paraId="3E20819D" w14:textId="7B70EB45" w:rsidR="00DF38FC" w:rsidRDefault="00B642EF" w:rsidP="00DF38FC">
      <w:r>
        <w:t>Survey questions can be made available on request.</w:t>
      </w:r>
    </w:p>
    <w:p w14:paraId="04075132" w14:textId="77777777" w:rsidR="00DF38FC" w:rsidRPr="00DF38FC" w:rsidRDefault="00DF38FC" w:rsidP="00DF38FC">
      <w:pPr>
        <w:rPr>
          <w:rFonts w:cstheme="minorBidi"/>
        </w:rPr>
      </w:pPr>
    </w:p>
    <w:p w14:paraId="0BDED787" w14:textId="6F50DB97" w:rsidR="00E461C9" w:rsidRPr="00E461C9" w:rsidRDefault="00E461C9" w:rsidP="00E461C9">
      <w:pPr>
        <w:ind w:left="360"/>
        <w:rPr>
          <w:rFonts w:cstheme="minorBidi"/>
        </w:rPr>
      </w:pPr>
    </w:p>
    <w:p w14:paraId="29E22DFE" w14:textId="080C7012" w:rsidR="00FC24A3" w:rsidRDefault="00FC24A3">
      <w:pPr>
        <w:spacing w:after="0" w:line="240" w:lineRule="auto"/>
        <w:rPr>
          <w:rFonts w:asciiTheme="majorHAnsi" w:hAnsiTheme="majorHAnsi"/>
          <w:b/>
          <w:sz w:val="72"/>
          <w:szCs w:val="44"/>
        </w:rPr>
      </w:pPr>
      <w:bookmarkStart w:id="63" w:name="_Toc181870050"/>
      <w:r>
        <w:br w:type="page"/>
      </w:r>
    </w:p>
    <w:p w14:paraId="37E37BB1" w14:textId="2E041534" w:rsidR="00C32523" w:rsidRDefault="00C32523" w:rsidP="00C32523">
      <w:pPr>
        <w:pStyle w:val="Heading2"/>
      </w:pPr>
      <w:bookmarkStart w:id="64" w:name="_Toc184198598"/>
      <w:bookmarkStart w:id="65" w:name="_Toc200588790"/>
      <w:bookmarkStart w:id="66" w:name="_Toc200642894"/>
      <w:r>
        <w:lastRenderedPageBreak/>
        <w:t xml:space="preserve">Appendix </w:t>
      </w:r>
      <w:r w:rsidR="003C2EB1">
        <w:t>C</w:t>
      </w:r>
      <w:r>
        <w:t xml:space="preserve">: </w:t>
      </w:r>
      <w:bookmarkEnd w:id="63"/>
      <w:r w:rsidR="00B642EF">
        <w:br/>
      </w:r>
      <w:r w:rsidR="00DF38FC">
        <w:t>Special offers RCT</w:t>
      </w:r>
      <w:bookmarkEnd w:id="64"/>
      <w:bookmarkEnd w:id="65"/>
      <w:bookmarkEnd w:id="66"/>
    </w:p>
    <w:p w14:paraId="2D0D03D4" w14:textId="77777777" w:rsidR="00C32523" w:rsidRDefault="00C32523" w:rsidP="00C32523">
      <w:pPr>
        <w:pStyle w:val="Heading3"/>
      </w:pPr>
      <w:r>
        <w:t>Design</w:t>
      </w:r>
    </w:p>
    <w:p w14:paraId="606AC82A" w14:textId="58391554" w:rsidR="00EA0799" w:rsidRDefault="00EA0799" w:rsidP="00EA0799">
      <w:r>
        <w:t xml:space="preserve">Several participants in </w:t>
      </w:r>
      <w:r w:rsidR="00A6431C">
        <w:t>user-testing</w:t>
      </w:r>
      <w:r>
        <w:t xml:space="preserve"> said they were aware that retailers often offer discounts or special offers, and they said they wanted to see that information on the results page. However, these discounts are already factored into the ‘estimated cost’ of each plan so there is a risk that site visitors effectively double-count the discounts, leading them to mistakenly choose an inferior plan.</w:t>
      </w:r>
    </w:p>
    <w:p w14:paraId="67589D47" w14:textId="7E593F8C" w:rsidR="00C32523" w:rsidRDefault="00EA0799" w:rsidP="00EA0799">
      <w:r>
        <w:t>Experiment B is a 3-arm individually randomised survey experiment run with the aim of evaluating whether drawing attention to plan discounts increases the percentage who choose the discounted plan (not the cheapest plan), and whether additional information can neutralise the effect of the discount flag. Specifically we want to know whether we can ensure that consumers notice that the total estimated cost already includes the discount or whether they are applying the discount to the discounted price estimate.</w:t>
      </w:r>
    </w:p>
    <w:p w14:paraId="4D968EA6" w14:textId="77777777" w:rsidR="00C32523" w:rsidRDefault="00C32523" w:rsidP="00C32523">
      <w:pPr>
        <w:pStyle w:val="Heading3"/>
      </w:pPr>
      <w:r>
        <w:t>Sample size and power</w:t>
      </w:r>
    </w:p>
    <w:p w14:paraId="4D7637EE" w14:textId="0B14674B" w:rsidR="00EA0799" w:rsidRPr="00921108" w:rsidRDefault="00EA0799" w:rsidP="00EA0799">
      <w:r w:rsidRPr="00921108">
        <w:t xml:space="preserve">We performed power calculations </w:t>
      </w:r>
      <w:r>
        <w:t xml:space="preserve">for the minimum detectable effect size </w:t>
      </w:r>
      <w:r w:rsidRPr="00921108">
        <w:t>using a</w:t>
      </w:r>
      <w:r>
        <w:t xml:space="preserve">n </w:t>
      </w:r>
      <w:r w:rsidRPr="00921108">
        <w:t xml:space="preserve">alpha of 5%, and </w:t>
      </w:r>
      <w:r>
        <w:t>power of 80% for a one</w:t>
      </w:r>
      <w:r>
        <w:noBreakHyphen/>
        <w:t>sided</w:t>
      </w:r>
      <w:r w:rsidRPr="00921108">
        <w:t xml:space="preserve"> test.</w:t>
      </w:r>
      <w:r>
        <w:t xml:space="preserve"> This assumed that we would collect a sample size of 3,000 respondents across the 2 samples</w:t>
      </w:r>
      <w:r w:rsidR="003A2965">
        <w:t>.</w:t>
      </w:r>
    </w:p>
    <w:p w14:paraId="53855E92" w14:textId="67A08A72" w:rsidR="00EA0799" w:rsidRPr="00CA0CB4" w:rsidRDefault="00EA0799" w:rsidP="00EA0799">
      <w:r>
        <w:t>With 3,000 respondents,</w:t>
      </w:r>
      <w:r w:rsidRPr="00CA0CB4">
        <w:t xml:space="preserve"> the </w:t>
      </w:r>
      <w:r>
        <w:t>experiment</w:t>
      </w:r>
      <w:r w:rsidRPr="00CA0CB4">
        <w:t xml:space="preserve"> </w:t>
      </w:r>
      <w:r>
        <w:t xml:space="preserve">would have been </w:t>
      </w:r>
      <w:r w:rsidRPr="00CA0CB4">
        <w:t>power</w:t>
      </w:r>
      <w:r>
        <w:t>ed</w:t>
      </w:r>
      <w:r w:rsidRPr="00CA0CB4">
        <w:t xml:space="preserve"> to detect a minimum</w:t>
      </w:r>
      <w:r>
        <w:t xml:space="preserve"> effect size of a decrease of</w:t>
      </w:r>
      <w:r w:rsidRPr="00CA0CB4">
        <w:t xml:space="preserve"> 5</w:t>
      </w:r>
      <w:r w:rsidRPr="00CA0CB4" w:rsidDel="00EE30F3">
        <w:t xml:space="preserve"> </w:t>
      </w:r>
      <w:r w:rsidRPr="00CA0CB4">
        <w:t>percentage points (based on a baseline rate of 90% choosing the cheapest plan</w:t>
      </w:r>
      <w:r>
        <w:t xml:space="preserve"> (H1))</w:t>
      </w:r>
      <w:r w:rsidRPr="00CA0CB4">
        <w:t xml:space="preserve">. </w:t>
      </w:r>
    </w:p>
    <w:p w14:paraId="22DD6B71" w14:textId="77777777" w:rsidR="00C32523" w:rsidRDefault="00C32523" w:rsidP="00C32523">
      <w:pPr>
        <w:pStyle w:val="Heading3"/>
      </w:pPr>
      <w:r>
        <w:t>Sample randomisation</w:t>
      </w:r>
    </w:p>
    <w:p w14:paraId="403BFDF5" w14:textId="20F411CE" w:rsidR="00B11CF4" w:rsidRDefault="005A443F" w:rsidP="002C7EA0">
      <w:r>
        <w:t>Randomisation occurred dynamically in Qualtrics – each respondent was assigned a random number of 1</w:t>
      </w:r>
      <w:r w:rsidR="00BE35DC">
        <w:t>, 2</w:t>
      </w:r>
      <w:r>
        <w:t xml:space="preserve"> </w:t>
      </w:r>
      <w:r w:rsidR="00480464">
        <w:t>or 3</w:t>
      </w:r>
      <w:r w:rsidR="009C671E">
        <w:t>, determining treatment arm (</w:t>
      </w:r>
      <w:r w:rsidR="00E14F4B">
        <w:fldChar w:fldCharType="begin"/>
      </w:r>
      <w:r w:rsidR="00E14F4B">
        <w:instrText xml:space="preserve"> REF _Ref184216189 \h </w:instrText>
      </w:r>
      <w:r w:rsidR="00E14F4B">
        <w:fldChar w:fldCharType="separate"/>
      </w:r>
      <w:r w:rsidR="00E14F4B">
        <w:t xml:space="preserve">Table </w:t>
      </w:r>
      <w:r w:rsidR="00E14F4B">
        <w:rPr>
          <w:noProof/>
        </w:rPr>
        <w:t>2</w:t>
      </w:r>
      <w:r w:rsidR="00E14F4B">
        <w:fldChar w:fldCharType="end"/>
      </w:r>
      <w:r w:rsidR="00480464">
        <w:t>).</w:t>
      </w:r>
    </w:p>
    <w:p w14:paraId="5E6D21DD" w14:textId="77777777" w:rsidR="002C7EA0" w:rsidRDefault="002C7EA0" w:rsidP="002C7EA0">
      <w:pPr>
        <w:pStyle w:val="Caption"/>
        <w:keepNext/>
      </w:pPr>
    </w:p>
    <w:p w14:paraId="259D1063" w14:textId="77777777" w:rsidR="002C7EA0" w:rsidRDefault="002C7EA0" w:rsidP="002C7EA0">
      <w:pPr>
        <w:rPr>
          <w:color w:val="000000" w:themeColor="text2"/>
          <w:szCs w:val="18"/>
        </w:rPr>
      </w:pPr>
      <w:r>
        <w:br w:type="page"/>
      </w:r>
    </w:p>
    <w:p w14:paraId="4BA0F8B1" w14:textId="6FEC016B" w:rsidR="002C7EA0" w:rsidRDefault="002C7EA0" w:rsidP="00E14F4B">
      <w:pPr>
        <w:pStyle w:val="Caption"/>
        <w:keepNext/>
        <w:outlineLvl w:val="3"/>
      </w:pPr>
      <w:bookmarkStart w:id="67" w:name="_Ref184216189"/>
      <w:bookmarkStart w:id="68" w:name="_Ref184216176"/>
      <w:r>
        <w:lastRenderedPageBreak/>
        <w:t xml:space="preserve">Table </w:t>
      </w:r>
      <w:fldSimple w:instr=" SEQ Table \* ARABIC ">
        <w:r w:rsidR="003A4FBB">
          <w:rPr>
            <w:noProof/>
          </w:rPr>
          <w:t>2</w:t>
        </w:r>
      </w:fldSimple>
      <w:bookmarkEnd w:id="67"/>
      <w:r>
        <w:t>.</w:t>
      </w:r>
      <w:r>
        <w:tab/>
        <w:t>S</w:t>
      </w:r>
      <w:r w:rsidRPr="000D6B1A">
        <w:t>ample size for each arm of the trial.</w:t>
      </w:r>
      <w:bookmarkEnd w:id="68"/>
    </w:p>
    <w:tbl>
      <w:tblPr>
        <w:tblStyle w:val="DefaultTable"/>
        <w:tblW w:w="5000" w:type="pct"/>
        <w:tblCellMar>
          <w:top w:w="85" w:type="dxa"/>
        </w:tblCellMar>
        <w:tblLook w:val="0420" w:firstRow="1" w:lastRow="0" w:firstColumn="0" w:lastColumn="0" w:noHBand="0" w:noVBand="1"/>
        <w:tblCaption w:val="Table 1"/>
        <w:tblDescription w:val="Example table with Alt Text for accessibility"/>
      </w:tblPr>
      <w:tblGrid>
        <w:gridCol w:w="1688"/>
        <w:gridCol w:w="4891"/>
        <w:gridCol w:w="972"/>
        <w:gridCol w:w="727"/>
      </w:tblGrid>
      <w:tr w:rsidR="00C32523" w14:paraId="730FEBB6" w14:textId="77777777" w:rsidTr="00B11CF4">
        <w:trPr>
          <w:cnfStyle w:val="100000000000" w:firstRow="1" w:lastRow="0" w:firstColumn="0" w:lastColumn="0" w:oddVBand="0" w:evenVBand="0" w:oddHBand="0" w:evenHBand="0" w:firstRowFirstColumn="0" w:firstRowLastColumn="0" w:lastRowFirstColumn="0" w:lastRowLastColumn="0"/>
          <w:cantSplit/>
          <w:tblHeader/>
        </w:trPr>
        <w:tc>
          <w:tcPr>
            <w:tcW w:w="1020" w:type="pct"/>
            <w:tcBorders>
              <w:top w:val="nil"/>
              <w:left w:val="nil"/>
              <w:bottom w:val="single" w:sz="18" w:space="0" w:color="2D276C" w:themeColor="accent6"/>
              <w:right w:val="nil"/>
            </w:tcBorders>
            <w:shd w:val="clear" w:color="auto" w:fill="ABDBF6" w:themeFill="accent1"/>
            <w:hideMark/>
          </w:tcPr>
          <w:p w14:paraId="4D627D77" w14:textId="77777777" w:rsidR="00C32523" w:rsidRDefault="00C32523" w:rsidP="005F7189">
            <w:pPr>
              <w:pStyle w:val="TableHeading"/>
              <w:spacing w:after="0"/>
              <w:rPr>
                <w:rFonts w:ascii="Helvetica" w:hAnsi="Helvetica"/>
                <w:color w:val="auto"/>
              </w:rPr>
            </w:pPr>
            <w:r>
              <w:rPr>
                <w:rFonts w:ascii="Helvetica" w:hAnsi="Helvetica"/>
                <w:color w:val="auto"/>
              </w:rPr>
              <w:t>Trial arm</w:t>
            </w:r>
          </w:p>
        </w:tc>
        <w:tc>
          <w:tcPr>
            <w:tcW w:w="2954" w:type="pct"/>
            <w:tcBorders>
              <w:top w:val="nil"/>
              <w:left w:val="nil"/>
              <w:bottom w:val="single" w:sz="18" w:space="0" w:color="2D276C" w:themeColor="accent6"/>
              <w:right w:val="nil"/>
            </w:tcBorders>
            <w:shd w:val="clear" w:color="auto" w:fill="ABDBF6" w:themeFill="accent1"/>
            <w:hideMark/>
          </w:tcPr>
          <w:p w14:paraId="56742CAC" w14:textId="77777777" w:rsidR="00C32523" w:rsidRDefault="00C32523" w:rsidP="005F7189">
            <w:pPr>
              <w:pStyle w:val="TableHeading"/>
              <w:spacing w:after="0"/>
              <w:rPr>
                <w:rFonts w:ascii="Helvetica" w:hAnsi="Helvetica"/>
                <w:color w:val="auto"/>
              </w:rPr>
            </w:pPr>
            <w:r>
              <w:rPr>
                <w:rFonts w:ascii="Helvetica" w:hAnsi="Helvetica"/>
                <w:color w:val="auto"/>
              </w:rPr>
              <w:t>Message</w:t>
            </w:r>
          </w:p>
        </w:tc>
        <w:tc>
          <w:tcPr>
            <w:tcW w:w="587" w:type="pct"/>
            <w:tcBorders>
              <w:top w:val="nil"/>
              <w:left w:val="nil"/>
              <w:bottom w:val="single" w:sz="18" w:space="0" w:color="2D276C" w:themeColor="accent6"/>
              <w:right w:val="nil"/>
            </w:tcBorders>
            <w:shd w:val="clear" w:color="auto" w:fill="ABDBF6" w:themeFill="accent1"/>
            <w:hideMark/>
          </w:tcPr>
          <w:p w14:paraId="41E2B8A6" w14:textId="77777777" w:rsidR="00C32523" w:rsidRDefault="00C32523" w:rsidP="005F7189">
            <w:pPr>
              <w:pStyle w:val="TableHeading"/>
              <w:spacing w:after="0"/>
              <w:rPr>
                <w:rFonts w:ascii="Helvetica" w:hAnsi="Helvetica"/>
                <w:color w:val="auto"/>
              </w:rPr>
            </w:pPr>
            <w:r>
              <w:rPr>
                <w:rFonts w:ascii="Helvetica" w:hAnsi="Helvetica"/>
                <w:color w:val="auto"/>
              </w:rPr>
              <w:t>n</w:t>
            </w:r>
          </w:p>
        </w:tc>
        <w:tc>
          <w:tcPr>
            <w:tcW w:w="439" w:type="pct"/>
            <w:tcBorders>
              <w:top w:val="nil"/>
              <w:left w:val="nil"/>
              <w:bottom w:val="single" w:sz="18" w:space="0" w:color="2D276C" w:themeColor="accent6"/>
              <w:right w:val="nil"/>
            </w:tcBorders>
            <w:shd w:val="clear" w:color="auto" w:fill="ABDBF6" w:themeFill="accent1"/>
            <w:hideMark/>
          </w:tcPr>
          <w:p w14:paraId="31D27CF1" w14:textId="77777777" w:rsidR="00C32523" w:rsidRDefault="00C32523" w:rsidP="005F7189">
            <w:pPr>
              <w:pStyle w:val="TableHeading"/>
              <w:spacing w:after="0"/>
              <w:rPr>
                <w:rFonts w:ascii="Helvetica" w:hAnsi="Helvetica"/>
                <w:color w:val="auto"/>
              </w:rPr>
            </w:pPr>
            <w:r>
              <w:rPr>
                <w:rFonts w:ascii="Helvetica" w:hAnsi="Helvetica"/>
                <w:color w:val="auto"/>
              </w:rPr>
              <w:t>%</w:t>
            </w:r>
          </w:p>
        </w:tc>
      </w:tr>
      <w:tr w:rsidR="00C32523" w14:paraId="0002928F" w14:textId="77777777" w:rsidTr="00281E86">
        <w:trPr>
          <w:cantSplit/>
        </w:trPr>
        <w:tc>
          <w:tcPr>
            <w:tcW w:w="1020" w:type="pct"/>
            <w:tcBorders>
              <w:top w:val="single" w:sz="18" w:space="0" w:color="2D276C" w:themeColor="accent6"/>
              <w:left w:val="nil"/>
              <w:bottom w:val="single" w:sz="4" w:space="0" w:color="808080" w:themeColor="background1" w:themeShade="80"/>
              <w:right w:val="nil"/>
            </w:tcBorders>
            <w:shd w:val="clear" w:color="auto" w:fill="FFFFFF" w:themeFill="background1"/>
            <w:hideMark/>
          </w:tcPr>
          <w:p w14:paraId="44D28DDE" w14:textId="77777777" w:rsidR="00C32523" w:rsidRDefault="00C32523" w:rsidP="005F7189">
            <w:pPr>
              <w:pStyle w:val="TableTextRightAligned"/>
              <w:jc w:val="left"/>
            </w:pPr>
            <w:r>
              <w:t>1</w:t>
            </w:r>
          </w:p>
        </w:tc>
        <w:tc>
          <w:tcPr>
            <w:tcW w:w="2954" w:type="pct"/>
            <w:tcBorders>
              <w:top w:val="single" w:sz="18" w:space="0" w:color="2D276C" w:themeColor="accent6"/>
              <w:left w:val="nil"/>
              <w:bottom w:val="single" w:sz="4" w:space="0" w:color="808080" w:themeColor="background1" w:themeShade="80"/>
              <w:right w:val="nil"/>
            </w:tcBorders>
            <w:shd w:val="clear" w:color="auto" w:fill="FFFFFF" w:themeFill="background1"/>
            <w:hideMark/>
          </w:tcPr>
          <w:p w14:paraId="5C995517" w14:textId="27C3B53F" w:rsidR="00C32523" w:rsidRDefault="00EA0799" w:rsidP="005F7189">
            <w:pPr>
              <w:pStyle w:val="TableTextRightAligned"/>
              <w:jc w:val="left"/>
            </w:pPr>
            <w:r>
              <w:t>Special offer</w:t>
            </w:r>
            <w:r w:rsidR="00EA4B4B">
              <w:t>s not</w:t>
            </w:r>
            <w:r>
              <w:t xml:space="preserve"> </w:t>
            </w:r>
            <w:r w:rsidR="00EA4B4B">
              <w:t>flagged</w:t>
            </w:r>
          </w:p>
        </w:tc>
        <w:tc>
          <w:tcPr>
            <w:tcW w:w="587" w:type="pct"/>
            <w:tcBorders>
              <w:top w:val="single" w:sz="18" w:space="0" w:color="2D276C" w:themeColor="accent6"/>
              <w:left w:val="nil"/>
              <w:bottom w:val="single" w:sz="4" w:space="0" w:color="808080" w:themeColor="background1" w:themeShade="80"/>
              <w:right w:val="nil"/>
            </w:tcBorders>
            <w:shd w:val="clear" w:color="auto" w:fill="FFFFFF" w:themeFill="background1"/>
            <w:hideMark/>
          </w:tcPr>
          <w:p w14:paraId="01622C39" w14:textId="46FA0DDD" w:rsidR="00C32523" w:rsidRDefault="00EA0799" w:rsidP="005F7189">
            <w:pPr>
              <w:pStyle w:val="TableTextRightAligned"/>
              <w:jc w:val="left"/>
            </w:pPr>
            <w:r>
              <w:t>694</w:t>
            </w:r>
          </w:p>
        </w:tc>
        <w:tc>
          <w:tcPr>
            <w:tcW w:w="439" w:type="pct"/>
            <w:tcBorders>
              <w:top w:val="single" w:sz="18" w:space="0" w:color="2D276C" w:themeColor="accent6"/>
              <w:left w:val="nil"/>
              <w:bottom w:val="single" w:sz="4" w:space="0" w:color="808080" w:themeColor="background1" w:themeShade="80"/>
              <w:right w:val="nil"/>
            </w:tcBorders>
            <w:shd w:val="clear" w:color="auto" w:fill="FFFFFF" w:themeFill="background1"/>
            <w:hideMark/>
          </w:tcPr>
          <w:p w14:paraId="2E474A85" w14:textId="25D14429" w:rsidR="00C32523" w:rsidRDefault="00EA0799" w:rsidP="005F7189">
            <w:pPr>
              <w:pStyle w:val="TableTextRightAligned"/>
              <w:jc w:val="left"/>
            </w:pPr>
            <w:r>
              <w:t>30.91</w:t>
            </w:r>
          </w:p>
        </w:tc>
      </w:tr>
      <w:tr w:rsidR="00C32523" w14:paraId="5DE1D041" w14:textId="77777777" w:rsidTr="00281E86">
        <w:trPr>
          <w:cantSplit/>
        </w:trPr>
        <w:tc>
          <w:tcPr>
            <w:tcW w:w="102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7DBD2670" w14:textId="77777777" w:rsidR="00C32523" w:rsidRDefault="00C32523" w:rsidP="005F7189">
            <w:pPr>
              <w:pStyle w:val="TableTextRightAligned"/>
              <w:jc w:val="left"/>
            </w:pPr>
            <w:r>
              <w:t>2</w:t>
            </w:r>
          </w:p>
        </w:tc>
        <w:tc>
          <w:tcPr>
            <w:tcW w:w="2954"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5C789EDF" w14:textId="0240A7BE" w:rsidR="00C32523" w:rsidRDefault="00EA0799" w:rsidP="005F7189">
            <w:pPr>
              <w:pStyle w:val="TableTextRightAligned"/>
              <w:jc w:val="left"/>
            </w:pPr>
            <w:r>
              <w:t>Plan shows a special offer flag</w:t>
            </w:r>
          </w:p>
        </w:tc>
        <w:tc>
          <w:tcPr>
            <w:tcW w:w="587"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1A73AAB4" w14:textId="6FF95B29" w:rsidR="00C32523" w:rsidRDefault="00EA0799" w:rsidP="005F7189">
            <w:pPr>
              <w:pStyle w:val="TableTextRightAligned"/>
              <w:jc w:val="left"/>
            </w:pPr>
            <w:r>
              <w:t>808</w:t>
            </w:r>
          </w:p>
        </w:tc>
        <w:tc>
          <w:tcPr>
            <w:tcW w:w="439"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62687F20" w14:textId="4BEC6A0E" w:rsidR="00C32523" w:rsidRDefault="00EA0799" w:rsidP="005F7189">
            <w:pPr>
              <w:pStyle w:val="TableTextRightAligned"/>
              <w:jc w:val="left"/>
            </w:pPr>
            <w:r>
              <w:t>35.99</w:t>
            </w:r>
          </w:p>
        </w:tc>
      </w:tr>
      <w:tr w:rsidR="00C32523" w14:paraId="78071D70" w14:textId="77777777" w:rsidTr="00281E86">
        <w:trPr>
          <w:cantSplit/>
        </w:trPr>
        <w:tc>
          <w:tcPr>
            <w:tcW w:w="1020"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3AFF4174" w14:textId="77777777" w:rsidR="00C32523" w:rsidRDefault="00C32523" w:rsidP="005F7189">
            <w:pPr>
              <w:pStyle w:val="TableTextRightAligned"/>
              <w:jc w:val="left"/>
            </w:pPr>
            <w:r>
              <w:t>3</w:t>
            </w:r>
          </w:p>
        </w:tc>
        <w:tc>
          <w:tcPr>
            <w:tcW w:w="2954"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6D7ED1EF" w14:textId="5171C43E" w:rsidR="00C32523" w:rsidRDefault="00EA0799" w:rsidP="005F7189">
            <w:pPr>
              <w:pStyle w:val="TableTextRightAligned"/>
              <w:jc w:val="left"/>
            </w:pPr>
            <w:r>
              <w:t>Plan shows special offer flag with explanation that offer is included in the total estimate.</w:t>
            </w:r>
          </w:p>
        </w:tc>
        <w:tc>
          <w:tcPr>
            <w:tcW w:w="587"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3548B303" w14:textId="533B1A08" w:rsidR="00C32523" w:rsidRDefault="00EA0799" w:rsidP="005F7189">
            <w:pPr>
              <w:pStyle w:val="TableTextRightAligned"/>
              <w:jc w:val="left"/>
            </w:pPr>
            <w:r>
              <w:t>743</w:t>
            </w:r>
          </w:p>
        </w:tc>
        <w:tc>
          <w:tcPr>
            <w:tcW w:w="439"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4108573A" w14:textId="2749AEAF" w:rsidR="00C32523" w:rsidRDefault="00EA0799" w:rsidP="005F7189">
            <w:pPr>
              <w:pStyle w:val="TableTextRightAligned"/>
              <w:jc w:val="left"/>
            </w:pPr>
            <w:r>
              <w:t>33.1</w:t>
            </w:r>
          </w:p>
        </w:tc>
      </w:tr>
    </w:tbl>
    <w:p w14:paraId="53332845" w14:textId="63326D8F" w:rsidR="00EA0799" w:rsidRDefault="00C32523" w:rsidP="00C32523">
      <w:pPr>
        <w:pStyle w:val="SourceNotesText"/>
      </w:pPr>
      <w:r>
        <w:t xml:space="preserve">n </w:t>
      </w:r>
      <w:r w:rsidRPr="005A443F">
        <w:t xml:space="preserve">= </w:t>
      </w:r>
      <w:r w:rsidR="005A443F" w:rsidRPr="005A443F">
        <w:t>2,245</w:t>
      </w:r>
    </w:p>
    <w:p w14:paraId="11A51B8D" w14:textId="77777777" w:rsidR="00C32523" w:rsidRDefault="00C32523" w:rsidP="00C32523">
      <w:pPr>
        <w:pStyle w:val="Heading3"/>
      </w:pPr>
      <w:r>
        <w:t>Outcome measures</w:t>
      </w:r>
    </w:p>
    <w:p w14:paraId="67231E37" w14:textId="6A09E5AA" w:rsidR="00C32523" w:rsidRPr="00480464" w:rsidRDefault="005A443F" w:rsidP="00C32523">
      <w:pPr>
        <w:rPr>
          <w:color w:val="ABDBF6" w:themeColor="accent1"/>
        </w:rPr>
      </w:pPr>
      <w:r>
        <w:t>Outcome (cheapest plan): choose the cheapest overall plan (binary)</w:t>
      </w:r>
    </w:p>
    <w:p w14:paraId="218089B3" w14:textId="77777777" w:rsidR="00E14F4B" w:rsidRDefault="00C32523" w:rsidP="005A443F">
      <w:pPr>
        <w:pStyle w:val="Heading3"/>
      </w:pPr>
      <w:r>
        <w:t>Hypotheses</w:t>
      </w:r>
    </w:p>
    <w:p w14:paraId="05A190D4" w14:textId="26047136" w:rsidR="005A443F" w:rsidRPr="00E14F4B" w:rsidRDefault="005A443F" w:rsidP="00E14F4B">
      <w:pPr>
        <w:rPr>
          <w:rFonts w:asciiTheme="majorHAnsi" w:hAnsiTheme="majorHAnsi"/>
          <w:color w:val="2158A9" w:themeColor="accent2"/>
          <w:sz w:val="24"/>
          <w:szCs w:val="44"/>
        </w:rPr>
      </w:pPr>
      <w:r w:rsidRPr="005A443F">
        <w:t>H1: When Discount flag is shown (T2), fewer people will choose the cheapest plan than when no Disc</w:t>
      </w:r>
      <w:r w:rsidR="003A2965">
        <w:t>ount information is provided (T1</w:t>
      </w:r>
      <w:r w:rsidRPr="005A443F">
        <w:t>). T2 &lt; T1</w:t>
      </w:r>
    </w:p>
    <w:p w14:paraId="5F98D4B2" w14:textId="179941B9" w:rsidR="00C32523" w:rsidRDefault="005A443F" w:rsidP="005A443F">
      <w:r w:rsidRPr="005A443F">
        <w:t>H2: When Discount flag is shown but a note explains that Discount is already included in price estimate (T3), more people will choose the cheapest plan than when Discount flag is shown without the note (T2). T3 &gt; T2</w:t>
      </w:r>
    </w:p>
    <w:p w14:paraId="0524AB2D" w14:textId="77777777" w:rsidR="00C32523" w:rsidRDefault="00C32523" w:rsidP="00C32523">
      <w:pPr>
        <w:pStyle w:val="Heading3"/>
      </w:pPr>
      <w:r>
        <w:t>Method of analysis</w:t>
      </w:r>
    </w:p>
    <w:p w14:paraId="7DB391DC" w14:textId="771E3B4E" w:rsidR="005A443F" w:rsidRPr="00815664" w:rsidRDefault="005A443F" w:rsidP="005A443F">
      <w:pPr>
        <w:keepNext/>
      </w:pPr>
      <w:r>
        <w:t>We</w:t>
      </w:r>
      <w:r w:rsidRPr="00815664">
        <w:t xml:space="preserve"> </w:t>
      </w:r>
      <w:r>
        <w:t>derived t</w:t>
      </w:r>
      <w:r w:rsidRPr="00815664">
        <w:t>h</w:t>
      </w:r>
      <w:r>
        <w:t>e</w:t>
      </w:r>
      <w:r w:rsidRPr="00815664">
        <w:t xml:space="preserve"> estimate</w:t>
      </w:r>
      <w:r>
        <w:t>d treatment effects</w:t>
      </w:r>
      <w:r w:rsidRPr="00815664">
        <w:t>, confidence intervals and p-values from an ordinary least squares regression model using robust (HC2) standard errors with the following specification:</w:t>
      </w:r>
    </w:p>
    <w:p w14:paraId="6CEFAF89" w14:textId="448A244B" w:rsidR="005A443F" w:rsidRPr="008A7FC2" w:rsidRDefault="00AC063F" w:rsidP="00AC063F">
      <w:pPr>
        <w:keepNext/>
      </w:pPr>
      <w:r>
        <w:rPr>
          <w:noProof/>
        </w:rPr>
        <w:drawing>
          <wp:inline distT="0" distB="0" distL="0" distR="0" wp14:anchorId="1A201C92" wp14:editId="050CEB7D">
            <wp:extent cx="4214367" cy="212090"/>
            <wp:effectExtent l="0" t="0" r="0" b="0"/>
            <wp:docPr id="16" name="Picture 16" descr="Equation Y subscript i equals beta subscript zero plus beta subscript one Z subscript i plus beta subscript 2 X subscript i plus beta subscript 3 Z subscript i x subscript i plus beta subscript 4 z subscript i x subscript 1 plus epsilon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0343" r="1"/>
                    <a:stretch/>
                  </pic:blipFill>
                  <pic:spPr bwMode="auto">
                    <a:xfrm>
                      <a:off x="0" y="0"/>
                      <a:ext cx="4223110" cy="212530"/>
                    </a:xfrm>
                    <a:prstGeom prst="rect">
                      <a:avLst/>
                    </a:prstGeom>
                    <a:ln>
                      <a:noFill/>
                    </a:ln>
                    <a:extLst>
                      <a:ext uri="{53640926-AAD7-44D8-BBD7-CCE9431645EC}">
                        <a14:shadowObscured xmlns:a14="http://schemas.microsoft.com/office/drawing/2010/main"/>
                      </a:ext>
                    </a:extLst>
                  </pic:spPr>
                </pic:pic>
              </a:graphicData>
            </a:graphic>
          </wp:inline>
        </w:drawing>
      </w:r>
    </w:p>
    <w:p w14:paraId="422E1C78" w14:textId="43082D95" w:rsidR="005A443F" w:rsidRPr="008A7FC2" w:rsidRDefault="005A443F" w:rsidP="005A443F">
      <w:pPr>
        <w:keepNext/>
      </w:pPr>
      <w:r w:rsidRPr="008A7FC2">
        <w:t xml:space="preserve">Where </w:t>
      </w:r>
      <w:r w:rsidR="00AC063F" w:rsidRPr="00AC063F">
        <w:rPr>
          <w:i/>
        </w:rPr>
        <w:t>i</w:t>
      </w:r>
      <w:r w:rsidRPr="008A7FC2">
        <w:t xml:space="preserve"> is an index for each individual in the </w:t>
      </w:r>
      <w:r>
        <w:t>experiment</w:t>
      </w:r>
      <w:r w:rsidRPr="008A7FC2">
        <w:t xml:space="preserve">, </w:t>
      </w:r>
      <w:r w:rsidR="00AC063F" w:rsidRPr="00AC063F">
        <w:rPr>
          <w:i/>
        </w:rPr>
        <w:t>Y</w:t>
      </w:r>
      <w:r w:rsidRPr="008A7FC2">
        <w:t xml:space="preserve"> is the outcome,</w:t>
      </w:r>
      <w:r w:rsidR="00AC063F">
        <w:t xml:space="preserve"> </w:t>
      </w:r>
      <w:r w:rsidR="00AC063F" w:rsidRPr="00AC063F">
        <w:rPr>
          <w:rFonts w:cstheme="minorHAnsi"/>
          <w:i/>
        </w:rPr>
        <w:t>β</w:t>
      </w:r>
      <w:r w:rsidR="00AC063F" w:rsidRPr="00AC063F">
        <w:rPr>
          <w:i/>
          <w:vertAlign w:val="subscript"/>
        </w:rPr>
        <w:t>0</w:t>
      </w:r>
      <w:r w:rsidRPr="008A7FC2">
        <w:t xml:space="preserve"> is the intercept, </w:t>
      </w:r>
      <w:r w:rsidR="00AC063F" w:rsidRPr="00AC063F">
        <w:rPr>
          <w:i/>
        </w:rPr>
        <w:t>Z</w:t>
      </w:r>
      <w:r w:rsidRPr="008A7FC2">
        <w:t xml:space="preserve"> is the treatment indicator,</w:t>
      </w:r>
      <w:r w:rsidR="00AC063F">
        <w:t xml:space="preserve"> </w:t>
      </w:r>
      <w:r w:rsidR="00AC063F" w:rsidRPr="00AC063F">
        <w:rPr>
          <w:rFonts w:cstheme="minorHAnsi"/>
          <w:i/>
        </w:rPr>
        <w:t>β</w:t>
      </w:r>
      <w:r w:rsidR="00AC063F">
        <w:rPr>
          <w:i/>
          <w:vertAlign w:val="subscript"/>
        </w:rPr>
        <w:t>1</w:t>
      </w:r>
      <w:r w:rsidRPr="008A7FC2">
        <w:t xml:space="preserve"> is the coefficient on treatment and represents the average treatment effect, </w:t>
      </w:r>
      <w:r w:rsidR="00AC063F" w:rsidRPr="00AC063F">
        <w:rPr>
          <w:i/>
        </w:rPr>
        <w:t>X</w:t>
      </w:r>
      <w:r w:rsidRPr="008A7FC2">
        <w:t xml:space="preserve"> i</w:t>
      </w:r>
      <w:r>
        <w:t>s a vector of two mean</w:t>
      </w:r>
      <w:r>
        <w:noBreakHyphen/>
      </w:r>
      <w:r w:rsidRPr="008A7FC2">
        <w:t>centred covariate</w:t>
      </w:r>
      <w:r>
        <w:t>s (an indicator</w:t>
      </w:r>
      <w:r w:rsidRPr="008A7FC2">
        <w:t xml:space="preserve"> for </w:t>
      </w:r>
      <w:r>
        <w:t xml:space="preserve">which sample the respondent came from </w:t>
      </w:r>
      <w:r w:rsidRPr="008A7FC2">
        <w:t xml:space="preserve">(where 1 = </w:t>
      </w:r>
      <w:r>
        <w:t>EME sample</w:t>
      </w:r>
      <w:r w:rsidRPr="008A7FC2">
        <w:t>)</w:t>
      </w:r>
      <w:r>
        <w:t xml:space="preserve"> and an indicator for whether the respondent has switched plans or energy providers previously (where 1 = switching </w:t>
      </w:r>
      <w:r>
        <w:lastRenderedPageBreak/>
        <w:t xml:space="preserve">plan/provider other than when moving house), and </w:t>
      </w:r>
      <w:r w:rsidR="00AC063F" w:rsidRPr="00AC063F">
        <w:rPr>
          <w:i/>
        </w:rPr>
        <w:t>ZX</w:t>
      </w:r>
      <w:r w:rsidRPr="008A7FC2">
        <w:t xml:space="preserve"> is the interaction of the tr</w:t>
      </w:r>
      <w:r>
        <w:t>eatment indicator with the mean</w:t>
      </w:r>
      <w:r>
        <w:noBreakHyphen/>
      </w:r>
      <w:r w:rsidRPr="008A7FC2">
        <w:t>centred covariate</w:t>
      </w:r>
      <w:r>
        <w:t>s</w:t>
      </w:r>
      <w:r w:rsidRPr="008A7FC2">
        <w:t xml:space="preserve"> and </w:t>
      </w:r>
      <w:r w:rsidR="00AC063F" w:rsidRPr="00AC063F">
        <w:rPr>
          <w:i/>
        </w:rPr>
        <w:t>E</w:t>
      </w:r>
      <w:r w:rsidRPr="008A7FC2">
        <w:t xml:space="preserve"> is the error term.</w:t>
      </w:r>
    </w:p>
    <w:p w14:paraId="703BB50F" w14:textId="696CFD8F" w:rsidR="005A443F" w:rsidRDefault="005A443F" w:rsidP="005A443F">
      <w:pPr>
        <w:keepNext/>
      </w:pPr>
      <w:r>
        <w:t xml:space="preserve">The </w:t>
      </w:r>
      <w:r w:rsidRPr="008A7FC2">
        <w:t>treatment indicator</w:t>
      </w:r>
      <w:r>
        <w:t xml:space="preserve"> </w:t>
      </w:r>
      <w:r w:rsidR="00AC063F" w:rsidRPr="00AC063F">
        <w:rPr>
          <w:i/>
        </w:rPr>
        <w:t>Z</w:t>
      </w:r>
      <w:r>
        <w:t xml:space="preserve"> is a vector of 2 treatment assignment indicators </w:t>
      </w:r>
      <w:r w:rsidRPr="00D45403">
        <w:t xml:space="preserve">where {0,0} = </w:t>
      </w:r>
      <w:r>
        <w:t>T1</w:t>
      </w:r>
      <w:r w:rsidRPr="00D45403">
        <w:t xml:space="preserve">, {1,0} = </w:t>
      </w:r>
      <w:r>
        <w:t xml:space="preserve">T2 </w:t>
      </w:r>
      <w:r w:rsidRPr="00D45403">
        <w:t xml:space="preserve">and {0,1} = </w:t>
      </w:r>
      <w:r>
        <w:t>T3.</w:t>
      </w:r>
    </w:p>
    <w:p w14:paraId="3D4C494E" w14:textId="28A8FDE1" w:rsidR="00B11CF4" w:rsidRDefault="00C32523" w:rsidP="00257513">
      <w:pPr>
        <w:pStyle w:val="Heading3"/>
      </w:pPr>
      <w:r>
        <w:t xml:space="preserve">Statistical tables </w:t>
      </w:r>
    </w:p>
    <w:p w14:paraId="3E98640C" w14:textId="3B8B5DD4" w:rsidR="00257513" w:rsidRDefault="00257513" w:rsidP="000F7FD9">
      <w:pPr>
        <w:pStyle w:val="Caption"/>
        <w:keepNext/>
        <w:outlineLvl w:val="3"/>
      </w:pPr>
      <w:r>
        <w:t xml:space="preserve">Table </w:t>
      </w:r>
      <w:fldSimple w:instr=" SEQ Table \* ARABIC ">
        <w:r w:rsidR="003A4FBB">
          <w:rPr>
            <w:noProof/>
          </w:rPr>
          <w:t>3</w:t>
        </w:r>
      </w:fldSimple>
      <w:r>
        <w:t>.</w:t>
      </w:r>
      <w:r>
        <w:tab/>
      </w:r>
      <w:r w:rsidRPr="005C6EF2">
        <w:t>H1: Fewer people chose the cheapest plan when a discount was flagged on an alternative plan.</w:t>
      </w:r>
    </w:p>
    <w:tbl>
      <w:tblPr>
        <w:tblStyle w:val="TableGrid"/>
        <w:tblW w:w="838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607"/>
        <w:gridCol w:w="1162"/>
        <w:gridCol w:w="1406"/>
        <w:gridCol w:w="1410"/>
        <w:gridCol w:w="1773"/>
        <w:gridCol w:w="1028"/>
      </w:tblGrid>
      <w:tr w:rsidR="00C32523" w14:paraId="30D4A7B8" w14:textId="77777777" w:rsidTr="00913C22">
        <w:trPr>
          <w:tblHeader/>
        </w:trPr>
        <w:tc>
          <w:tcPr>
            <w:tcW w:w="1607" w:type="dxa"/>
            <w:tcBorders>
              <w:top w:val="nil"/>
              <w:left w:val="nil"/>
              <w:bottom w:val="single" w:sz="18" w:space="0" w:color="auto"/>
              <w:right w:val="nil"/>
            </w:tcBorders>
            <w:shd w:val="clear" w:color="auto" w:fill="ABDBF6" w:themeFill="accent1"/>
            <w:vAlign w:val="bottom"/>
            <w:hideMark/>
          </w:tcPr>
          <w:p w14:paraId="7974F5C4" w14:textId="77777777" w:rsidR="00C32523" w:rsidRDefault="00C32523" w:rsidP="00FC24A3">
            <w:pPr>
              <w:rPr>
                <w:rFonts w:ascii="Helvetica" w:hAnsi="Helvetica"/>
                <w:b/>
                <w:szCs w:val="20"/>
              </w:rPr>
            </w:pPr>
            <w:r>
              <w:rPr>
                <w:rFonts w:ascii="Helvetica" w:hAnsi="Helvetica"/>
                <w:b/>
                <w:szCs w:val="20"/>
              </w:rPr>
              <w:t>Condition</w:t>
            </w:r>
          </w:p>
        </w:tc>
        <w:tc>
          <w:tcPr>
            <w:tcW w:w="1162" w:type="dxa"/>
            <w:tcBorders>
              <w:top w:val="nil"/>
              <w:left w:val="nil"/>
              <w:bottom w:val="single" w:sz="18" w:space="0" w:color="auto"/>
              <w:right w:val="nil"/>
            </w:tcBorders>
            <w:shd w:val="clear" w:color="auto" w:fill="ABDBF6" w:themeFill="accent1"/>
            <w:vAlign w:val="bottom"/>
            <w:hideMark/>
          </w:tcPr>
          <w:p w14:paraId="17054788" w14:textId="4E5BE0F4" w:rsidR="00C32523" w:rsidRDefault="00913C22" w:rsidP="00913C22">
            <w:pPr>
              <w:rPr>
                <w:rFonts w:ascii="Helvetica" w:hAnsi="Helvetica"/>
                <w:b/>
                <w:szCs w:val="20"/>
              </w:rPr>
            </w:pPr>
            <w:r>
              <w:rPr>
                <w:rFonts w:ascii="Helvetica" w:hAnsi="Helvetica"/>
                <w:b/>
                <w:szCs w:val="20"/>
              </w:rPr>
              <w:t>Mean</w:t>
            </w:r>
            <w:r w:rsidR="000B5831">
              <w:rPr>
                <w:rFonts w:ascii="Helvetica" w:hAnsi="Helvetica"/>
                <w:b/>
                <w:szCs w:val="20"/>
              </w:rPr>
              <w:t xml:space="preserve"> % choosing the cheapest plan</w:t>
            </w:r>
            <w:r>
              <w:rPr>
                <w:rFonts w:ascii="Helvetica" w:hAnsi="Helvetica"/>
                <w:b/>
                <w:szCs w:val="20"/>
              </w:rPr>
              <w:t xml:space="preserve"> </w:t>
            </w:r>
          </w:p>
        </w:tc>
        <w:tc>
          <w:tcPr>
            <w:tcW w:w="1406" w:type="dxa"/>
            <w:tcBorders>
              <w:top w:val="nil"/>
              <w:left w:val="nil"/>
              <w:bottom w:val="single" w:sz="18" w:space="0" w:color="auto"/>
              <w:right w:val="nil"/>
            </w:tcBorders>
            <w:shd w:val="clear" w:color="auto" w:fill="ABDBF6" w:themeFill="accent1"/>
            <w:vAlign w:val="bottom"/>
            <w:hideMark/>
          </w:tcPr>
          <w:p w14:paraId="4095F277" w14:textId="1DCE8CBB" w:rsidR="00C32523" w:rsidRDefault="00C32523" w:rsidP="00FC24A3">
            <w:pPr>
              <w:rPr>
                <w:rFonts w:ascii="Helvetica" w:hAnsi="Helvetica"/>
                <w:b/>
                <w:szCs w:val="20"/>
              </w:rPr>
            </w:pPr>
            <w:r>
              <w:rPr>
                <w:rFonts w:ascii="Helvetica" w:hAnsi="Helvetica"/>
                <w:b/>
                <w:szCs w:val="20"/>
              </w:rPr>
              <w:t>Estima</w:t>
            </w:r>
            <w:r w:rsidR="00913C22">
              <w:rPr>
                <w:rFonts w:ascii="Helvetica" w:hAnsi="Helvetica"/>
                <w:b/>
                <w:szCs w:val="20"/>
              </w:rPr>
              <w:t>te</w:t>
            </w:r>
          </w:p>
        </w:tc>
        <w:tc>
          <w:tcPr>
            <w:tcW w:w="1410" w:type="dxa"/>
            <w:tcBorders>
              <w:top w:val="nil"/>
              <w:left w:val="nil"/>
              <w:bottom w:val="single" w:sz="18" w:space="0" w:color="auto"/>
              <w:right w:val="nil"/>
            </w:tcBorders>
            <w:shd w:val="clear" w:color="auto" w:fill="ABDBF6" w:themeFill="accent1"/>
            <w:vAlign w:val="bottom"/>
            <w:hideMark/>
          </w:tcPr>
          <w:p w14:paraId="538392B3" w14:textId="3C97E05A" w:rsidR="00C32523" w:rsidRDefault="00C32523" w:rsidP="00FC24A3">
            <w:pPr>
              <w:rPr>
                <w:rFonts w:ascii="Helvetica" w:hAnsi="Helvetica"/>
                <w:b/>
                <w:szCs w:val="20"/>
              </w:rPr>
            </w:pPr>
            <w:r>
              <w:rPr>
                <w:rFonts w:ascii="Helvetica" w:hAnsi="Helvetica"/>
                <w:b/>
                <w:szCs w:val="20"/>
              </w:rPr>
              <w:t xml:space="preserve">Standard </w:t>
            </w:r>
            <w:r w:rsidR="00913C22">
              <w:rPr>
                <w:rFonts w:ascii="Helvetica" w:hAnsi="Helvetica"/>
                <w:b/>
                <w:szCs w:val="20"/>
              </w:rPr>
              <w:t>error</w:t>
            </w:r>
          </w:p>
        </w:tc>
        <w:tc>
          <w:tcPr>
            <w:tcW w:w="1773" w:type="dxa"/>
            <w:tcBorders>
              <w:top w:val="nil"/>
              <w:left w:val="nil"/>
              <w:bottom w:val="single" w:sz="18" w:space="0" w:color="auto"/>
              <w:right w:val="nil"/>
            </w:tcBorders>
            <w:shd w:val="clear" w:color="auto" w:fill="ABDBF6" w:themeFill="accent1"/>
            <w:vAlign w:val="bottom"/>
            <w:hideMark/>
          </w:tcPr>
          <w:p w14:paraId="799FC433" w14:textId="5626ACAF" w:rsidR="00C32523" w:rsidRDefault="00913C22" w:rsidP="00FC24A3">
            <w:pPr>
              <w:rPr>
                <w:rFonts w:ascii="Helvetica" w:hAnsi="Helvetica"/>
                <w:b/>
                <w:szCs w:val="20"/>
              </w:rPr>
            </w:pPr>
            <w:r>
              <w:rPr>
                <w:rFonts w:ascii="Helvetica" w:hAnsi="Helvetica"/>
                <w:b/>
                <w:szCs w:val="20"/>
              </w:rPr>
              <w:t>95% Confidence Interval</w:t>
            </w:r>
          </w:p>
        </w:tc>
        <w:tc>
          <w:tcPr>
            <w:tcW w:w="1028" w:type="dxa"/>
            <w:tcBorders>
              <w:top w:val="nil"/>
              <w:left w:val="nil"/>
              <w:bottom w:val="single" w:sz="18" w:space="0" w:color="auto"/>
              <w:right w:val="nil"/>
            </w:tcBorders>
            <w:shd w:val="clear" w:color="auto" w:fill="ABDBF6" w:themeFill="accent1"/>
            <w:vAlign w:val="bottom"/>
            <w:hideMark/>
          </w:tcPr>
          <w:p w14:paraId="0136DD4E" w14:textId="77777777" w:rsidR="00C32523" w:rsidRDefault="00C32523" w:rsidP="00FC24A3">
            <w:pPr>
              <w:rPr>
                <w:rFonts w:ascii="Helvetica" w:hAnsi="Helvetica"/>
                <w:b/>
                <w:szCs w:val="20"/>
              </w:rPr>
            </w:pPr>
            <w:r>
              <w:rPr>
                <w:rFonts w:ascii="Helvetica" w:hAnsi="Helvetica"/>
                <w:b/>
                <w:i/>
                <w:szCs w:val="20"/>
              </w:rPr>
              <w:t>p-</w:t>
            </w:r>
            <w:r>
              <w:rPr>
                <w:rFonts w:ascii="Helvetica" w:hAnsi="Helvetica"/>
                <w:b/>
                <w:szCs w:val="20"/>
              </w:rPr>
              <w:t>value</w:t>
            </w:r>
          </w:p>
        </w:tc>
      </w:tr>
      <w:tr w:rsidR="00913C22" w14:paraId="3133E543" w14:textId="77777777" w:rsidTr="00913C22">
        <w:tc>
          <w:tcPr>
            <w:tcW w:w="1607" w:type="dxa"/>
            <w:tcBorders>
              <w:top w:val="single" w:sz="18" w:space="0" w:color="auto"/>
              <w:left w:val="nil"/>
              <w:bottom w:val="single" w:sz="4" w:space="0" w:color="auto"/>
              <w:right w:val="nil"/>
            </w:tcBorders>
            <w:hideMark/>
          </w:tcPr>
          <w:p w14:paraId="69330207" w14:textId="2C75CD9F" w:rsidR="00913C22" w:rsidRDefault="007D3ECB" w:rsidP="00913C22">
            <w:pPr>
              <w:pStyle w:val="TableTextLeftAligned"/>
              <w:spacing w:after="0"/>
              <w:rPr>
                <w:rFonts w:ascii="Helvetica" w:hAnsi="Helvetica"/>
              </w:rPr>
            </w:pPr>
            <w:r>
              <w:t>Discount not flagged</w:t>
            </w:r>
          </w:p>
        </w:tc>
        <w:tc>
          <w:tcPr>
            <w:tcW w:w="1162" w:type="dxa"/>
            <w:tcBorders>
              <w:top w:val="single" w:sz="18" w:space="0" w:color="auto"/>
              <w:left w:val="nil"/>
              <w:bottom w:val="single" w:sz="4" w:space="0" w:color="auto"/>
              <w:right w:val="nil"/>
            </w:tcBorders>
            <w:hideMark/>
          </w:tcPr>
          <w:p w14:paraId="64E1B71F" w14:textId="360F4D45" w:rsidR="00913C22" w:rsidRDefault="00913C22" w:rsidP="00913C22">
            <w:pPr>
              <w:pStyle w:val="TableTextLeftAligned"/>
              <w:spacing w:after="0"/>
              <w:rPr>
                <w:rFonts w:ascii="Helvetica" w:hAnsi="Helvetica"/>
                <w:highlight w:val="yellow"/>
              </w:rPr>
            </w:pPr>
            <w:r w:rsidRPr="00911F9D">
              <w:t>89.0%</w:t>
            </w:r>
          </w:p>
        </w:tc>
        <w:tc>
          <w:tcPr>
            <w:tcW w:w="1406" w:type="dxa"/>
            <w:tcBorders>
              <w:top w:val="single" w:sz="18" w:space="0" w:color="auto"/>
              <w:left w:val="nil"/>
              <w:bottom w:val="single" w:sz="4" w:space="0" w:color="auto"/>
              <w:right w:val="nil"/>
            </w:tcBorders>
          </w:tcPr>
          <w:p w14:paraId="423B0A10" w14:textId="73B92EBF" w:rsidR="00913C22" w:rsidRPr="00913C22" w:rsidRDefault="00257513" w:rsidP="00913C22">
            <w:pPr>
              <w:pStyle w:val="TableTextLeftAligned"/>
              <w:spacing w:after="0"/>
              <w:rPr>
                <w:rFonts w:ascii="Helvetica" w:hAnsi="Helvetica"/>
              </w:rPr>
            </w:pPr>
            <w:r>
              <w:rPr>
                <w:rFonts w:ascii="Helvetica" w:hAnsi="Helvetica"/>
              </w:rPr>
              <w:t>-</w:t>
            </w:r>
          </w:p>
        </w:tc>
        <w:tc>
          <w:tcPr>
            <w:tcW w:w="1410" w:type="dxa"/>
            <w:tcBorders>
              <w:top w:val="single" w:sz="18" w:space="0" w:color="auto"/>
              <w:left w:val="nil"/>
              <w:bottom w:val="single" w:sz="4" w:space="0" w:color="auto"/>
              <w:right w:val="nil"/>
            </w:tcBorders>
          </w:tcPr>
          <w:p w14:paraId="6DFDCD91" w14:textId="56FB2FFB" w:rsidR="00913C22" w:rsidRPr="00913C22" w:rsidRDefault="00257513" w:rsidP="00913C22">
            <w:pPr>
              <w:pStyle w:val="TableTextLeftAligned"/>
              <w:spacing w:after="0"/>
              <w:rPr>
                <w:rFonts w:ascii="Helvetica" w:hAnsi="Helvetica"/>
              </w:rPr>
            </w:pPr>
            <w:r>
              <w:rPr>
                <w:rFonts w:ascii="Helvetica" w:hAnsi="Helvetica"/>
              </w:rPr>
              <w:t>-</w:t>
            </w:r>
          </w:p>
        </w:tc>
        <w:tc>
          <w:tcPr>
            <w:tcW w:w="1773" w:type="dxa"/>
            <w:tcBorders>
              <w:top w:val="single" w:sz="18" w:space="0" w:color="auto"/>
              <w:left w:val="nil"/>
              <w:bottom w:val="single" w:sz="4" w:space="0" w:color="auto"/>
              <w:right w:val="nil"/>
            </w:tcBorders>
          </w:tcPr>
          <w:p w14:paraId="3CC43800" w14:textId="137059FB" w:rsidR="00913C22" w:rsidRPr="00913C22" w:rsidRDefault="00257513" w:rsidP="00913C22">
            <w:pPr>
              <w:pStyle w:val="TableTextLeftAligned"/>
              <w:spacing w:after="0"/>
              <w:rPr>
                <w:rFonts w:ascii="Helvetica" w:hAnsi="Helvetica"/>
              </w:rPr>
            </w:pPr>
            <w:r>
              <w:rPr>
                <w:rFonts w:ascii="Helvetica" w:hAnsi="Helvetica"/>
              </w:rPr>
              <w:t>-</w:t>
            </w:r>
          </w:p>
        </w:tc>
        <w:tc>
          <w:tcPr>
            <w:tcW w:w="1028" w:type="dxa"/>
            <w:tcBorders>
              <w:top w:val="single" w:sz="18" w:space="0" w:color="auto"/>
              <w:left w:val="nil"/>
              <w:bottom w:val="single" w:sz="4" w:space="0" w:color="auto"/>
              <w:right w:val="nil"/>
            </w:tcBorders>
          </w:tcPr>
          <w:p w14:paraId="4EA52972" w14:textId="65313C0F" w:rsidR="00913C22" w:rsidRPr="00913C22" w:rsidRDefault="00257513" w:rsidP="00913C22">
            <w:pPr>
              <w:pStyle w:val="TableTextLeftAligned"/>
              <w:spacing w:after="0"/>
              <w:rPr>
                <w:rFonts w:ascii="Helvetica" w:hAnsi="Helvetica"/>
              </w:rPr>
            </w:pPr>
            <w:r>
              <w:rPr>
                <w:rFonts w:ascii="Helvetica" w:hAnsi="Helvetica"/>
              </w:rPr>
              <w:t>-</w:t>
            </w:r>
          </w:p>
        </w:tc>
      </w:tr>
      <w:tr w:rsidR="00913C22" w14:paraId="7A16FB47" w14:textId="77777777" w:rsidTr="00913C22">
        <w:tc>
          <w:tcPr>
            <w:tcW w:w="1607" w:type="dxa"/>
            <w:tcBorders>
              <w:top w:val="single" w:sz="4" w:space="0" w:color="auto"/>
              <w:left w:val="nil"/>
              <w:bottom w:val="single" w:sz="4" w:space="0" w:color="auto"/>
              <w:right w:val="nil"/>
            </w:tcBorders>
            <w:hideMark/>
          </w:tcPr>
          <w:p w14:paraId="2EEF15EE" w14:textId="30D35BDB" w:rsidR="00913C22" w:rsidRDefault="00913C22" w:rsidP="00913C22">
            <w:pPr>
              <w:pStyle w:val="TableTextLeftAligned"/>
              <w:spacing w:after="0"/>
              <w:rPr>
                <w:rFonts w:ascii="Helvetica" w:hAnsi="Helvetica"/>
              </w:rPr>
            </w:pPr>
            <w:r w:rsidRPr="00911F9D">
              <w:t>Discount flagged</w:t>
            </w:r>
          </w:p>
        </w:tc>
        <w:tc>
          <w:tcPr>
            <w:tcW w:w="1162" w:type="dxa"/>
            <w:tcBorders>
              <w:top w:val="single" w:sz="4" w:space="0" w:color="auto"/>
              <w:left w:val="nil"/>
              <w:bottom w:val="single" w:sz="4" w:space="0" w:color="auto"/>
              <w:right w:val="nil"/>
            </w:tcBorders>
            <w:hideMark/>
          </w:tcPr>
          <w:p w14:paraId="25291617" w14:textId="77DF11BE" w:rsidR="00913C22" w:rsidRDefault="00913C22" w:rsidP="00913C22">
            <w:pPr>
              <w:pStyle w:val="TableTextLeftAligned"/>
              <w:spacing w:after="0"/>
              <w:rPr>
                <w:rFonts w:ascii="Helvetica" w:hAnsi="Helvetica"/>
                <w:highlight w:val="yellow"/>
              </w:rPr>
            </w:pPr>
            <w:r w:rsidRPr="00911F9D">
              <w:t>85.9%</w:t>
            </w:r>
          </w:p>
        </w:tc>
        <w:tc>
          <w:tcPr>
            <w:tcW w:w="1406" w:type="dxa"/>
            <w:tcBorders>
              <w:top w:val="single" w:sz="4" w:space="0" w:color="auto"/>
              <w:left w:val="nil"/>
              <w:bottom w:val="single" w:sz="4" w:space="0" w:color="auto"/>
              <w:right w:val="nil"/>
            </w:tcBorders>
            <w:hideMark/>
          </w:tcPr>
          <w:p w14:paraId="344146E6" w14:textId="1CB41D7E" w:rsidR="00913C22" w:rsidRPr="00913C22" w:rsidRDefault="00913C22" w:rsidP="00913C22">
            <w:pPr>
              <w:pStyle w:val="TableTextLeftAligned"/>
              <w:spacing w:after="0"/>
              <w:rPr>
                <w:rFonts w:ascii="Helvetica" w:hAnsi="Helvetica"/>
              </w:rPr>
            </w:pPr>
            <w:r w:rsidRPr="00911F9D">
              <w:t>-0.03</w:t>
            </w:r>
          </w:p>
        </w:tc>
        <w:tc>
          <w:tcPr>
            <w:tcW w:w="1410" w:type="dxa"/>
            <w:tcBorders>
              <w:top w:val="single" w:sz="4" w:space="0" w:color="auto"/>
              <w:left w:val="nil"/>
              <w:bottom w:val="single" w:sz="4" w:space="0" w:color="auto"/>
              <w:right w:val="nil"/>
            </w:tcBorders>
            <w:hideMark/>
          </w:tcPr>
          <w:p w14:paraId="4749B787" w14:textId="4F8380C0" w:rsidR="00913C22" w:rsidRPr="00913C22" w:rsidRDefault="00913C22" w:rsidP="00913C22">
            <w:pPr>
              <w:pStyle w:val="TableTextLeftAligned"/>
              <w:spacing w:after="0"/>
              <w:rPr>
                <w:rFonts w:ascii="Helvetica" w:hAnsi="Helvetica"/>
              </w:rPr>
            </w:pPr>
            <w:r w:rsidRPr="00911F9D">
              <w:t>0.02</w:t>
            </w:r>
          </w:p>
        </w:tc>
        <w:tc>
          <w:tcPr>
            <w:tcW w:w="1773" w:type="dxa"/>
            <w:tcBorders>
              <w:top w:val="single" w:sz="4" w:space="0" w:color="auto"/>
              <w:left w:val="nil"/>
              <w:bottom w:val="single" w:sz="4" w:space="0" w:color="auto"/>
              <w:right w:val="nil"/>
            </w:tcBorders>
            <w:hideMark/>
          </w:tcPr>
          <w:p w14:paraId="721284F1" w14:textId="7FE88F6F" w:rsidR="00913C22" w:rsidRPr="00913C22" w:rsidRDefault="00913C22" w:rsidP="00913C22">
            <w:pPr>
              <w:pStyle w:val="TableTextLeftAligned"/>
              <w:spacing w:after="0"/>
              <w:rPr>
                <w:rFonts w:ascii="Helvetica" w:hAnsi="Helvetica"/>
              </w:rPr>
            </w:pPr>
            <w:r w:rsidRPr="00913C22">
              <w:rPr>
                <w:rFonts w:ascii="Helvetica" w:hAnsi="Helvetica"/>
              </w:rPr>
              <w:t>(</w:t>
            </w:r>
            <w:r>
              <w:rPr>
                <w:rFonts w:ascii="Helvetica" w:hAnsi="Helvetica"/>
              </w:rPr>
              <w:t>-0.06 – -0.002)</w:t>
            </w:r>
          </w:p>
        </w:tc>
        <w:tc>
          <w:tcPr>
            <w:tcW w:w="1028" w:type="dxa"/>
            <w:tcBorders>
              <w:top w:val="single" w:sz="4" w:space="0" w:color="auto"/>
              <w:left w:val="nil"/>
              <w:bottom w:val="single" w:sz="4" w:space="0" w:color="auto"/>
              <w:right w:val="nil"/>
            </w:tcBorders>
            <w:hideMark/>
          </w:tcPr>
          <w:p w14:paraId="4B82F5A8" w14:textId="4141767F" w:rsidR="00913C22" w:rsidRPr="00913C22" w:rsidRDefault="007D3ECB" w:rsidP="00913C22">
            <w:pPr>
              <w:pStyle w:val="TableTextLeftAligned"/>
              <w:spacing w:after="0"/>
              <w:rPr>
                <w:rFonts w:ascii="Helvetica" w:hAnsi="Helvetica"/>
              </w:rPr>
            </w:pPr>
            <w:r>
              <w:rPr>
                <w:rFonts w:ascii="Helvetica" w:hAnsi="Helvetica"/>
              </w:rPr>
              <w:t>0.036</w:t>
            </w:r>
          </w:p>
        </w:tc>
      </w:tr>
    </w:tbl>
    <w:p w14:paraId="588CA4EC" w14:textId="3C635C8F" w:rsidR="00C32523" w:rsidRDefault="007D3ECB" w:rsidP="00C32523">
      <w:pPr>
        <w:pStyle w:val="SourceNotesText"/>
      </w:pPr>
      <w:r>
        <w:t>n = 1</w:t>
      </w:r>
      <w:r w:rsidR="000154B4">
        <w:t>,</w:t>
      </w:r>
      <w:r>
        <w:t>445</w:t>
      </w:r>
    </w:p>
    <w:p w14:paraId="43649CBC" w14:textId="269DC1F0" w:rsidR="007D3ECB" w:rsidRDefault="007D3ECB" w:rsidP="00C32523">
      <w:pPr>
        <w:pStyle w:val="SourceNotesText"/>
      </w:pPr>
      <w:r>
        <w:t>One tailed test.</w:t>
      </w:r>
    </w:p>
    <w:p w14:paraId="09F575D4" w14:textId="6E68F351" w:rsidR="00B11CF4" w:rsidRDefault="007D3ECB" w:rsidP="00257513">
      <w:pPr>
        <w:pStyle w:val="SourceNotesText"/>
      </w:pPr>
      <w:r>
        <w:rPr>
          <w:rFonts w:ascii="Helvetica" w:hAnsi="Helvetica"/>
        </w:rPr>
        <w:t>Marginal means derived from OLS model with HC2 robust standard error adjusted for switching history, source of sample and these two covariates interacted with treatment.</w:t>
      </w:r>
    </w:p>
    <w:p w14:paraId="3DE3E1A3" w14:textId="7FA8F805" w:rsidR="00257513" w:rsidRDefault="00257513" w:rsidP="000F7FD9">
      <w:pPr>
        <w:pStyle w:val="Caption"/>
        <w:keepNext/>
        <w:outlineLvl w:val="3"/>
      </w:pPr>
      <w:r>
        <w:t xml:space="preserve">Table </w:t>
      </w:r>
      <w:fldSimple w:instr=" SEQ Table \* ARABIC ">
        <w:r w:rsidR="003A4FBB">
          <w:rPr>
            <w:noProof/>
          </w:rPr>
          <w:t>4</w:t>
        </w:r>
      </w:fldSimple>
      <w:r>
        <w:t>.</w:t>
      </w:r>
      <w:r>
        <w:tab/>
      </w:r>
      <w:r w:rsidRPr="008511B0">
        <w:t>H2: Compared to when the discount is flagged, when it was also accompanied by an explanatory note, the small increase in people choosing the cheapest plan was not significant.</w:t>
      </w:r>
    </w:p>
    <w:tbl>
      <w:tblPr>
        <w:tblStyle w:val="TableGrid"/>
        <w:tblW w:w="838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607"/>
        <w:gridCol w:w="1162"/>
        <w:gridCol w:w="1406"/>
        <w:gridCol w:w="1410"/>
        <w:gridCol w:w="1773"/>
        <w:gridCol w:w="1028"/>
      </w:tblGrid>
      <w:tr w:rsidR="007D3ECB" w14:paraId="3A44C259" w14:textId="77777777" w:rsidTr="001E064C">
        <w:trPr>
          <w:tblHeader/>
        </w:trPr>
        <w:tc>
          <w:tcPr>
            <w:tcW w:w="1607" w:type="dxa"/>
            <w:tcBorders>
              <w:top w:val="nil"/>
              <w:left w:val="nil"/>
              <w:bottom w:val="single" w:sz="18" w:space="0" w:color="auto"/>
              <w:right w:val="nil"/>
            </w:tcBorders>
            <w:shd w:val="clear" w:color="auto" w:fill="ABDBF6" w:themeFill="accent1"/>
            <w:vAlign w:val="bottom"/>
            <w:hideMark/>
          </w:tcPr>
          <w:p w14:paraId="2BAC4F98" w14:textId="77777777" w:rsidR="007D3ECB" w:rsidRDefault="007D3ECB" w:rsidP="001E064C">
            <w:pPr>
              <w:rPr>
                <w:rFonts w:ascii="Helvetica" w:hAnsi="Helvetica"/>
                <w:b/>
                <w:szCs w:val="20"/>
              </w:rPr>
            </w:pPr>
            <w:r>
              <w:rPr>
                <w:rFonts w:ascii="Helvetica" w:hAnsi="Helvetica"/>
                <w:b/>
                <w:szCs w:val="20"/>
              </w:rPr>
              <w:t>Condition</w:t>
            </w:r>
          </w:p>
        </w:tc>
        <w:tc>
          <w:tcPr>
            <w:tcW w:w="1162" w:type="dxa"/>
            <w:tcBorders>
              <w:top w:val="nil"/>
              <w:left w:val="nil"/>
              <w:bottom w:val="single" w:sz="18" w:space="0" w:color="auto"/>
              <w:right w:val="nil"/>
            </w:tcBorders>
            <w:shd w:val="clear" w:color="auto" w:fill="ABDBF6" w:themeFill="accent1"/>
            <w:vAlign w:val="bottom"/>
            <w:hideMark/>
          </w:tcPr>
          <w:p w14:paraId="0C764EE4" w14:textId="35D1D7AB" w:rsidR="007D3ECB" w:rsidRDefault="007D3ECB" w:rsidP="001E064C">
            <w:pPr>
              <w:rPr>
                <w:rFonts w:ascii="Helvetica" w:hAnsi="Helvetica"/>
                <w:b/>
                <w:szCs w:val="20"/>
              </w:rPr>
            </w:pPr>
            <w:r>
              <w:rPr>
                <w:rFonts w:ascii="Helvetica" w:hAnsi="Helvetica"/>
                <w:b/>
                <w:szCs w:val="20"/>
              </w:rPr>
              <w:t>Mean</w:t>
            </w:r>
            <w:r w:rsidR="000B5831">
              <w:rPr>
                <w:rFonts w:ascii="Helvetica" w:hAnsi="Helvetica"/>
                <w:b/>
                <w:szCs w:val="20"/>
              </w:rPr>
              <w:t xml:space="preserve"> % choosing the cheapest plan</w:t>
            </w:r>
            <w:r>
              <w:rPr>
                <w:rFonts w:ascii="Helvetica" w:hAnsi="Helvetica"/>
                <w:b/>
                <w:szCs w:val="20"/>
              </w:rPr>
              <w:t xml:space="preserve"> </w:t>
            </w:r>
          </w:p>
        </w:tc>
        <w:tc>
          <w:tcPr>
            <w:tcW w:w="1406" w:type="dxa"/>
            <w:tcBorders>
              <w:top w:val="nil"/>
              <w:left w:val="nil"/>
              <w:bottom w:val="single" w:sz="18" w:space="0" w:color="auto"/>
              <w:right w:val="nil"/>
            </w:tcBorders>
            <w:shd w:val="clear" w:color="auto" w:fill="ABDBF6" w:themeFill="accent1"/>
            <w:vAlign w:val="bottom"/>
            <w:hideMark/>
          </w:tcPr>
          <w:p w14:paraId="31BD3E0C" w14:textId="77777777" w:rsidR="007D3ECB" w:rsidRDefault="007D3ECB" w:rsidP="001E064C">
            <w:pPr>
              <w:rPr>
                <w:rFonts w:ascii="Helvetica" w:hAnsi="Helvetica"/>
                <w:b/>
                <w:szCs w:val="20"/>
              </w:rPr>
            </w:pPr>
            <w:r>
              <w:rPr>
                <w:rFonts w:ascii="Helvetica" w:hAnsi="Helvetica"/>
                <w:b/>
                <w:szCs w:val="20"/>
              </w:rPr>
              <w:t>Estimate</w:t>
            </w:r>
          </w:p>
        </w:tc>
        <w:tc>
          <w:tcPr>
            <w:tcW w:w="1410" w:type="dxa"/>
            <w:tcBorders>
              <w:top w:val="nil"/>
              <w:left w:val="nil"/>
              <w:bottom w:val="single" w:sz="18" w:space="0" w:color="auto"/>
              <w:right w:val="nil"/>
            </w:tcBorders>
            <w:shd w:val="clear" w:color="auto" w:fill="ABDBF6" w:themeFill="accent1"/>
            <w:vAlign w:val="bottom"/>
            <w:hideMark/>
          </w:tcPr>
          <w:p w14:paraId="44021532" w14:textId="77777777" w:rsidR="007D3ECB" w:rsidRDefault="007D3ECB" w:rsidP="001E064C">
            <w:pPr>
              <w:rPr>
                <w:rFonts w:ascii="Helvetica" w:hAnsi="Helvetica"/>
                <w:b/>
                <w:szCs w:val="20"/>
              </w:rPr>
            </w:pPr>
            <w:r>
              <w:rPr>
                <w:rFonts w:ascii="Helvetica" w:hAnsi="Helvetica"/>
                <w:b/>
                <w:szCs w:val="20"/>
              </w:rPr>
              <w:t>Standard error</w:t>
            </w:r>
          </w:p>
        </w:tc>
        <w:tc>
          <w:tcPr>
            <w:tcW w:w="1773" w:type="dxa"/>
            <w:tcBorders>
              <w:top w:val="nil"/>
              <w:left w:val="nil"/>
              <w:bottom w:val="single" w:sz="18" w:space="0" w:color="auto"/>
              <w:right w:val="nil"/>
            </w:tcBorders>
            <w:shd w:val="clear" w:color="auto" w:fill="ABDBF6" w:themeFill="accent1"/>
            <w:vAlign w:val="bottom"/>
            <w:hideMark/>
          </w:tcPr>
          <w:p w14:paraId="1EF3F9E8" w14:textId="77777777" w:rsidR="007D3ECB" w:rsidRDefault="007D3ECB" w:rsidP="001E064C">
            <w:pPr>
              <w:rPr>
                <w:rFonts w:ascii="Helvetica" w:hAnsi="Helvetica"/>
                <w:b/>
                <w:szCs w:val="20"/>
              </w:rPr>
            </w:pPr>
            <w:r>
              <w:rPr>
                <w:rFonts w:ascii="Helvetica" w:hAnsi="Helvetica"/>
                <w:b/>
                <w:szCs w:val="20"/>
              </w:rPr>
              <w:t>95% Confidence Interval</w:t>
            </w:r>
          </w:p>
        </w:tc>
        <w:tc>
          <w:tcPr>
            <w:tcW w:w="1028" w:type="dxa"/>
            <w:tcBorders>
              <w:top w:val="nil"/>
              <w:left w:val="nil"/>
              <w:bottom w:val="single" w:sz="18" w:space="0" w:color="auto"/>
              <w:right w:val="nil"/>
            </w:tcBorders>
            <w:shd w:val="clear" w:color="auto" w:fill="ABDBF6" w:themeFill="accent1"/>
            <w:vAlign w:val="bottom"/>
            <w:hideMark/>
          </w:tcPr>
          <w:p w14:paraId="10C6EB7D" w14:textId="77777777" w:rsidR="007D3ECB" w:rsidRDefault="007D3ECB" w:rsidP="001E064C">
            <w:pPr>
              <w:rPr>
                <w:rFonts w:ascii="Helvetica" w:hAnsi="Helvetica"/>
                <w:b/>
                <w:szCs w:val="20"/>
              </w:rPr>
            </w:pPr>
            <w:r>
              <w:rPr>
                <w:rFonts w:ascii="Helvetica" w:hAnsi="Helvetica"/>
                <w:b/>
                <w:i/>
                <w:szCs w:val="20"/>
              </w:rPr>
              <w:t>p-</w:t>
            </w:r>
            <w:r>
              <w:rPr>
                <w:rFonts w:ascii="Helvetica" w:hAnsi="Helvetica"/>
                <w:b/>
                <w:szCs w:val="20"/>
              </w:rPr>
              <w:t>value</w:t>
            </w:r>
          </w:p>
        </w:tc>
      </w:tr>
      <w:tr w:rsidR="007D3ECB" w14:paraId="08D0EF3E" w14:textId="77777777" w:rsidTr="001E064C">
        <w:tc>
          <w:tcPr>
            <w:tcW w:w="1607" w:type="dxa"/>
            <w:tcBorders>
              <w:top w:val="single" w:sz="18" w:space="0" w:color="auto"/>
              <w:left w:val="nil"/>
              <w:bottom w:val="single" w:sz="4" w:space="0" w:color="auto"/>
              <w:right w:val="nil"/>
            </w:tcBorders>
            <w:hideMark/>
          </w:tcPr>
          <w:p w14:paraId="7AE0A30D" w14:textId="0A239885" w:rsidR="007D3ECB" w:rsidRDefault="007D3ECB" w:rsidP="007D3ECB">
            <w:pPr>
              <w:pStyle w:val="TableTextLeftAligned"/>
              <w:spacing w:after="0"/>
              <w:rPr>
                <w:rFonts w:ascii="Helvetica" w:hAnsi="Helvetica"/>
              </w:rPr>
            </w:pPr>
            <w:r>
              <w:t>Discount flagged</w:t>
            </w:r>
          </w:p>
        </w:tc>
        <w:tc>
          <w:tcPr>
            <w:tcW w:w="1162" w:type="dxa"/>
            <w:tcBorders>
              <w:top w:val="single" w:sz="18" w:space="0" w:color="auto"/>
              <w:left w:val="nil"/>
              <w:bottom w:val="single" w:sz="4" w:space="0" w:color="auto"/>
              <w:right w:val="nil"/>
            </w:tcBorders>
            <w:hideMark/>
          </w:tcPr>
          <w:p w14:paraId="16DC17F2" w14:textId="35D21FE7" w:rsidR="007D3ECB" w:rsidRDefault="007D3ECB" w:rsidP="007D3ECB">
            <w:pPr>
              <w:pStyle w:val="TableTextLeftAligned"/>
              <w:spacing w:after="0"/>
              <w:rPr>
                <w:rFonts w:ascii="Helvetica" w:hAnsi="Helvetica"/>
                <w:highlight w:val="yellow"/>
              </w:rPr>
            </w:pPr>
            <w:r w:rsidRPr="00EA4A8E">
              <w:t>85.9%</w:t>
            </w:r>
          </w:p>
        </w:tc>
        <w:tc>
          <w:tcPr>
            <w:tcW w:w="1406" w:type="dxa"/>
            <w:tcBorders>
              <w:top w:val="single" w:sz="18" w:space="0" w:color="auto"/>
              <w:left w:val="nil"/>
              <w:bottom w:val="single" w:sz="4" w:space="0" w:color="auto"/>
              <w:right w:val="nil"/>
            </w:tcBorders>
          </w:tcPr>
          <w:p w14:paraId="148F59E3" w14:textId="3AA38AE7" w:rsidR="007D3ECB" w:rsidRPr="00913C22" w:rsidRDefault="00257513" w:rsidP="007D3ECB">
            <w:pPr>
              <w:pStyle w:val="TableTextLeftAligned"/>
              <w:spacing w:after="0"/>
              <w:rPr>
                <w:rFonts w:ascii="Helvetica" w:hAnsi="Helvetica"/>
              </w:rPr>
            </w:pPr>
            <w:r>
              <w:rPr>
                <w:rFonts w:ascii="Helvetica" w:hAnsi="Helvetica"/>
              </w:rPr>
              <w:t>-</w:t>
            </w:r>
          </w:p>
        </w:tc>
        <w:tc>
          <w:tcPr>
            <w:tcW w:w="1410" w:type="dxa"/>
            <w:tcBorders>
              <w:top w:val="single" w:sz="18" w:space="0" w:color="auto"/>
              <w:left w:val="nil"/>
              <w:bottom w:val="single" w:sz="4" w:space="0" w:color="auto"/>
              <w:right w:val="nil"/>
            </w:tcBorders>
          </w:tcPr>
          <w:p w14:paraId="5A780B11" w14:textId="784BD933" w:rsidR="007D3ECB" w:rsidRPr="00913C22" w:rsidRDefault="00257513" w:rsidP="007D3ECB">
            <w:pPr>
              <w:pStyle w:val="TableTextLeftAligned"/>
              <w:spacing w:after="0"/>
              <w:rPr>
                <w:rFonts w:ascii="Helvetica" w:hAnsi="Helvetica"/>
              </w:rPr>
            </w:pPr>
            <w:r>
              <w:rPr>
                <w:rFonts w:ascii="Helvetica" w:hAnsi="Helvetica"/>
              </w:rPr>
              <w:t>-</w:t>
            </w:r>
          </w:p>
        </w:tc>
        <w:tc>
          <w:tcPr>
            <w:tcW w:w="1773" w:type="dxa"/>
            <w:tcBorders>
              <w:top w:val="single" w:sz="18" w:space="0" w:color="auto"/>
              <w:left w:val="nil"/>
              <w:bottom w:val="single" w:sz="4" w:space="0" w:color="auto"/>
              <w:right w:val="nil"/>
            </w:tcBorders>
          </w:tcPr>
          <w:p w14:paraId="4A4D6E75" w14:textId="4F7E2633" w:rsidR="007D3ECB" w:rsidRPr="00913C22" w:rsidRDefault="00257513" w:rsidP="007D3ECB">
            <w:pPr>
              <w:pStyle w:val="TableTextLeftAligned"/>
              <w:spacing w:after="0"/>
              <w:rPr>
                <w:rFonts w:ascii="Helvetica" w:hAnsi="Helvetica"/>
              </w:rPr>
            </w:pPr>
            <w:r>
              <w:rPr>
                <w:rFonts w:ascii="Helvetica" w:hAnsi="Helvetica"/>
              </w:rPr>
              <w:t>-</w:t>
            </w:r>
          </w:p>
        </w:tc>
        <w:tc>
          <w:tcPr>
            <w:tcW w:w="1028" w:type="dxa"/>
            <w:tcBorders>
              <w:top w:val="single" w:sz="18" w:space="0" w:color="auto"/>
              <w:left w:val="nil"/>
              <w:bottom w:val="single" w:sz="4" w:space="0" w:color="auto"/>
              <w:right w:val="nil"/>
            </w:tcBorders>
          </w:tcPr>
          <w:p w14:paraId="17934BD5" w14:textId="640E91E8" w:rsidR="007D3ECB" w:rsidRPr="00913C22" w:rsidRDefault="00257513" w:rsidP="007D3ECB">
            <w:pPr>
              <w:pStyle w:val="TableTextLeftAligned"/>
              <w:spacing w:after="0"/>
              <w:rPr>
                <w:rFonts w:ascii="Helvetica" w:hAnsi="Helvetica"/>
              </w:rPr>
            </w:pPr>
            <w:r>
              <w:rPr>
                <w:rFonts w:ascii="Helvetica" w:hAnsi="Helvetica"/>
              </w:rPr>
              <w:t>-</w:t>
            </w:r>
          </w:p>
        </w:tc>
      </w:tr>
      <w:tr w:rsidR="007D3ECB" w14:paraId="0E3DAB9C" w14:textId="77777777" w:rsidTr="001E064C">
        <w:tc>
          <w:tcPr>
            <w:tcW w:w="1607" w:type="dxa"/>
            <w:tcBorders>
              <w:top w:val="single" w:sz="4" w:space="0" w:color="auto"/>
              <w:left w:val="nil"/>
              <w:bottom w:val="single" w:sz="4" w:space="0" w:color="auto"/>
              <w:right w:val="nil"/>
            </w:tcBorders>
            <w:hideMark/>
          </w:tcPr>
          <w:p w14:paraId="5276CE3A" w14:textId="47CAB633" w:rsidR="007D3ECB" w:rsidRDefault="007D3ECB" w:rsidP="007D3ECB">
            <w:pPr>
              <w:pStyle w:val="TableTextLeftAligned"/>
              <w:spacing w:after="0"/>
              <w:rPr>
                <w:rFonts w:ascii="Helvetica" w:hAnsi="Helvetica"/>
              </w:rPr>
            </w:pPr>
            <w:r w:rsidRPr="00911F9D">
              <w:t>Discount flagged</w:t>
            </w:r>
            <w:r>
              <w:t xml:space="preserve"> with note</w:t>
            </w:r>
          </w:p>
        </w:tc>
        <w:tc>
          <w:tcPr>
            <w:tcW w:w="1162" w:type="dxa"/>
            <w:tcBorders>
              <w:top w:val="single" w:sz="4" w:space="0" w:color="auto"/>
              <w:left w:val="nil"/>
              <w:bottom w:val="single" w:sz="4" w:space="0" w:color="auto"/>
              <w:right w:val="nil"/>
            </w:tcBorders>
            <w:hideMark/>
          </w:tcPr>
          <w:p w14:paraId="32D26375" w14:textId="2CB23A50" w:rsidR="007D3ECB" w:rsidRDefault="007D3ECB" w:rsidP="007D3ECB">
            <w:pPr>
              <w:pStyle w:val="TableTextLeftAligned"/>
              <w:spacing w:after="0"/>
              <w:rPr>
                <w:rFonts w:ascii="Helvetica" w:hAnsi="Helvetica"/>
                <w:highlight w:val="yellow"/>
              </w:rPr>
            </w:pPr>
            <w:r w:rsidRPr="00EA4A8E">
              <w:t>87.1%</w:t>
            </w:r>
          </w:p>
        </w:tc>
        <w:tc>
          <w:tcPr>
            <w:tcW w:w="1406" w:type="dxa"/>
            <w:tcBorders>
              <w:top w:val="single" w:sz="4" w:space="0" w:color="auto"/>
              <w:left w:val="nil"/>
              <w:bottom w:val="single" w:sz="4" w:space="0" w:color="auto"/>
              <w:right w:val="nil"/>
            </w:tcBorders>
            <w:hideMark/>
          </w:tcPr>
          <w:p w14:paraId="4C3E57EB" w14:textId="1364D27E" w:rsidR="007D3ECB" w:rsidRPr="00913C22" w:rsidRDefault="007D3ECB" w:rsidP="007D3ECB">
            <w:pPr>
              <w:pStyle w:val="TableTextLeftAligned"/>
              <w:spacing w:after="0"/>
              <w:rPr>
                <w:rFonts w:ascii="Helvetica" w:hAnsi="Helvetica"/>
              </w:rPr>
            </w:pPr>
            <w:r w:rsidRPr="00EA4A8E">
              <w:t>0.01</w:t>
            </w:r>
          </w:p>
        </w:tc>
        <w:tc>
          <w:tcPr>
            <w:tcW w:w="1410" w:type="dxa"/>
            <w:tcBorders>
              <w:top w:val="single" w:sz="4" w:space="0" w:color="auto"/>
              <w:left w:val="nil"/>
              <w:bottom w:val="single" w:sz="4" w:space="0" w:color="auto"/>
              <w:right w:val="nil"/>
            </w:tcBorders>
            <w:hideMark/>
          </w:tcPr>
          <w:p w14:paraId="0EBFB91A" w14:textId="7EC915EF" w:rsidR="007D3ECB" w:rsidRPr="00913C22" w:rsidRDefault="007D3ECB" w:rsidP="007D3ECB">
            <w:pPr>
              <w:pStyle w:val="TableTextLeftAligned"/>
              <w:spacing w:after="0"/>
              <w:rPr>
                <w:rFonts w:ascii="Helvetica" w:hAnsi="Helvetica"/>
              </w:rPr>
            </w:pPr>
            <w:r w:rsidRPr="00EA4A8E">
              <w:t>0.02</w:t>
            </w:r>
          </w:p>
        </w:tc>
        <w:tc>
          <w:tcPr>
            <w:tcW w:w="1773" w:type="dxa"/>
            <w:tcBorders>
              <w:top w:val="single" w:sz="4" w:space="0" w:color="auto"/>
              <w:left w:val="nil"/>
              <w:bottom w:val="single" w:sz="4" w:space="0" w:color="auto"/>
              <w:right w:val="nil"/>
            </w:tcBorders>
            <w:hideMark/>
          </w:tcPr>
          <w:p w14:paraId="6C2CCF0B" w14:textId="209DA9E9" w:rsidR="007D3ECB" w:rsidRPr="00913C22" w:rsidRDefault="007D3ECB" w:rsidP="007D3ECB">
            <w:pPr>
              <w:pStyle w:val="TableTextLeftAligned"/>
              <w:spacing w:after="0"/>
              <w:rPr>
                <w:rFonts w:ascii="Helvetica" w:hAnsi="Helvetica"/>
              </w:rPr>
            </w:pPr>
            <w:r w:rsidRPr="00913C22">
              <w:rPr>
                <w:rFonts w:ascii="Helvetica" w:hAnsi="Helvetica"/>
              </w:rPr>
              <w:t>(</w:t>
            </w:r>
            <w:r>
              <w:rPr>
                <w:rFonts w:ascii="Helvetica" w:hAnsi="Helvetica"/>
              </w:rPr>
              <w:t>-0.02 – 0.04)</w:t>
            </w:r>
          </w:p>
        </w:tc>
        <w:tc>
          <w:tcPr>
            <w:tcW w:w="1028" w:type="dxa"/>
            <w:tcBorders>
              <w:top w:val="single" w:sz="4" w:space="0" w:color="auto"/>
              <w:left w:val="nil"/>
              <w:bottom w:val="single" w:sz="4" w:space="0" w:color="auto"/>
              <w:right w:val="nil"/>
            </w:tcBorders>
            <w:hideMark/>
          </w:tcPr>
          <w:p w14:paraId="0E0FC678" w14:textId="157B5C7D" w:rsidR="007D3ECB" w:rsidRPr="00913C22" w:rsidRDefault="007D3ECB" w:rsidP="007D3ECB">
            <w:pPr>
              <w:pStyle w:val="TableTextLeftAligned"/>
              <w:spacing w:after="0"/>
              <w:rPr>
                <w:rFonts w:ascii="Helvetica" w:hAnsi="Helvetica"/>
              </w:rPr>
            </w:pPr>
            <w:r>
              <w:rPr>
                <w:rFonts w:ascii="Helvetica" w:hAnsi="Helvetica"/>
              </w:rPr>
              <w:t>0.242</w:t>
            </w:r>
          </w:p>
        </w:tc>
      </w:tr>
    </w:tbl>
    <w:p w14:paraId="6EED341F" w14:textId="6CB2A483" w:rsidR="007D3ECB" w:rsidRDefault="007D3ECB" w:rsidP="007D3ECB">
      <w:pPr>
        <w:pStyle w:val="SourceNotesText"/>
      </w:pPr>
      <w:r>
        <w:t>n = 1</w:t>
      </w:r>
      <w:r w:rsidR="000154B4">
        <w:t>,</w:t>
      </w:r>
      <w:r>
        <w:t>504</w:t>
      </w:r>
    </w:p>
    <w:p w14:paraId="1CF568CC" w14:textId="77777777" w:rsidR="007D3ECB" w:rsidRDefault="007D3ECB" w:rsidP="007D3ECB">
      <w:pPr>
        <w:pStyle w:val="SourceNotesText"/>
      </w:pPr>
      <w:r>
        <w:t>One tailed test.</w:t>
      </w:r>
    </w:p>
    <w:p w14:paraId="0DC2245E" w14:textId="77777777" w:rsidR="007D3ECB" w:rsidRDefault="007D3ECB" w:rsidP="007D3ECB">
      <w:pPr>
        <w:pStyle w:val="SourceNotesText"/>
      </w:pPr>
      <w:r>
        <w:rPr>
          <w:rFonts w:ascii="Helvetica" w:hAnsi="Helvetica"/>
        </w:rPr>
        <w:t>Marginal means derived from OLS model with HC2 robust standard error adjusted for switching history, source of sample and these two covariates interacted with treatment.</w:t>
      </w:r>
    </w:p>
    <w:p w14:paraId="15088687" w14:textId="77777777" w:rsidR="007D3ECB" w:rsidRDefault="007D3ECB" w:rsidP="00C32523">
      <w:pPr>
        <w:pStyle w:val="SourceNotesText"/>
      </w:pPr>
    </w:p>
    <w:p w14:paraId="14709137" w14:textId="77777777" w:rsidR="00C32523" w:rsidRDefault="00C32523" w:rsidP="00C32523"/>
    <w:p w14:paraId="3D7FAD38" w14:textId="77777777" w:rsidR="00C32523" w:rsidRDefault="00C32523" w:rsidP="00C32523">
      <w:pPr>
        <w:spacing w:after="0" w:line="240" w:lineRule="auto"/>
        <w:rPr>
          <w:rFonts w:asciiTheme="majorHAnsi" w:hAnsiTheme="majorHAnsi"/>
          <w:b/>
          <w:sz w:val="72"/>
          <w:szCs w:val="44"/>
        </w:rPr>
      </w:pPr>
      <w:r>
        <w:br w:type="page"/>
      </w:r>
    </w:p>
    <w:p w14:paraId="357ED433" w14:textId="4E4B8B98" w:rsidR="00C32523" w:rsidRDefault="00C32523" w:rsidP="00B642EF">
      <w:pPr>
        <w:pStyle w:val="Heading2"/>
      </w:pPr>
      <w:bookmarkStart w:id="69" w:name="_Toc184198599"/>
      <w:bookmarkStart w:id="70" w:name="_Toc200588791"/>
      <w:bookmarkStart w:id="71" w:name="_Toc200642895"/>
      <w:bookmarkStart w:id="72" w:name="_Toc181870051"/>
      <w:r>
        <w:lastRenderedPageBreak/>
        <w:t xml:space="preserve">Appendix </w:t>
      </w:r>
      <w:r w:rsidR="003C2EB1">
        <w:t>D</w:t>
      </w:r>
      <w:r>
        <w:t xml:space="preserve">: </w:t>
      </w:r>
      <w:r w:rsidR="00B642EF">
        <w:br/>
        <w:t>Retailer comparison RCT</w:t>
      </w:r>
      <w:bookmarkEnd w:id="69"/>
      <w:bookmarkEnd w:id="70"/>
      <w:bookmarkEnd w:id="71"/>
    </w:p>
    <w:p w14:paraId="58A108AC" w14:textId="1A7461CD" w:rsidR="00ED086C" w:rsidRDefault="00ED086C" w:rsidP="00ED086C">
      <w:pPr>
        <w:pStyle w:val="Heading3"/>
      </w:pPr>
      <w:r>
        <w:t>Design</w:t>
      </w:r>
    </w:p>
    <w:p w14:paraId="5D9F73D4" w14:textId="43372334" w:rsidR="00C32523" w:rsidRDefault="00AB361A" w:rsidP="00C32523">
      <w:r>
        <w:t xml:space="preserve">Several participants in </w:t>
      </w:r>
      <w:r w:rsidR="00A6431C">
        <w:t>user-testing</w:t>
      </w:r>
      <w:r>
        <w:t xml:space="preserve"> said that they wanted the results page to show them how their current retailer compares with others. </w:t>
      </w:r>
      <w:r w:rsidR="000F6385">
        <w:t>C</w:t>
      </w:r>
      <w:r>
        <w:t>omparison sites</w:t>
      </w:r>
      <w:r w:rsidR="000F6385">
        <w:t xml:space="preserve"> can</w:t>
      </w:r>
      <w:r>
        <w:t xml:space="preserve"> achieve this by ‘pinning’ the current retailer’s product to the top of the results page before showing a sorted list of other plans. However, the complexities of the energy retail market mean that the EME site cannot always show the visitor’s current plan but it can show the ‘best offer’ from the same retailer. The risk, however, is that pinning this to the top of the results page induces </w:t>
      </w:r>
      <w:r w:rsidR="001C69F7">
        <w:t>consumers</w:t>
      </w:r>
      <w:r>
        <w:t xml:space="preserve"> to switch to the retailer’s best offer even though this is inferior to other plans in the market. </w:t>
      </w:r>
    </w:p>
    <w:p w14:paraId="348DFF1C" w14:textId="6EF42394" w:rsidR="00AB361A" w:rsidRDefault="00AB361A" w:rsidP="00C32523">
      <w:r>
        <w:t xml:space="preserve">This experiment was </w:t>
      </w:r>
      <w:r w:rsidRPr="00553D20">
        <w:t xml:space="preserve">a </w:t>
      </w:r>
      <w:r>
        <w:t>4</w:t>
      </w:r>
      <w:r w:rsidRPr="00553D20">
        <w:t>-arm individually randomised survey experiment run with the aim of increasing the percentage who choose to switch from their current plan to another plan in a hypothetical scenario. Specifically</w:t>
      </w:r>
      <w:r w:rsidR="00F635DE">
        <w:t>,</w:t>
      </w:r>
      <w:r w:rsidRPr="00553D20">
        <w:t xml:space="preserve"> we test</w:t>
      </w:r>
      <w:r>
        <w:t>ed</w:t>
      </w:r>
      <w:r w:rsidRPr="00553D20">
        <w:t xml:space="preserve"> the effect of pinning the cheapest plan from their current retailer to the top of the search results.</w:t>
      </w:r>
    </w:p>
    <w:p w14:paraId="492B7AE9" w14:textId="77777777" w:rsidR="00C32523" w:rsidRDefault="00C32523" w:rsidP="00C32523">
      <w:pPr>
        <w:pStyle w:val="Heading3"/>
      </w:pPr>
      <w:r>
        <w:t>Sample size and power</w:t>
      </w:r>
    </w:p>
    <w:p w14:paraId="2F3ACF19" w14:textId="039ABCA2" w:rsidR="00AB361A" w:rsidRPr="00921108" w:rsidRDefault="00AB361A" w:rsidP="00AB361A">
      <w:r w:rsidRPr="00921108">
        <w:t xml:space="preserve">We performed power calculations </w:t>
      </w:r>
      <w:r>
        <w:t xml:space="preserve">for the minimum detectable effect size </w:t>
      </w:r>
      <w:r w:rsidRPr="00921108">
        <w:t>using a</w:t>
      </w:r>
      <w:r>
        <w:t xml:space="preserve">n </w:t>
      </w:r>
      <w:r w:rsidRPr="00921108">
        <w:t xml:space="preserve">alpha of 5%, and </w:t>
      </w:r>
      <w:r>
        <w:t>power of 80% for a one</w:t>
      </w:r>
      <w:r>
        <w:noBreakHyphen/>
        <w:t>sided</w:t>
      </w:r>
      <w:r w:rsidRPr="00921108">
        <w:t xml:space="preserve"> test.</w:t>
      </w:r>
      <w:r>
        <w:t xml:space="preserve"> This assumed that we would collect a sample size of 3,000 respondents across the 2 samples. </w:t>
      </w:r>
    </w:p>
    <w:p w14:paraId="7E27B18B" w14:textId="4729D7FE" w:rsidR="00AB361A" w:rsidRPr="00CA0CB4" w:rsidRDefault="00AB361A" w:rsidP="00AB361A">
      <w:r>
        <w:rPr>
          <w:b/>
        </w:rPr>
        <w:t>Experiment</w:t>
      </w:r>
      <w:r w:rsidRPr="00CA0CB4">
        <w:rPr>
          <w:b/>
        </w:rPr>
        <w:t xml:space="preserve"> A</w:t>
      </w:r>
      <w:r>
        <w:rPr>
          <w:b/>
        </w:rPr>
        <w:t>:</w:t>
      </w:r>
      <w:r w:rsidRPr="00CA0CB4">
        <w:t xml:space="preserve"> </w:t>
      </w:r>
      <w:r>
        <w:t>With 3,000 respondents, the experiment wa</w:t>
      </w:r>
      <w:r w:rsidRPr="00CA0CB4" w:rsidDel="00EE30F3">
        <w:t xml:space="preserve">s </w:t>
      </w:r>
      <w:r w:rsidRPr="00CA0CB4">
        <w:t>power</w:t>
      </w:r>
      <w:r>
        <w:t>ed</w:t>
      </w:r>
      <w:r w:rsidRPr="00CA0CB4">
        <w:t xml:space="preserve"> to detect a minimum effect size of 5</w:t>
      </w:r>
      <w:r>
        <w:t xml:space="preserve"> </w:t>
      </w:r>
      <w:r w:rsidRPr="00CA0CB4">
        <w:t>percentage points (</w:t>
      </w:r>
      <w:r>
        <w:t>assuming</w:t>
      </w:r>
      <w:r w:rsidRPr="00CA0CB4">
        <w:t xml:space="preserve"> a baseline rate of 80% choosing to switch). </w:t>
      </w:r>
      <w:r>
        <w:t>We did not know what effect size wa</w:t>
      </w:r>
      <w:r w:rsidRPr="00CA0CB4">
        <w:t xml:space="preserve">s feasible and </w:t>
      </w:r>
      <w:r>
        <w:t>had</w:t>
      </w:r>
      <w:r w:rsidRPr="00CA0CB4">
        <w:t xml:space="preserve"> no information on the probable baseline rates of switching in a hypothetical such as this. </w:t>
      </w:r>
    </w:p>
    <w:p w14:paraId="5E884072" w14:textId="03C216C5" w:rsidR="00B11CF4" w:rsidRDefault="00C32523" w:rsidP="00257513">
      <w:pPr>
        <w:pStyle w:val="Heading3"/>
        <w:pageBreakBefore/>
      </w:pPr>
      <w:r>
        <w:lastRenderedPageBreak/>
        <w:t>Sample randomisation</w:t>
      </w:r>
    </w:p>
    <w:p w14:paraId="3D714E62" w14:textId="7743576A" w:rsidR="00257513" w:rsidRDefault="00257513" w:rsidP="000F7FD9">
      <w:pPr>
        <w:pStyle w:val="Caption"/>
        <w:keepNext/>
        <w:outlineLvl w:val="3"/>
      </w:pPr>
      <w:r>
        <w:t xml:space="preserve">Table </w:t>
      </w:r>
      <w:fldSimple w:instr=" SEQ Table \* ARABIC ">
        <w:r w:rsidR="003A4FBB">
          <w:rPr>
            <w:noProof/>
          </w:rPr>
          <w:t>5</w:t>
        </w:r>
      </w:fldSimple>
      <w:r>
        <w:t>.</w:t>
      </w:r>
      <w:r>
        <w:tab/>
      </w:r>
      <w:r w:rsidRPr="008B6005">
        <w:t>Sample size for each arm of the trial after randomisation.</w:t>
      </w:r>
    </w:p>
    <w:tbl>
      <w:tblPr>
        <w:tblStyle w:val="DefaultTable"/>
        <w:tblW w:w="4966" w:type="pct"/>
        <w:tblCellMar>
          <w:top w:w="85" w:type="dxa"/>
        </w:tblCellMar>
        <w:tblLook w:val="0420" w:firstRow="1" w:lastRow="0" w:firstColumn="0" w:lastColumn="0" w:noHBand="0" w:noVBand="1"/>
        <w:tblCaption w:val="Table 1"/>
        <w:tblDescription w:val="Example table with Alt Text for accessibility"/>
      </w:tblPr>
      <w:tblGrid>
        <w:gridCol w:w="1276"/>
        <w:gridCol w:w="6096"/>
        <w:gridCol w:w="850"/>
      </w:tblGrid>
      <w:tr w:rsidR="00FB3824" w14:paraId="0254212A" w14:textId="77777777" w:rsidTr="00B11CF4">
        <w:trPr>
          <w:cnfStyle w:val="100000000000" w:firstRow="1" w:lastRow="0" w:firstColumn="0" w:lastColumn="0" w:oddVBand="0" w:evenVBand="0" w:oddHBand="0" w:evenHBand="0" w:firstRowFirstColumn="0" w:firstRowLastColumn="0" w:lastRowFirstColumn="0" w:lastRowLastColumn="0"/>
          <w:tblHeader/>
        </w:trPr>
        <w:tc>
          <w:tcPr>
            <w:tcW w:w="776" w:type="pct"/>
            <w:tcBorders>
              <w:top w:val="nil"/>
              <w:left w:val="nil"/>
              <w:bottom w:val="single" w:sz="18" w:space="0" w:color="2D276C" w:themeColor="accent6"/>
              <w:right w:val="nil"/>
            </w:tcBorders>
            <w:shd w:val="clear" w:color="auto" w:fill="ABDBF6" w:themeFill="accent1"/>
            <w:hideMark/>
          </w:tcPr>
          <w:p w14:paraId="2850D9B7" w14:textId="77777777" w:rsidR="00FB3824" w:rsidRDefault="00FB3824" w:rsidP="009A5779">
            <w:pPr>
              <w:pStyle w:val="TableHeading"/>
              <w:spacing w:after="0"/>
              <w:rPr>
                <w:rFonts w:ascii="Helvetica" w:hAnsi="Helvetica"/>
                <w:color w:val="auto"/>
              </w:rPr>
            </w:pPr>
            <w:r>
              <w:rPr>
                <w:rFonts w:ascii="Helvetica" w:hAnsi="Helvetica"/>
                <w:color w:val="auto"/>
              </w:rPr>
              <w:t>Trial arm</w:t>
            </w:r>
          </w:p>
        </w:tc>
        <w:tc>
          <w:tcPr>
            <w:tcW w:w="3707" w:type="pct"/>
            <w:tcBorders>
              <w:top w:val="nil"/>
              <w:left w:val="nil"/>
              <w:bottom w:val="single" w:sz="18" w:space="0" w:color="2D276C" w:themeColor="accent6"/>
              <w:right w:val="nil"/>
            </w:tcBorders>
            <w:shd w:val="clear" w:color="auto" w:fill="ABDBF6" w:themeFill="accent1"/>
            <w:hideMark/>
          </w:tcPr>
          <w:p w14:paraId="40BD1A32" w14:textId="3E9DB3F5" w:rsidR="00FB3824" w:rsidRDefault="00FB3824" w:rsidP="009A5779">
            <w:pPr>
              <w:pStyle w:val="TableHeading"/>
              <w:spacing w:after="0"/>
              <w:rPr>
                <w:rFonts w:ascii="Helvetica" w:hAnsi="Helvetica"/>
                <w:color w:val="auto"/>
              </w:rPr>
            </w:pPr>
            <w:r>
              <w:rPr>
                <w:rFonts w:ascii="Helvetica" w:hAnsi="Helvetica"/>
                <w:color w:val="auto"/>
              </w:rPr>
              <w:t xml:space="preserve">Presentation of </w:t>
            </w:r>
            <w:r w:rsidR="00247D97">
              <w:rPr>
                <w:rFonts w:ascii="Helvetica" w:hAnsi="Helvetica"/>
                <w:color w:val="auto"/>
              </w:rPr>
              <w:t>Retailer’s Best Offer (RBO) on list of plan results</w:t>
            </w:r>
          </w:p>
        </w:tc>
        <w:tc>
          <w:tcPr>
            <w:tcW w:w="517" w:type="pct"/>
            <w:tcBorders>
              <w:top w:val="nil"/>
              <w:left w:val="nil"/>
              <w:bottom w:val="single" w:sz="18" w:space="0" w:color="2D276C" w:themeColor="accent6"/>
              <w:right w:val="nil"/>
            </w:tcBorders>
            <w:shd w:val="clear" w:color="auto" w:fill="ABDBF6" w:themeFill="accent1"/>
            <w:hideMark/>
          </w:tcPr>
          <w:p w14:paraId="31A2CC67" w14:textId="77777777" w:rsidR="00FB3824" w:rsidRPr="008F50E4" w:rsidRDefault="00FB3824" w:rsidP="009A5779">
            <w:pPr>
              <w:pStyle w:val="TableHeading"/>
              <w:spacing w:after="0"/>
              <w:rPr>
                <w:rFonts w:ascii="Helvetica" w:hAnsi="Helvetica"/>
                <w:i/>
                <w:color w:val="auto"/>
              </w:rPr>
            </w:pPr>
            <w:r w:rsidRPr="008F50E4">
              <w:rPr>
                <w:rFonts w:ascii="Helvetica" w:hAnsi="Helvetica"/>
                <w:i/>
                <w:color w:val="auto"/>
              </w:rPr>
              <w:t>n</w:t>
            </w:r>
          </w:p>
        </w:tc>
      </w:tr>
      <w:tr w:rsidR="00FB3824" w14:paraId="7287A875" w14:textId="77777777" w:rsidTr="00281E86">
        <w:tc>
          <w:tcPr>
            <w:tcW w:w="776" w:type="pct"/>
            <w:tcBorders>
              <w:top w:val="single" w:sz="18" w:space="0" w:color="2D276C" w:themeColor="accent6"/>
              <w:left w:val="nil"/>
              <w:bottom w:val="single" w:sz="4" w:space="0" w:color="808080" w:themeColor="background1" w:themeShade="80"/>
              <w:right w:val="nil"/>
            </w:tcBorders>
            <w:shd w:val="clear" w:color="auto" w:fill="FFFFFF" w:themeFill="background1"/>
            <w:hideMark/>
          </w:tcPr>
          <w:p w14:paraId="7088FC1B" w14:textId="58F23A11" w:rsidR="00FB3824" w:rsidRDefault="00FB3824" w:rsidP="009A5779">
            <w:pPr>
              <w:pStyle w:val="TableTextRightAligned"/>
              <w:jc w:val="left"/>
            </w:pPr>
            <w:r>
              <w:t>T1</w:t>
            </w:r>
          </w:p>
        </w:tc>
        <w:tc>
          <w:tcPr>
            <w:tcW w:w="3707" w:type="pct"/>
            <w:tcBorders>
              <w:top w:val="single" w:sz="18" w:space="0" w:color="2D276C" w:themeColor="accent6"/>
              <w:left w:val="nil"/>
              <w:bottom w:val="single" w:sz="4" w:space="0" w:color="808080" w:themeColor="background1" w:themeShade="80"/>
              <w:right w:val="nil"/>
            </w:tcBorders>
            <w:shd w:val="clear" w:color="auto" w:fill="FFFFFF" w:themeFill="background1"/>
            <w:hideMark/>
          </w:tcPr>
          <w:p w14:paraId="1B4E014D" w14:textId="1F86A4F1" w:rsidR="00FB3824" w:rsidRDefault="00FB3824" w:rsidP="009A5779">
            <w:pPr>
              <w:pStyle w:val="TableTextRightAligned"/>
              <w:jc w:val="left"/>
            </w:pPr>
            <w:r w:rsidRPr="00247D97">
              <w:rPr>
                <w:b/>
              </w:rPr>
              <w:t>Pinned RBO; competitive RBO</w:t>
            </w:r>
            <w:r w:rsidRPr="00D465B9">
              <w:t>:</w:t>
            </w:r>
          </w:p>
          <w:p w14:paraId="523C8C53" w14:textId="64BBFFB7" w:rsidR="00FB3824" w:rsidRDefault="00FB3824" w:rsidP="009A5779">
            <w:pPr>
              <w:pStyle w:val="TableTextRightAligned"/>
              <w:jc w:val="left"/>
            </w:pPr>
            <w:r w:rsidRPr="00D465B9">
              <w:t>The RBO is pinned to the top of the results summary page, with the rest of the results sorted by estimated cost. The estimated cost of the RBO is $80 more expensive than the best plan available.</w:t>
            </w:r>
          </w:p>
        </w:tc>
        <w:tc>
          <w:tcPr>
            <w:tcW w:w="517" w:type="pct"/>
            <w:tcBorders>
              <w:top w:val="single" w:sz="18" w:space="0" w:color="2D276C" w:themeColor="accent6"/>
              <w:left w:val="nil"/>
              <w:bottom w:val="single" w:sz="4" w:space="0" w:color="808080" w:themeColor="background1" w:themeShade="80"/>
              <w:right w:val="nil"/>
            </w:tcBorders>
            <w:shd w:val="clear" w:color="auto" w:fill="FFFFFF" w:themeFill="background1"/>
            <w:hideMark/>
          </w:tcPr>
          <w:p w14:paraId="77E027F0" w14:textId="02FC301F" w:rsidR="00FB3824" w:rsidRDefault="00FB3824" w:rsidP="009A5779">
            <w:pPr>
              <w:pStyle w:val="TableTextRightAligned"/>
              <w:jc w:val="left"/>
            </w:pPr>
            <w:r>
              <w:t>535</w:t>
            </w:r>
          </w:p>
        </w:tc>
      </w:tr>
      <w:tr w:rsidR="00FB3824" w14:paraId="319164D1" w14:textId="77777777" w:rsidTr="00281E86">
        <w:tc>
          <w:tcPr>
            <w:tcW w:w="776"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59568EE8" w14:textId="21824DD9" w:rsidR="00FB3824" w:rsidRDefault="00FB3824" w:rsidP="009A5779">
            <w:pPr>
              <w:pStyle w:val="TableTextRightAligned"/>
              <w:jc w:val="left"/>
            </w:pPr>
            <w:r>
              <w:t>T2</w:t>
            </w:r>
          </w:p>
        </w:tc>
        <w:tc>
          <w:tcPr>
            <w:tcW w:w="3707"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071ACA59" w14:textId="0B7273A4" w:rsidR="00FB3824" w:rsidRDefault="00FB3824" w:rsidP="009A5779">
            <w:pPr>
              <w:pStyle w:val="TableTextRightAligned"/>
              <w:jc w:val="left"/>
            </w:pPr>
            <w:r w:rsidRPr="00247D97">
              <w:rPr>
                <w:b/>
              </w:rPr>
              <w:t>Pinned RBO; expensive RBO</w:t>
            </w:r>
            <w:r w:rsidRPr="00D465B9">
              <w:t>:</w:t>
            </w:r>
          </w:p>
          <w:p w14:paraId="68B5449A" w14:textId="16E26A75" w:rsidR="00FB3824" w:rsidRDefault="00FB3824" w:rsidP="009A5779">
            <w:pPr>
              <w:pStyle w:val="TableTextRightAligned"/>
              <w:jc w:val="left"/>
            </w:pPr>
            <w:r w:rsidRPr="00D465B9">
              <w:t>As for T1 except the estimated cost of the RBO is $201 more expensive than the best plan available.</w:t>
            </w:r>
          </w:p>
        </w:tc>
        <w:tc>
          <w:tcPr>
            <w:tcW w:w="517"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0D15BE7C" w14:textId="729B48F0" w:rsidR="00FB3824" w:rsidRDefault="00FB3824" w:rsidP="009A5779">
            <w:pPr>
              <w:pStyle w:val="TableTextRightAligned"/>
              <w:jc w:val="left"/>
            </w:pPr>
            <w:r>
              <w:t>580</w:t>
            </w:r>
          </w:p>
        </w:tc>
      </w:tr>
      <w:tr w:rsidR="00FB3824" w14:paraId="7B972F70" w14:textId="77777777" w:rsidTr="00281E86">
        <w:tc>
          <w:tcPr>
            <w:tcW w:w="776"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31D56A30" w14:textId="16B12A66" w:rsidR="00FB3824" w:rsidRDefault="00FB3824" w:rsidP="009A5779">
            <w:pPr>
              <w:pStyle w:val="TableTextRightAligned"/>
              <w:jc w:val="left"/>
            </w:pPr>
            <w:r>
              <w:t>T3</w:t>
            </w:r>
          </w:p>
        </w:tc>
        <w:tc>
          <w:tcPr>
            <w:tcW w:w="3707"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3D86BCFD" w14:textId="40CB15FF" w:rsidR="00FB3824" w:rsidRDefault="00FB3824" w:rsidP="009A5779">
            <w:pPr>
              <w:pStyle w:val="TableTextRightAligned"/>
              <w:jc w:val="left"/>
            </w:pPr>
            <w:r w:rsidRPr="00247D97">
              <w:rPr>
                <w:b/>
              </w:rPr>
              <w:t>No pin; competitive RBO</w:t>
            </w:r>
            <w:r w:rsidRPr="00D465B9">
              <w:t>:</w:t>
            </w:r>
          </w:p>
          <w:p w14:paraId="6357791E" w14:textId="4A17B30D" w:rsidR="00FB3824" w:rsidRDefault="00FB3824" w:rsidP="009A5779">
            <w:pPr>
              <w:pStyle w:val="TableTextRightAligned"/>
              <w:jc w:val="left"/>
            </w:pPr>
            <w:r w:rsidRPr="00D465B9">
              <w:t>As for T1 except the RBO is not pinned. The RBO appears 3</w:t>
            </w:r>
            <w:r w:rsidRPr="00D465B9">
              <w:rPr>
                <w:vertAlign w:val="superscript"/>
              </w:rPr>
              <w:t>rd</w:t>
            </w:r>
            <w:r w:rsidRPr="00D465B9">
              <w:t xml:space="preserve"> in the results based on its estimated cost ($80 more than the best plan).</w:t>
            </w:r>
          </w:p>
        </w:tc>
        <w:tc>
          <w:tcPr>
            <w:tcW w:w="517" w:type="pct"/>
            <w:tcBorders>
              <w:top w:val="single" w:sz="4" w:space="0" w:color="808080" w:themeColor="background1" w:themeShade="80"/>
              <w:left w:val="nil"/>
              <w:bottom w:val="single" w:sz="4" w:space="0" w:color="808080" w:themeColor="background1" w:themeShade="80"/>
              <w:right w:val="nil"/>
            </w:tcBorders>
            <w:shd w:val="clear" w:color="auto" w:fill="FFFFFF" w:themeFill="background1"/>
            <w:hideMark/>
          </w:tcPr>
          <w:p w14:paraId="2DCE7141" w14:textId="240C101C" w:rsidR="00FB3824" w:rsidRDefault="00FB3824" w:rsidP="009A5779">
            <w:pPr>
              <w:pStyle w:val="TableTextRightAligned"/>
              <w:jc w:val="left"/>
            </w:pPr>
            <w:r>
              <w:t>595</w:t>
            </w:r>
          </w:p>
        </w:tc>
      </w:tr>
      <w:tr w:rsidR="00FB3824" w14:paraId="593F18C1" w14:textId="77777777" w:rsidTr="00281E86">
        <w:tc>
          <w:tcPr>
            <w:tcW w:w="776" w:type="pct"/>
            <w:tcBorders>
              <w:top w:val="single" w:sz="4" w:space="0" w:color="808080" w:themeColor="background1" w:themeShade="80"/>
              <w:left w:val="nil"/>
              <w:bottom w:val="single" w:sz="18" w:space="0" w:color="2D276C" w:themeColor="accent6"/>
              <w:right w:val="nil"/>
            </w:tcBorders>
            <w:shd w:val="clear" w:color="auto" w:fill="FFFFFF" w:themeFill="background1"/>
            <w:hideMark/>
          </w:tcPr>
          <w:p w14:paraId="7203E866" w14:textId="214390AE" w:rsidR="00FB3824" w:rsidRDefault="00FB3824" w:rsidP="009A5779">
            <w:pPr>
              <w:pStyle w:val="TableTextRightAligned"/>
              <w:jc w:val="left"/>
            </w:pPr>
            <w:r>
              <w:t>T4</w:t>
            </w:r>
          </w:p>
        </w:tc>
        <w:tc>
          <w:tcPr>
            <w:tcW w:w="3707" w:type="pct"/>
            <w:tcBorders>
              <w:top w:val="single" w:sz="4" w:space="0" w:color="808080" w:themeColor="background1" w:themeShade="80"/>
              <w:left w:val="nil"/>
              <w:bottom w:val="single" w:sz="18" w:space="0" w:color="2D276C" w:themeColor="accent6"/>
              <w:right w:val="nil"/>
            </w:tcBorders>
            <w:shd w:val="clear" w:color="auto" w:fill="FFFFFF" w:themeFill="background1"/>
            <w:hideMark/>
          </w:tcPr>
          <w:p w14:paraId="625064BD" w14:textId="0A3CC448" w:rsidR="00FB3824" w:rsidRDefault="00FB3824" w:rsidP="009A5779">
            <w:pPr>
              <w:pStyle w:val="TableTextRightAligned"/>
              <w:jc w:val="left"/>
            </w:pPr>
            <w:r w:rsidRPr="00247D97">
              <w:rPr>
                <w:b/>
              </w:rPr>
              <w:t>No pin, expensive RBO</w:t>
            </w:r>
            <w:r w:rsidRPr="00D465B9">
              <w:t>:</w:t>
            </w:r>
          </w:p>
          <w:p w14:paraId="1AF7960E" w14:textId="773FB6B0" w:rsidR="00FB3824" w:rsidRDefault="00FB3824" w:rsidP="009A5779">
            <w:pPr>
              <w:pStyle w:val="TableTextRightAligned"/>
              <w:jc w:val="left"/>
            </w:pPr>
            <w:r w:rsidRPr="00D465B9">
              <w:t>As for T2 except the RBO is not pinned. The RBO appears 4</w:t>
            </w:r>
            <w:r w:rsidRPr="00D465B9">
              <w:rPr>
                <w:vertAlign w:val="superscript"/>
              </w:rPr>
              <w:t>th</w:t>
            </w:r>
            <w:r w:rsidRPr="00D465B9">
              <w:t xml:space="preserve"> in the results based on its estimated cost ($201 more than the best plan).</w:t>
            </w:r>
          </w:p>
        </w:tc>
        <w:tc>
          <w:tcPr>
            <w:tcW w:w="517" w:type="pct"/>
            <w:tcBorders>
              <w:top w:val="single" w:sz="4" w:space="0" w:color="808080" w:themeColor="background1" w:themeShade="80"/>
              <w:left w:val="nil"/>
              <w:bottom w:val="single" w:sz="18" w:space="0" w:color="2D276C" w:themeColor="accent6"/>
              <w:right w:val="nil"/>
            </w:tcBorders>
            <w:shd w:val="clear" w:color="auto" w:fill="FFFFFF" w:themeFill="background1"/>
            <w:hideMark/>
          </w:tcPr>
          <w:p w14:paraId="27445A73" w14:textId="13FA619C" w:rsidR="00FB3824" w:rsidRDefault="00FB3824" w:rsidP="009A5779">
            <w:pPr>
              <w:pStyle w:val="TableTextRightAligned"/>
              <w:jc w:val="left"/>
            </w:pPr>
            <w:r>
              <w:t>535</w:t>
            </w:r>
          </w:p>
        </w:tc>
      </w:tr>
    </w:tbl>
    <w:p w14:paraId="17610AFE" w14:textId="19C18092" w:rsidR="00C32523" w:rsidRDefault="00C32523" w:rsidP="00C32523">
      <w:pPr>
        <w:pStyle w:val="Heading3"/>
      </w:pPr>
      <w:r>
        <w:t>Outcome measures</w:t>
      </w:r>
    </w:p>
    <w:p w14:paraId="709C3ECB" w14:textId="77777777" w:rsidR="00247D97" w:rsidRPr="0091072F" w:rsidRDefault="00247D97" w:rsidP="00247D97">
      <w:pPr>
        <w:rPr>
          <w:b/>
        </w:rPr>
      </w:pPr>
      <w:r>
        <w:rPr>
          <w:b/>
        </w:rPr>
        <w:t>Experiment</w:t>
      </w:r>
      <w:r w:rsidRPr="0091072F">
        <w:rPr>
          <w:b/>
        </w:rPr>
        <w:t xml:space="preserve"> A (pinned current retailer)</w:t>
      </w:r>
    </w:p>
    <w:p w14:paraId="3521F027" w14:textId="254A480E" w:rsidR="00247D97" w:rsidRDefault="00247D97" w:rsidP="00247D97">
      <w:r w:rsidRPr="00655DD7">
        <w:t xml:space="preserve">Outcome </w:t>
      </w:r>
      <w:r>
        <w:t>1</w:t>
      </w:r>
      <w:r w:rsidRPr="00655DD7">
        <w:t xml:space="preserve"> (savings from switching): </w:t>
      </w:r>
      <w:r>
        <w:t>amount saved</w:t>
      </w:r>
      <w:r w:rsidRPr="00655DD7">
        <w:t xml:space="preserve"> fr</w:t>
      </w:r>
      <w:r>
        <w:t>om switching ($$$, continuous)</w:t>
      </w:r>
      <w:r w:rsidR="00F635DE">
        <w:t>.</w:t>
      </w:r>
      <w:r>
        <w:t xml:space="preserve"> </w:t>
      </w:r>
      <w:r w:rsidRPr="00655DD7">
        <w:t>Note: the implied cost of the current plan is $</w:t>
      </w:r>
      <w:r>
        <w:t>2,008</w:t>
      </w:r>
      <w:r w:rsidRPr="00655DD7">
        <w:t xml:space="preserve"> so the savings from cheapest plan is $</w:t>
      </w:r>
      <w:r>
        <w:t>384.</w:t>
      </w:r>
    </w:p>
    <w:p w14:paraId="7206CC20" w14:textId="77777777" w:rsidR="00247D97" w:rsidRPr="0091072F" w:rsidRDefault="00247D97" w:rsidP="00247D97">
      <w:r w:rsidRPr="0091072F">
        <w:t xml:space="preserve">Outcome </w:t>
      </w:r>
      <w:r>
        <w:t>2</w:t>
      </w:r>
      <w:r w:rsidRPr="0091072F">
        <w:t xml:space="preserve"> (</w:t>
      </w:r>
      <w:r>
        <w:t>any switch</w:t>
      </w:r>
      <w:r w:rsidRPr="0091072F">
        <w:t>): choose to switch</w:t>
      </w:r>
      <w:r>
        <w:t xml:space="preserve"> from current plan (binary)</w:t>
      </w:r>
    </w:p>
    <w:p w14:paraId="09D1DE2A" w14:textId="77777777" w:rsidR="00247D97" w:rsidRPr="0091072F" w:rsidRDefault="00247D97" w:rsidP="00247D97">
      <w:r>
        <w:t>Outcome 3</w:t>
      </w:r>
      <w:r w:rsidRPr="0091072F">
        <w:t xml:space="preserve"> (</w:t>
      </w:r>
      <w:r>
        <w:t xml:space="preserve">switch to </w:t>
      </w:r>
      <w:r w:rsidRPr="0091072F">
        <w:t xml:space="preserve">retailer’s best offer): select </w:t>
      </w:r>
      <w:r>
        <w:t>the retailer’s best offer (</w:t>
      </w:r>
      <w:r w:rsidRPr="0091072F">
        <w:t>binary</w:t>
      </w:r>
      <w:r>
        <w:t>)</w:t>
      </w:r>
    </w:p>
    <w:p w14:paraId="1A8E869A" w14:textId="054D2F7A" w:rsidR="00C32523" w:rsidRPr="00247D97" w:rsidRDefault="00247D97" w:rsidP="00C32523">
      <w:r>
        <w:t>Outcome 4</w:t>
      </w:r>
      <w:r w:rsidRPr="0091072F">
        <w:t xml:space="preserve"> (</w:t>
      </w:r>
      <w:r>
        <w:t>switch to best plans</w:t>
      </w:r>
      <w:r w:rsidRPr="0091072F">
        <w:t xml:space="preserve">): select </w:t>
      </w:r>
      <w:r>
        <w:t xml:space="preserve">either of the top 2 </w:t>
      </w:r>
      <w:r w:rsidRPr="0091072F">
        <w:t>plan</w:t>
      </w:r>
      <w:r>
        <w:t>s in terms of ‘estimated cost’ (</w:t>
      </w:r>
      <w:r w:rsidRPr="0091072F">
        <w:t>binary</w:t>
      </w:r>
      <w:r>
        <w:t>)</w:t>
      </w:r>
    </w:p>
    <w:p w14:paraId="68CE85C1" w14:textId="77777777" w:rsidR="00C32523" w:rsidRDefault="00C32523" w:rsidP="00C32523">
      <w:pPr>
        <w:pStyle w:val="Heading3"/>
      </w:pPr>
      <w:r>
        <w:t>Hypotheses</w:t>
      </w:r>
    </w:p>
    <w:p w14:paraId="03FAF722" w14:textId="77777777" w:rsidR="00247D97" w:rsidRPr="006D5479" w:rsidRDefault="00247D97" w:rsidP="00247D97">
      <w:r w:rsidRPr="00C669F7">
        <w:t>Hypothesis 1 (T1 vs T3):</w:t>
      </w:r>
      <w:r w:rsidRPr="006D5479">
        <w:t xml:space="preserve"> A ‘competitive’ RBO, when pinned, will result in higher savings by inducing some non-switchers to switch to the RBO. It is possible that pinning the RBO will induce some ‘switchers’ to choose the RBO instead of one of the best plans but we still hypothesise the </w:t>
      </w:r>
      <w:r w:rsidRPr="006D5479">
        <w:rPr>
          <w:u w:val="single"/>
        </w:rPr>
        <w:t>net</w:t>
      </w:r>
      <w:r w:rsidRPr="006D5479">
        <w:t xml:space="preserve"> change in savings will be higher overall.</w:t>
      </w:r>
    </w:p>
    <w:p w14:paraId="4DE79883" w14:textId="77777777" w:rsidR="00247D97" w:rsidRDefault="00247D97" w:rsidP="00247D97">
      <w:r w:rsidRPr="007908B1">
        <w:rPr>
          <w:i/>
        </w:rPr>
        <w:t>Primary analysis</w:t>
      </w:r>
      <w:r>
        <w:t xml:space="preserve">: </w:t>
      </w:r>
      <w:r w:rsidRPr="006D5479">
        <w:t>Pinned (competitive) RBO will result in higher level of savings from switching.</w:t>
      </w:r>
      <w:r>
        <w:t xml:space="preserve"> T1 &gt; T3. Outcome 1 (amount saved).</w:t>
      </w:r>
    </w:p>
    <w:p w14:paraId="48D2A62B" w14:textId="77777777" w:rsidR="00247D97" w:rsidRDefault="00247D97" w:rsidP="00247D97">
      <w:r w:rsidRPr="007908B1">
        <w:rPr>
          <w:i/>
        </w:rPr>
        <w:lastRenderedPageBreak/>
        <w:t>Secondary tests</w:t>
      </w:r>
      <w:r>
        <w:t>:</w:t>
      </w:r>
    </w:p>
    <w:p w14:paraId="543D8B86" w14:textId="1B9E1521" w:rsidR="00247D97" w:rsidRDefault="00247D97" w:rsidP="006B3E6A">
      <w:pPr>
        <w:pStyle w:val="ListBullet"/>
      </w:pPr>
      <w:r>
        <w:t>Higher switching overall: T1 &gt; T3. Outcome 2</w:t>
      </w:r>
      <w:r w:rsidRPr="006D5479">
        <w:t xml:space="preserve"> (switch)</w:t>
      </w:r>
    </w:p>
    <w:p w14:paraId="581E6D98" w14:textId="0522126D" w:rsidR="00247D97" w:rsidRDefault="00247D97" w:rsidP="006B3E6A">
      <w:pPr>
        <w:pStyle w:val="ListBullet"/>
      </w:pPr>
      <w:r>
        <w:t xml:space="preserve">Higher switching to RBO: </w:t>
      </w:r>
      <w:r w:rsidRPr="006D5479">
        <w:t xml:space="preserve">T1 &gt; T3. Outcome </w:t>
      </w:r>
      <w:r>
        <w:t>3</w:t>
      </w:r>
      <w:r w:rsidR="006B3E6A">
        <w:t xml:space="preserve"> (switch to RBO)</w:t>
      </w:r>
    </w:p>
    <w:p w14:paraId="225F38DC" w14:textId="1B68DBA4" w:rsidR="00247D97" w:rsidRDefault="00247D97" w:rsidP="006B3E6A">
      <w:pPr>
        <w:pStyle w:val="ListBullet"/>
      </w:pPr>
      <w:r>
        <w:t>Lower switching to best plans</w:t>
      </w:r>
      <w:r w:rsidRPr="006D5479">
        <w:t xml:space="preserve">: T1 </w:t>
      </w:r>
      <w:r>
        <w:t>&lt; T3. Outcome 4</w:t>
      </w:r>
      <w:r w:rsidRPr="006D5479">
        <w:t xml:space="preserve"> (switch to best plan</w:t>
      </w:r>
      <w:r>
        <w:t>s</w:t>
      </w:r>
      <w:r w:rsidR="006B3E6A">
        <w:t>)</w:t>
      </w:r>
    </w:p>
    <w:p w14:paraId="3A152531" w14:textId="77777777" w:rsidR="00247D97" w:rsidRPr="006D5479" w:rsidRDefault="00247D97" w:rsidP="00247D97">
      <w:r w:rsidRPr="00C669F7">
        <w:t>Hypothesis 2 (T2 vs T4):</w:t>
      </w:r>
      <w:r w:rsidRPr="006D5479">
        <w:t xml:space="preserve"> A</w:t>
      </w:r>
      <w:r>
        <w:t>n</w:t>
      </w:r>
      <w:r w:rsidRPr="006D5479">
        <w:t xml:space="preserve"> ‘</w:t>
      </w:r>
      <w:r>
        <w:t>un</w:t>
      </w:r>
      <w:r w:rsidRPr="006D5479">
        <w:t xml:space="preserve">competitive’ RBO, when pinned, </w:t>
      </w:r>
      <w:r>
        <w:t xml:space="preserve">may have several effects although all are expected to be small. First, it could induce some </w:t>
      </w:r>
      <w:r w:rsidRPr="006D5479">
        <w:t>non</w:t>
      </w:r>
      <w:r>
        <w:noBreakHyphen/>
      </w:r>
      <w:r w:rsidRPr="006D5479">
        <w:t>switchers to switch to the RBO.</w:t>
      </w:r>
      <w:r>
        <w:t xml:space="preserve"> Second, it could induce more switches to the best plans. Third, it could backfire and cause some switchers to choose the RBO instead of the best plans. The most important effect for decision</w:t>
      </w:r>
      <w:r>
        <w:noBreakHyphen/>
        <w:t>making is the potential for a backfire effect and consequently it is the subject of the primary analysis.</w:t>
      </w:r>
    </w:p>
    <w:p w14:paraId="58409766" w14:textId="7E3A7516" w:rsidR="00247D97" w:rsidRDefault="00247D97" w:rsidP="00247D97">
      <w:r w:rsidRPr="007908B1">
        <w:rPr>
          <w:i/>
        </w:rPr>
        <w:t>Primary analysis</w:t>
      </w:r>
      <w:r>
        <w:t xml:space="preserve">: The pinned (uncompetitive) RBO may lead to more </w:t>
      </w:r>
      <w:r w:rsidRPr="00D06204">
        <w:t xml:space="preserve">respondents choosing </w:t>
      </w:r>
      <w:r>
        <w:t xml:space="preserve">the best plans or it may </w:t>
      </w:r>
      <w:r w:rsidRPr="00D06204">
        <w:t>backfire</w:t>
      </w:r>
      <w:r>
        <w:t xml:space="preserve"> and lead </w:t>
      </w:r>
      <w:r w:rsidRPr="00D06204">
        <w:t xml:space="preserve">to fewer respondents choosing the </w:t>
      </w:r>
      <w:r>
        <w:t xml:space="preserve">best </w:t>
      </w:r>
      <w:r w:rsidRPr="00D06204">
        <w:t>plans.</w:t>
      </w:r>
      <w:r>
        <w:t xml:space="preserve"> </w:t>
      </w:r>
      <w:r w:rsidRPr="006D5479">
        <w:t>T</w:t>
      </w:r>
      <w:r>
        <w:t>2</w:t>
      </w:r>
      <w:r w:rsidRPr="006D5479">
        <w:t xml:space="preserve"> </w:t>
      </w:r>
      <w:r w:rsidR="00135A39">
        <w:rPr>
          <w:rFonts w:cstheme="minorHAnsi"/>
        </w:rPr>
        <w:t>≠</w:t>
      </w:r>
      <w:r>
        <w:t xml:space="preserve"> T4 (2-sided test). Outcome 4</w:t>
      </w:r>
      <w:r w:rsidRPr="006D5479">
        <w:t xml:space="preserve"> (switch to best plan</w:t>
      </w:r>
      <w:r>
        <w:t>s</w:t>
      </w:r>
      <w:r w:rsidRPr="006D5479">
        <w:t>).</w:t>
      </w:r>
    </w:p>
    <w:p w14:paraId="40FD12A6" w14:textId="77777777" w:rsidR="00247D97" w:rsidRDefault="00247D97" w:rsidP="00247D97">
      <w:r w:rsidRPr="003A4F5B">
        <w:t xml:space="preserve">We are running a 2 sided test because, as noted above, we want to test 2 plausible scenarios. That is, we may be able to reject the null in favour of the claim that (a) pinning the RBO backfires and reduces the proportion switching to best plans or (b) pinning the RBO causes increased switches to the best plans. </w:t>
      </w:r>
      <w:r>
        <w:t>(</w:t>
      </w:r>
      <w:r w:rsidRPr="00731C49">
        <w:t xml:space="preserve">However, we anticipate that pinning an uncompetitive RBO will </w:t>
      </w:r>
      <w:r>
        <w:t xml:space="preserve">likely </w:t>
      </w:r>
      <w:r w:rsidRPr="00731C49">
        <w:t xml:space="preserve">only have </w:t>
      </w:r>
      <w:r>
        <w:t xml:space="preserve">a </w:t>
      </w:r>
      <w:r w:rsidRPr="00731C49">
        <w:t>small effect</w:t>
      </w:r>
      <w:r>
        <w:t xml:space="preserve"> size</w:t>
      </w:r>
      <w:r w:rsidRPr="00731C49">
        <w:t xml:space="preserve"> (if any) and consequently we </w:t>
      </w:r>
      <w:r>
        <w:t xml:space="preserve">may not </w:t>
      </w:r>
      <w:r w:rsidRPr="00731C49">
        <w:t xml:space="preserve">have sufficient power to reject the null. </w:t>
      </w:r>
      <w:r>
        <w:t>In the event of a null result</w:t>
      </w:r>
      <w:r w:rsidRPr="00731C49">
        <w:t xml:space="preserve">, we will inspect the point estimates and their confidence intervals to make a judgement about whether any </w:t>
      </w:r>
      <w:r>
        <w:t xml:space="preserve">possible </w:t>
      </w:r>
      <w:r w:rsidRPr="00731C49">
        <w:t>effect seems small or material.</w:t>
      </w:r>
      <w:r>
        <w:t>)</w:t>
      </w:r>
    </w:p>
    <w:p w14:paraId="47C1480A" w14:textId="77777777" w:rsidR="00247D97" w:rsidRDefault="00247D97" w:rsidP="00247D97">
      <w:pPr>
        <w:keepNext/>
      </w:pPr>
      <w:r w:rsidRPr="007908B1">
        <w:rPr>
          <w:i/>
        </w:rPr>
        <w:t>Secondary tests</w:t>
      </w:r>
      <w:r>
        <w:t>:</w:t>
      </w:r>
    </w:p>
    <w:p w14:paraId="5CF58A63" w14:textId="687A4B9E" w:rsidR="00247D97" w:rsidRDefault="00247D97" w:rsidP="006B3E6A">
      <w:pPr>
        <w:pStyle w:val="ListBullet"/>
      </w:pPr>
      <w:r>
        <w:t>H</w:t>
      </w:r>
      <w:r w:rsidRPr="006D5479">
        <w:t>igher level of savings from switching.</w:t>
      </w:r>
      <w:r>
        <w:t xml:space="preserve"> T2 </w:t>
      </w:r>
      <w:r w:rsidR="00F604CD">
        <w:rPr>
          <w:rFonts w:cstheme="minorHAnsi"/>
        </w:rPr>
        <w:t>≠</w:t>
      </w:r>
      <w:r>
        <w:t xml:space="preserve"> T4 (2</w:t>
      </w:r>
      <w:r>
        <w:noBreakHyphen/>
        <w:t xml:space="preserve">sided </w:t>
      </w:r>
      <w:r w:rsidR="006B3E6A">
        <w:t>test). Outcome 1 (amount saved)</w:t>
      </w:r>
    </w:p>
    <w:p w14:paraId="52CAE13D" w14:textId="553CE590" w:rsidR="00247D97" w:rsidRDefault="00247D97" w:rsidP="006B3E6A">
      <w:pPr>
        <w:pStyle w:val="ListBullet"/>
      </w:pPr>
      <w:r>
        <w:t>Higher switching overall: T2 &gt; T4. Outcome 2</w:t>
      </w:r>
      <w:r w:rsidRPr="006D5479">
        <w:t xml:space="preserve"> (switch)</w:t>
      </w:r>
    </w:p>
    <w:p w14:paraId="4C2FC2DE" w14:textId="33D9132B" w:rsidR="00247D97" w:rsidRPr="006D5479" w:rsidRDefault="00247D97" w:rsidP="006B3E6A">
      <w:pPr>
        <w:pStyle w:val="ListBullet"/>
      </w:pPr>
      <w:r w:rsidRPr="006D5479">
        <w:t xml:space="preserve">Higher switching to RBO: </w:t>
      </w:r>
      <w:r>
        <w:t>T2 &gt; T4.</w:t>
      </w:r>
      <w:r w:rsidRPr="006D5479">
        <w:t xml:space="preserve"> Outcome 3 (switch to RBO)</w:t>
      </w:r>
    </w:p>
    <w:p w14:paraId="2C29A6D6" w14:textId="77777777" w:rsidR="00C32523" w:rsidRDefault="00C32523" w:rsidP="00C32523">
      <w:pPr>
        <w:pStyle w:val="Heading3"/>
      </w:pPr>
      <w:r>
        <w:t>Method of analysis</w:t>
      </w:r>
    </w:p>
    <w:p w14:paraId="05A6F5B1" w14:textId="77777777" w:rsidR="00F55057" w:rsidRPr="00815664" w:rsidRDefault="00F55057" w:rsidP="00F55057">
      <w:pPr>
        <w:keepNext/>
      </w:pPr>
      <w:r>
        <w:t>We</w:t>
      </w:r>
      <w:r w:rsidRPr="00815664">
        <w:t xml:space="preserve"> </w:t>
      </w:r>
      <w:r>
        <w:t>derived t</w:t>
      </w:r>
      <w:r w:rsidRPr="00815664">
        <w:t>h</w:t>
      </w:r>
      <w:r>
        <w:t>e</w:t>
      </w:r>
      <w:r w:rsidRPr="00815664">
        <w:t xml:space="preserve"> estimate</w:t>
      </w:r>
      <w:r>
        <w:t>d treatment effects</w:t>
      </w:r>
      <w:r w:rsidRPr="00815664">
        <w:t>, confidence intervals and p-values from an ordinary least squares regression model using robust (HC2) standard errors with the following specification:</w:t>
      </w:r>
    </w:p>
    <w:p w14:paraId="712C29C4" w14:textId="77777777" w:rsidR="00F55057" w:rsidRPr="008A7FC2" w:rsidRDefault="00F55057" w:rsidP="00F55057">
      <w:pPr>
        <w:keepNext/>
      </w:pPr>
      <w:r>
        <w:rPr>
          <w:noProof/>
        </w:rPr>
        <w:drawing>
          <wp:inline distT="0" distB="0" distL="0" distR="0" wp14:anchorId="73529B54" wp14:editId="431DCD4B">
            <wp:extent cx="4214367" cy="212090"/>
            <wp:effectExtent l="0" t="0" r="0" b="0"/>
            <wp:docPr id="3" name="Picture 3" descr="Equation Y subscript i equals beta subscript zero plus beta subscript one Z subscript i plus beta subscript 2 X subscript i plus beta subscript 3 Z subscript i x subscript i plus beta subscript 4 z subscript i x subscript 1 plus epsilon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0343" r="1"/>
                    <a:stretch/>
                  </pic:blipFill>
                  <pic:spPr bwMode="auto">
                    <a:xfrm>
                      <a:off x="0" y="0"/>
                      <a:ext cx="4223110" cy="212530"/>
                    </a:xfrm>
                    <a:prstGeom prst="rect">
                      <a:avLst/>
                    </a:prstGeom>
                    <a:ln>
                      <a:noFill/>
                    </a:ln>
                    <a:extLst>
                      <a:ext uri="{53640926-AAD7-44D8-BBD7-CCE9431645EC}">
                        <a14:shadowObscured xmlns:a14="http://schemas.microsoft.com/office/drawing/2010/main"/>
                      </a:ext>
                    </a:extLst>
                  </pic:spPr>
                </pic:pic>
              </a:graphicData>
            </a:graphic>
          </wp:inline>
        </w:drawing>
      </w:r>
    </w:p>
    <w:p w14:paraId="464B3352" w14:textId="77777777" w:rsidR="00F55057" w:rsidRPr="008A7FC2" w:rsidRDefault="00F55057" w:rsidP="00F55057">
      <w:pPr>
        <w:keepNext/>
      </w:pPr>
      <w:r w:rsidRPr="008A7FC2">
        <w:t xml:space="preserve">Where </w:t>
      </w:r>
      <w:r w:rsidRPr="00AC063F">
        <w:rPr>
          <w:i/>
        </w:rPr>
        <w:t>i</w:t>
      </w:r>
      <w:r w:rsidRPr="008A7FC2">
        <w:t xml:space="preserve"> is an index for each individual in the </w:t>
      </w:r>
      <w:r>
        <w:t>experiment</w:t>
      </w:r>
      <w:r w:rsidRPr="008A7FC2">
        <w:t xml:space="preserve">, </w:t>
      </w:r>
      <w:r w:rsidRPr="00AC063F">
        <w:rPr>
          <w:i/>
        </w:rPr>
        <w:t>Y</w:t>
      </w:r>
      <w:r w:rsidRPr="008A7FC2">
        <w:t xml:space="preserve"> is the outcome,</w:t>
      </w:r>
      <w:r>
        <w:t xml:space="preserve"> </w:t>
      </w:r>
      <w:r w:rsidRPr="00AC063F">
        <w:rPr>
          <w:rFonts w:cstheme="minorHAnsi"/>
          <w:i/>
        </w:rPr>
        <w:t>β</w:t>
      </w:r>
      <w:r w:rsidRPr="00AC063F">
        <w:rPr>
          <w:i/>
          <w:vertAlign w:val="subscript"/>
        </w:rPr>
        <w:t>0</w:t>
      </w:r>
      <w:r w:rsidRPr="008A7FC2">
        <w:t xml:space="preserve"> is the intercept, </w:t>
      </w:r>
      <w:r w:rsidRPr="00AC063F">
        <w:rPr>
          <w:i/>
        </w:rPr>
        <w:t>Z</w:t>
      </w:r>
      <w:r w:rsidRPr="008A7FC2">
        <w:t xml:space="preserve"> is the treatment indicator,</w:t>
      </w:r>
      <w:r>
        <w:t xml:space="preserve"> </w:t>
      </w:r>
      <w:r w:rsidRPr="00AC063F">
        <w:rPr>
          <w:rFonts w:cstheme="minorHAnsi"/>
          <w:i/>
        </w:rPr>
        <w:t>β</w:t>
      </w:r>
      <w:r>
        <w:rPr>
          <w:i/>
          <w:vertAlign w:val="subscript"/>
        </w:rPr>
        <w:t>1</w:t>
      </w:r>
      <w:r w:rsidRPr="008A7FC2">
        <w:t xml:space="preserve"> is the coefficient on treatment and represents the average treatment effect, </w:t>
      </w:r>
      <w:r w:rsidRPr="00AC063F">
        <w:rPr>
          <w:i/>
        </w:rPr>
        <w:t>X</w:t>
      </w:r>
      <w:r w:rsidRPr="008A7FC2">
        <w:t xml:space="preserve"> i</w:t>
      </w:r>
      <w:r>
        <w:t>s a vector of two mean</w:t>
      </w:r>
      <w:r>
        <w:noBreakHyphen/>
      </w:r>
      <w:r w:rsidRPr="008A7FC2">
        <w:t>centred covariate</w:t>
      </w:r>
      <w:r>
        <w:t>s (an indicator</w:t>
      </w:r>
      <w:r w:rsidRPr="008A7FC2">
        <w:t xml:space="preserve"> for </w:t>
      </w:r>
      <w:r>
        <w:t xml:space="preserve">which sample the respondent came from </w:t>
      </w:r>
      <w:r w:rsidRPr="008A7FC2">
        <w:t xml:space="preserve">(where 1 = </w:t>
      </w:r>
      <w:r>
        <w:t>EME sample</w:t>
      </w:r>
      <w:r w:rsidRPr="008A7FC2">
        <w:t>)</w:t>
      </w:r>
      <w:r>
        <w:t xml:space="preserve"> and an indicator for whether the respondent has switched plans or energy providers previously (where 1 = switching </w:t>
      </w:r>
      <w:r>
        <w:lastRenderedPageBreak/>
        <w:t xml:space="preserve">plan/provider other than when moving house), and </w:t>
      </w:r>
      <w:r w:rsidRPr="00AC063F">
        <w:rPr>
          <w:i/>
        </w:rPr>
        <w:t>ZX</w:t>
      </w:r>
      <w:r w:rsidRPr="008A7FC2">
        <w:t xml:space="preserve"> is the interaction of the tr</w:t>
      </w:r>
      <w:r>
        <w:t>eatment indicator with the mean</w:t>
      </w:r>
      <w:r>
        <w:noBreakHyphen/>
      </w:r>
      <w:r w:rsidRPr="008A7FC2">
        <w:t>centred covariate</w:t>
      </w:r>
      <w:r>
        <w:t>s</w:t>
      </w:r>
      <w:r w:rsidRPr="008A7FC2">
        <w:t xml:space="preserve"> and </w:t>
      </w:r>
      <w:r w:rsidRPr="00AC063F">
        <w:rPr>
          <w:i/>
        </w:rPr>
        <w:t>E</w:t>
      </w:r>
      <w:r w:rsidRPr="008A7FC2">
        <w:t xml:space="preserve"> is the error term.</w:t>
      </w:r>
    </w:p>
    <w:p w14:paraId="772301D3" w14:textId="2D591981" w:rsidR="00247D97" w:rsidRDefault="0020241D" w:rsidP="00247D97">
      <w:pPr>
        <w:keepNext/>
      </w:pPr>
      <w:r w:rsidRPr="00AC063F">
        <w:rPr>
          <w:i/>
        </w:rPr>
        <w:t>Z</w:t>
      </w:r>
      <w:r w:rsidR="00F35CEF">
        <w:t xml:space="preserve"> is a single</w:t>
      </w:r>
      <w:r w:rsidR="00247D97">
        <w:t xml:space="preserve"> </w:t>
      </w:r>
      <w:r w:rsidR="00247D97" w:rsidRPr="008A7FC2">
        <w:t>treatment indicator</w:t>
      </w:r>
      <w:r w:rsidR="001202BF">
        <w:t xml:space="preserve"> where 0 = unpinned RBO (T3</w:t>
      </w:r>
      <w:r w:rsidR="00F50B68">
        <w:t xml:space="preserve"> or T4) and 1 = pinned RBO (</w:t>
      </w:r>
      <w:r w:rsidR="00247D97">
        <w:t>T1 or T2).</w:t>
      </w:r>
    </w:p>
    <w:p w14:paraId="610607B2" w14:textId="00A55CF6" w:rsidR="00E5721C" w:rsidRDefault="00C32523" w:rsidP="00257513">
      <w:pPr>
        <w:pStyle w:val="Heading3"/>
      </w:pPr>
      <w:r>
        <w:t xml:space="preserve">Statistical tables </w:t>
      </w:r>
    </w:p>
    <w:p w14:paraId="5C6A6807" w14:textId="44A84735" w:rsidR="00257513" w:rsidRDefault="00257513" w:rsidP="000F7FD9">
      <w:pPr>
        <w:pStyle w:val="Caption"/>
        <w:keepNext/>
        <w:outlineLvl w:val="3"/>
      </w:pPr>
      <w:r>
        <w:t xml:space="preserve">Table </w:t>
      </w:r>
      <w:fldSimple w:instr=" SEQ Table \* ARABIC ">
        <w:r w:rsidR="000B5831">
          <w:rPr>
            <w:noProof/>
          </w:rPr>
          <w:t>6</w:t>
        </w:r>
      </w:fldSimple>
      <w:r>
        <w:t>.</w:t>
      </w:r>
      <w:r>
        <w:tab/>
      </w:r>
      <w:r w:rsidRPr="000E25EB">
        <w:t>H1: Pinning current retailer’s best offer to the top increased individual savings. Retailer’s best offer was competitive, only $80 more than the cheapest plan.</w:t>
      </w:r>
    </w:p>
    <w:tbl>
      <w:tblPr>
        <w:tblStyle w:val="TableGrid"/>
        <w:tblW w:w="838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607"/>
        <w:gridCol w:w="1162"/>
        <w:gridCol w:w="1406"/>
        <w:gridCol w:w="1410"/>
        <w:gridCol w:w="1773"/>
        <w:gridCol w:w="1028"/>
      </w:tblGrid>
      <w:tr w:rsidR="00913C22" w14:paraId="79190DCE" w14:textId="77777777" w:rsidTr="00913C22">
        <w:trPr>
          <w:tblHeader/>
        </w:trPr>
        <w:tc>
          <w:tcPr>
            <w:tcW w:w="1607" w:type="dxa"/>
            <w:tcBorders>
              <w:top w:val="nil"/>
              <w:left w:val="nil"/>
              <w:bottom w:val="single" w:sz="18" w:space="0" w:color="auto"/>
              <w:right w:val="nil"/>
            </w:tcBorders>
            <w:shd w:val="clear" w:color="auto" w:fill="ABDBF6" w:themeFill="accent1"/>
            <w:vAlign w:val="bottom"/>
            <w:hideMark/>
          </w:tcPr>
          <w:p w14:paraId="750E2ADE" w14:textId="77777777" w:rsidR="00913C22" w:rsidRDefault="00913C22" w:rsidP="00913C22">
            <w:pPr>
              <w:rPr>
                <w:rFonts w:ascii="Helvetica" w:hAnsi="Helvetica"/>
                <w:b/>
                <w:szCs w:val="20"/>
              </w:rPr>
            </w:pPr>
            <w:r>
              <w:rPr>
                <w:rFonts w:ascii="Helvetica" w:hAnsi="Helvetica"/>
                <w:b/>
                <w:szCs w:val="20"/>
              </w:rPr>
              <w:t>Condition</w:t>
            </w:r>
          </w:p>
        </w:tc>
        <w:tc>
          <w:tcPr>
            <w:tcW w:w="1162" w:type="dxa"/>
            <w:tcBorders>
              <w:top w:val="nil"/>
              <w:left w:val="nil"/>
              <w:bottom w:val="single" w:sz="18" w:space="0" w:color="auto"/>
              <w:right w:val="nil"/>
            </w:tcBorders>
            <w:shd w:val="clear" w:color="auto" w:fill="ABDBF6" w:themeFill="accent1"/>
            <w:vAlign w:val="bottom"/>
            <w:hideMark/>
          </w:tcPr>
          <w:p w14:paraId="3B8F825B" w14:textId="63F4D4DF" w:rsidR="00913C22" w:rsidRDefault="000F6385" w:rsidP="00913C22">
            <w:pPr>
              <w:rPr>
                <w:rFonts w:ascii="Helvetica" w:hAnsi="Helvetica"/>
                <w:b/>
                <w:szCs w:val="20"/>
              </w:rPr>
            </w:pPr>
            <w:r>
              <w:rPr>
                <w:rFonts w:ascii="Helvetica" w:hAnsi="Helvetica"/>
                <w:b/>
                <w:szCs w:val="20"/>
              </w:rPr>
              <w:t>Mean savings ($)</w:t>
            </w:r>
            <w:r w:rsidR="00913C22">
              <w:rPr>
                <w:rFonts w:ascii="Helvetica" w:hAnsi="Helvetica"/>
                <w:b/>
                <w:szCs w:val="20"/>
              </w:rPr>
              <w:t xml:space="preserve"> </w:t>
            </w:r>
          </w:p>
        </w:tc>
        <w:tc>
          <w:tcPr>
            <w:tcW w:w="1406" w:type="dxa"/>
            <w:tcBorders>
              <w:top w:val="nil"/>
              <w:left w:val="nil"/>
              <w:bottom w:val="single" w:sz="18" w:space="0" w:color="auto"/>
              <w:right w:val="nil"/>
            </w:tcBorders>
            <w:shd w:val="clear" w:color="auto" w:fill="ABDBF6" w:themeFill="accent1"/>
            <w:vAlign w:val="bottom"/>
            <w:hideMark/>
          </w:tcPr>
          <w:p w14:paraId="0B88B2B5" w14:textId="77777777" w:rsidR="00913C22" w:rsidRDefault="00913C22" w:rsidP="00913C22">
            <w:pPr>
              <w:rPr>
                <w:rFonts w:ascii="Helvetica" w:hAnsi="Helvetica"/>
                <w:b/>
                <w:szCs w:val="20"/>
              </w:rPr>
            </w:pPr>
            <w:r>
              <w:rPr>
                <w:rFonts w:ascii="Helvetica" w:hAnsi="Helvetica"/>
                <w:b/>
                <w:szCs w:val="20"/>
              </w:rPr>
              <w:t>Estimate</w:t>
            </w:r>
          </w:p>
        </w:tc>
        <w:tc>
          <w:tcPr>
            <w:tcW w:w="1410" w:type="dxa"/>
            <w:tcBorders>
              <w:top w:val="nil"/>
              <w:left w:val="nil"/>
              <w:bottom w:val="single" w:sz="18" w:space="0" w:color="auto"/>
              <w:right w:val="nil"/>
            </w:tcBorders>
            <w:shd w:val="clear" w:color="auto" w:fill="ABDBF6" w:themeFill="accent1"/>
            <w:vAlign w:val="bottom"/>
            <w:hideMark/>
          </w:tcPr>
          <w:p w14:paraId="163C6E79" w14:textId="77777777" w:rsidR="00913C22" w:rsidRDefault="00913C22" w:rsidP="00913C22">
            <w:pPr>
              <w:rPr>
                <w:rFonts w:ascii="Helvetica" w:hAnsi="Helvetica"/>
                <w:b/>
                <w:szCs w:val="20"/>
              </w:rPr>
            </w:pPr>
            <w:r>
              <w:rPr>
                <w:rFonts w:ascii="Helvetica" w:hAnsi="Helvetica"/>
                <w:b/>
                <w:szCs w:val="20"/>
              </w:rPr>
              <w:t>Standard error</w:t>
            </w:r>
          </w:p>
        </w:tc>
        <w:tc>
          <w:tcPr>
            <w:tcW w:w="1773" w:type="dxa"/>
            <w:tcBorders>
              <w:top w:val="nil"/>
              <w:left w:val="nil"/>
              <w:bottom w:val="single" w:sz="18" w:space="0" w:color="auto"/>
              <w:right w:val="nil"/>
            </w:tcBorders>
            <w:shd w:val="clear" w:color="auto" w:fill="ABDBF6" w:themeFill="accent1"/>
            <w:vAlign w:val="bottom"/>
            <w:hideMark/>
          </w:tcPr>
          <w:p w14:paraId="2766CB96" w14:textId="77777777" w:rsidR="00913C22" w:rsidRDefault="00913C22" w:rsidP="00913C22">
            <w:pPr>
              <w:rPr>
                <w:rFonts w:ascii="Helvetica" w:hAnsi="Helvetica"/>
                <w:b/>
                <w:szCs w:val="20"/>
              </w:rPr>
            </w:pPr>
            <w:r>
              <w:rPr>
                <w:rFonts w:ascii="Helvetica" w:hAnsi="Helvetica"/>
                <w:b/>
                <w:szCs w:val="20"/>
              </w:rPr>
              <w:t>95% Confidence Interval</w:t>
            </w:r>
          </w:p>
        </w:tc>
        <w:tc>
          <w:tcPr>
            <w:tcW w:w="1028" w:type="dxa"/>
            <w:tcBorders>
              <w:top w:val="nil"/>
              <w:left w:val="nil"/>
              <w:bottom w:val="single" w:sz="18" w:space="0" w:color="auto"/>
              <w:right w:val="nil"/>
            </w:tcBorders>
            <w:shd w:val="clear" w:color="auto" w:fill="ABDBF6" w:themeFill="accent1"/>
            <w:vAlign w:val="bottom"/>
            <w:hideMark/>
          </w:tcPr>
          <w:p w14:paraId="2D9CF2BD" w14:textId="77777777" w:rsidR="00913C22" w:rsidRDefault="00913C22" w:rsidP="00913C22">
            <w:pPr>
              <w:rPr>
                <w:rFonts w:ascii="Helvetica" w:hAnsi="Helvetica"/>
                <w:b/>
                <w:szCs w:val="20"/>
              </w:rPr>
            </w:pPr>
            <w:r>
              <w:rPr>
                <w:rFonts w:ascii="Helvetica" w:hAnsi="Helvetica"/>
                <w:b/>
                <w:i/>
                <w:szCs w:val="20"/>
              </w:rPr>
              <w:t>p-</w:t>
            </w:r>
            <w:r>
              <w:rPr>
                <w:rFonts w:ascii="Helvetica" w:hAnsi="Helvetica"/>
                <w:b/>
                <w:szCs w:val="20"/>
              </w:rPr>
              <w:t>value</w:t>
            </w:r>
          </w:p>
        </w:tc>
      </w:tr>
      <w:tr w:rsidR="00913C22" w14:paraId="54A2BC1A" w14:textId="77777777" w:rsidTr="00913C22">
        <w:tc>
          <w:tcPr>
            <w:tcW w:w="1607" w:type="dxa"/>
            <w:tcBorders>
              <w:top w:val="single" w:sz="18" w:space="0" w:color="auto"/>
              <w:left w:val="nil"/>
              <w:bottom w:val="single" w:sz="4" w:space="0" w:color="auto"/>
              <w:right w:val="nil"/>
            </w:tcBorders>
            <w:hideMark/>
          </w:tcPr>
          <w:p w14:paraId="51338D2C" w14:textId="77777777" w:rsidR="00913C22" w:rsidRDefault="00913C22" w:rsidP="00913C22">
            <w:pPr>
              <w:pStyle w:val="TableTextLeftAligned"/>
              <w:spacing w:after="0"/>
              <w:rPr>
                <w:rFonts w:ascii="Helvetica" w:hAnsi="Helvetica"/>
              </w:rPr>
            </w:pPr>
            <w:r>
              <w:rPr>
                <w:rFonts w:ascii="Helvetica" w:hAnsi="Helvetica"/>
              </w:rPr>
              <w:t>Control</w:t>
            </w:r>
          </w:p>
        </w:tc>
        <w:tc>
          <w:tcPr>
            <w:tcW w:w="1162" w:type="dxa"/>
            <w:tcBorders>
              <w:top w:val="single" w:sz="18" w:space="0" w:color="auto"/>
              <w:left w:val="nil"/>
              <w:bottom w:val="single" w:sz="4" w:space="0" w:color="auto"/>
              <w:right w:val="nil"/>
            </w:tcBorders>
            <w:hideMark/>
          </w:tcPr>
          <w:p w14:paraId="41BBBC35" w14:textId="77777777" w:rsidR="00913C22" w:rsidRDefault="00913C22" w:rsidP="00913C22">
            <w:pPr>
              <w:pStyle w:val="TableTextLeftAligned"/>
              <w:spacing w:after="0"/>
              <w:rPr>
                <w:rFonts w:ascii="Helvetica" w:hAnsi="Helvetica"/>
                <w:highlight w:val="yellow"/>
              </w:rPr>
            </w:pPr>
            <w:r w:rsidRPr="001B2741">
              <w:t xml:space="preserve"> $392.31 </w:t>
            </w:r>
          </w:p>
        </w:tc>
        <w:tc>
          <w:tcPr>
            <w:tcW w:w="1406" w:type="dxa"/>
            <w:tcBorders>
              <w:top w:val="single" w:sz="18" w:space="0" w:color="auto"/>
              <w:left w:val="nil"/>
              <w:bottom w:val="single" w:sz="4" w:space="0" w:color="auto"/>
              <w:right w:val="nil"/>
            </w:tcBorders>
          </w:tcPr>
          <w:p w14:paraId="5A301452" w14:textId="649D27CA" w:rsidR="00913C22" w:rsidRPr="00913C22" w:rsidRDefault="004B6AAC" w:rsidP="00913C22">
            <w:pPr>
              <w:pStyle w:val="TableTextLeftAligned"/>
              <w:spacing w:after="0"/>
              <w:rPr>
                <w:rFonts w:ascii="Helvetica" w:hAnsi="Helvetica"/>
              </w:rPr>
            </w:pPr>
            <w:r>
              <w:rPr>
                <w:rFonts w:ascii="Helvetica" w:hAnsi="Helvetica"/>
              </w:rPr>
              <w:t>-</w:t>
            </w:r>
          </w:p>
        </w:tc>
        <w:tc>
          <w:tcPr>
            <w:tcW w:w="1410" w:type="dxa"/>
            <w:tcBorders>
              <w:top w:val="single" w:sz="18" w:space="0" w:color="auto"/>
              <w:left w:val="nil"/>
              <w:bottom w:val="single" w:sz="4" w:space="0" w:color="auto"/>
              <w:right w:val="nil"/>
            </w:tcBorders>
          </w:tcPr>
          <w:p w14:paraId="01886A2E" w14:textId="59F12B5D" w:rsidR="00913C22" w:rsidRPr="00913C22" w:rsidRDefault="004B6AAC" w:rsidP="00913C22">
            <w:pPr>
              <w:pStyle w:val="TableTextLeftAligned"/>
              <w:spacing w:after="0"/>
              <w:rPr>
                <w:rFonts w:ascii="Helvetica" w:hAnsi="Helvetica"/>
              </w:rPr>
            </w:pPr>
            <w:r>
              <w:rPr>
                <w:rFonts w:ascii="Helvetica" w:hAnsi="Helvetica"/>
              </w:rPr>
              <w:t>-</w:t>
            </w:r>
          </w:p>
        </w:tc>
        <w:tc>
          <w:tcPr>
            <w:tcW w:w="1773" w:type="dxa"/>
            <w:tcBorders>
              <w:top w:val="single" w:sz="18" w:space="0" w:color="auto"/>
              <w:left w:val="nil"/>
              <w:bottom w:val="single" w:sz="4" w:space="0" w:color="auto"/>
              <w:right w:val="nil"/>
            </w:tcBorders>
          </w:tcPr>
          <w:p w14:paraId="695E18C3" w14:textId="12EB6F0B" w:rsidR="00913C22" w:rsidRPr="00913C22" w:rsidRDefault="004B6AAC" w:rsidP="00913C22">
            <w:pPr>
              <w:pStyle w:val="TableTextLeftAligned"/>
              <w:spacing w:after="0"/>
              <w:rPr>
                <w:rFonts w:ascii="Helvetica" w:hAnsi="Helvetica"/>
              </w:rPr>
            </w:pPr>
            <w:r>
              <w:rPr>
                <w:rFonts w:ascii="Helvetica" w:hAnsi="Helvetica"/>
              </w:rPr>
              <w:t>-</w:t>
            </w:r>
          </w:p>
        </w:tc>
        <w:tc>
          <w:tcPr>
            <w:tcW w:w="1028" w:type="dxa"/>
            <w:tcBorders>
              <w:top w:val="single" w:sz="18" w:space="0" w:color="auto"/>
              <w:left w:val="nil"/>
              <w:bottom w:val="single" w:sz="4" w:space="0" w:color="auto"/>
              <w:right w:val="nil"/>
            </w:tcBorders>
          </w:tcPr>
          <w:p w14:paraId="59E8D791" w14:textId="475FCC86" w:rsidR="00913C22" w:rsidRPr="00913C22" w:rsidRDefault="004B6AAC" w:rsidP="00913C22">
            <w:pPr>
              <w:pStyle w:val="TableTextLeftAligned"/>
              <w:spacing w:after="0"/>
              <w:rPr>
                <w:rFonts w:ascii="Helvetica" w:hAnsi="Helvetica"/>
              </w:rPr>
            </w:pPr>
            <w:r>
              <w:rPr>
                <w:rFonts w:ascii="Helvetica" w:hAnsi="Helvetica"/>
              </w:rPr>
              <w:t>-</w:t>
            </w:r>
          </w:p>
        </w:tc>
      </w:tr>
      <w:tr w:rsidR="00913C22" w14:paraId="1C3FF891" w14:textId="77777777" w:rsidTr="00913C22">
        <w:tc>
          <w:tcPr>
            <w:tcW w:w="1607" w:type="dxa"/>
            <w:tcBorders>
              <w:top w:val="single" w:sz="4" w:space="0" w:color="auto"/>
              <w:left w:val="nil"/>
              <w:bottom w:val="single" w:sz="4" w:space="0" w:color="auto"/>
              <w:right w:val="nil"/>
            </w:tcBorders>
            <w:hideMark/>
          </w:tcPr>
          <w:p w14:paraId="021716E7" w14:textId="24168ECA" w:rsidR="00913C22" w:rsidRDefault="00913C22" w:rsidP="00913C22">
            <w:pPr>
              <w:pStyle w:val="TableTextLeftAligned"/>
              <w:spacing w:after="0"/>
              <w:rPr>
                <w:rFonts w:ascii="Helvetica" w:hAnsi="Helvetica"/>
              </w:rPr>
            </w:pPr>
            <w:r w:rsidRPr="001B2741">
              <w:t>RBO pinned</w:t>
            </w:r>
            <w:r w:rsidR="00836F28">
              <w:t xml:space="preserve"> ($80 more)</w:t>
            </w:r>
          </w:p>
        </w:tc>
        <w:tc>
          <w:tcPr>
            <w:tcW w:w="1162" w:type="dxa"/>
            <w:tcBorders>
              <w:top w:val="single" w:sz="4" w:space="0" w:color="auto"/>
              <w:left w:val="nil"/>
              <w:bottom w:val="single" w:sz="4" w:space="0" w:color="auto"/>
              <w:right w:val="nil"/>
            </w:tcBorders>
            <w:hideMark/>
          </w:tcPr>
          <w:p w14:paraId="4AD64D25" w14:textId="77777777" w:rsidR="00913C22" w:rsidRDefault="00913C22" w:rsidP="00913C22">
            <w:pPr>
              <w:pStyle w:val="TableTextLeftAligned"/>
              <w:spacing w:after="0"/>
              <w:rPr>
                <w:rFonts w:ascii="Helvetica" w:hAnsi="Helvetica"/>
                <w:highlight w:val="yellow"/>
              </w:rPr>
            </w:pPr>
            <w:r w:rsidRPr="001B2741">
              <w:t xml:space="preserve"> $408.45 </w:t>
            </w:r>
          </w:p>
        </w:tc>
        <w:tc>
          <w:tcPr>
            <w:tcW w:w="1406" w:type="dxa"/>
            <w:tcBorders>
              <w:top w:val="single" w:sz="4" w:space="0" w:color="auto"/>
              <w:left w:val="nil"/>
              <w:bottom w:val="single" w:sz="4" w:space="0" w:color="auto"/>
              <w:right w:val="nil"/>
            </w:tcBorders>
            <w:hideMark/>
          </w:tcPr>
          <w:p w14:paraId="1A5A6B3F" w14:textId="77777777" w:rsidR="00913C22" w:rsidRPr="00913C22" w:rsidRDefault="00913C22" w:rsidP="00913C22">
            <w:pPr>
              <w:pStyle w:val="TableTextLeftAligned"/>
              <w:spacing w:after="0"/>
              <w:rPr>
                <w:rFonts w:ascii="Helvetica" w:hAnsi="Helvetica"/>
              </w:rPr>
            </w:pPr>
            <w:r w:rsidRPr="00913C22">
              <w:t>16.14</w:t>
            </w:r>
          </w:p>
        </w:tc>
        <w:tc>
          <w:tcPr>
            <w:tcW w:w="1410" w:type="dxa"/>
            <w:tcBorders>
              <w:top w:val="single" w:sz="4" w:space="0" w:color="auto"/>
              <w:left w:val="nil"/>
              <w:bottom w:val="single" w:sz="4" w:space="0" w:color="auto"/>
              <w:right w:val="nil"/>
            </w:tcBorders>
            <w:hideMark/>
          </w:tcPr>
          <w:p w14:paraId="19D12276" w14:textId="77777777" w:rsidR="00913C22" w:rsidRPr="00913C22" w:rsidRDefault="00913C22" w:rsidP="00913C22">
            <w:pPr>
              <w:pStyle w:val="TableTextLeftAligned"/>
              <w:spacing w:after="0"/>
              <w:rPr>
                <w:rFonts w:ascii="Helvetica" w:hAnsi="Helvetica"/>
              </w:rPr>
            </w:pPr>
            <w:r w:rsidRPr="00913C22">
              <w:rPr>
                <w:rFonts w:ascii="Helvetica" w:hAnsi="Helvetica"/>
              </w:rPr>
              <w:t>7.93</w:t>
            </w:r>
          </w:p>
        </w:tc>
        <w:tc>
          <w:tcPr>
            <w:tcW w:w="1773" w:type="dxa"/>
            <w:tcBorders>
              <w:top w:val="single" w:sz="4" w:space="0" w:color="auto"/>
              <w:left w:val="nil"/>
              <w:bottom w:val="single" w:sz="4" w:space="0" w:color="auto"/>
              <w:right w:val="nil"/>
            </w:tcBorders>
            <w:hideMark/>
          </w:tcPr>
          <w:p w14:paraId="0723C2CA" w14:textId="77777777" w:rsidR="00913C22" w:rsidRPr="00913C22" w:rsidRDefault="00913C22" w:rsidP="00913C22">
            <w:pPr>
              <w:pStyle w:val="TableTextLeftAligned"/>
              <w:spacing w:after="0"/>
              <w:rPr>
                <w:rFonts w:ascii="Helvetica" w:hAnsi="Helvetica"/>
              </w:rPr>
            </w:pPr>
            <w:r w:rsidRPr="00913C22">
              <w:rPr>
                <w:rFonts w:ascii="Helvetica" w:hAnsi="Helvetica"/>
              </w:rPr>
              <w:t>(0.58 – 31.71)</w:t>
            </w:r>
          </w:p>
        </w:tc>
        <w:tc>
          <w:tcPr>
            <w:tcW w:w="1028" w:type="dxa"/>
            <w:tcBorders>
              <w:top w:val="single" w:sz="4" w:space="0" w:color="auto"/>
              <w:left w:val="nil"/>
              <w:bottom w:val="single" w:sz="4" w:space="0" w:color="auto"/>
              <w:right w:val="nil"/>
            </w:tcBorders>
            <w:hideMark/>
          </w:tcPr>
          <w:p w14:paraId="01F48286" w14:textId="77777777" w:rsidR="00913C22" w:rsidRPr="00913C22" w:rsidRDefault="00913C22" w:rsidP="00913C22">
            <w:pPr>
              <w:pStyle w:val="TableTextLeftAligned"/>
              <w:spacing w:after="0"/>
              <w:rPr>
                <w:rFonts w:ascii="Helvetica" w:hAnsi="Helvetica"/>
              </w:rPr>
            </w:pPr>
            <w:r w:rsidRPr="00913C22">
              <w:rPr>
                <w:rFonts w:ascii="Helvetica" w:hAnsi="Helvetica"/>
              </w:rPr>
              <w:t>0.021</w:t>
            </w:r>
          </w:p>
        </w:tc>
      </w:tr>
    </w:tbl>
    <w:p w14:paraId="077AC861" w14:textId="0097BF75" w:rsidR="00C32523" w:rsidRDefault="00913C22" w:rsidP="00C32523">
      <w:pPr>
        <w:pStyle w:val="SourceNotesText"/>
      </w:pPr>
      <w:r>
        <w:t>n = 1</w:t>
      </w:r>
      <w:r w:rsidR="000154B4">
        <w:t>,</w:t>
      </w:r>
      <w:r w:rsidR="00124725">
        <w:t>073</w:t>
      </w:r>
    </w:p>
    <w:p w14:paraId="5F674E26" w14:textId="55242DD9" w:rsidR="00913C22" w:rsidRDefault="00913C22" w:rsidP="00C32523">
      <w:pPr>
        <w:pStyle w:val="SourceNotesText"/>
      </w:pPr>
      <w:r>
        <w:t>One tailed test.</w:t>
      </w:r>
    </w:p>
    <w:p w14:paraId="7CFC481D" w14:textId="47F90F58" w:rsidR="00E5721C" w:rsidRDefault="00C32523" w:rsidP="00257513">
      <w:pPr>
        <w:pStyle w:val="SourceNotesText"/>
        <w:rPr>
          <w:rFonts w:ascii="Helvetica" w:hAnsi="Helvetica"/>
        </w:rPr>
      </w:pPr>
      <w:r>
        <w:rPr>
          <w:rFonts w:ascii="Helvetica" w:hAnsi="Helvetica"/>
        </w:rPr>
        <w:t>Marginal means derived from OLS model with HC2 rob</w:t>
      </w:r>
      <w:r w:rsidR="00913C22">
        <w:rPr>
          <w:rFonts w:ascii="Helvetica" w:hAnsi="Helvetica"/>
        </w:rPr>
        <w:t>ust standard error adjusted for switching history, source of sample and these two covariates interacted with treatment.</w:t>
      </w:r>
    </w:p>
    <w:p w14:paraId="3106BA98" w14:textId="79B578E9" w:rsidR="00DB1638" w:rsidRDefault="000B5831" w:rsidP="008412AC">
      <w:pPr>
        <w:pStyle w:val="Caption"/>
      </w:pPr>
      <w:r>
        <w:t xml:space="preserve">Table </w:t>
      </w:r>
      <w:fldSimple w:instr=" SEQ Table \* ARABIC ">
        <w:r>
          <w:rPr>
            <w:noProof/>
          </w:rPr>
          <w:t>7</w:t>
        </w:r>
      </w:fldSimple>
      <w:r>
        <w:t>.</w:t>
      </w:r>
      <w:r>
        <w:tab/>
      </w:r>
      <w:r w:rsidR="00DB1638" w:rsidRPr="009830FA">
        <w:t xml:space="preserve">H2: Pinning current retailer’s best offer to the top increased individual savings. Retailer’s best offer was not competitive. It was </w:t>
      </w:r>
      <w:r w:rsidR="00DB1638">
        <w:t>$201</w:t>
      </w:r>
      <w:r w:rsidR="00DB1638" w:rsidRPr="009830FA">
        <w:t xml:space="preserve"> more than the cheapest plan.</w:t>
      </w:r>
    </w:p>
    <w:tbl>
      <w:tblPr>
        <w:tblStyle w:val="TableGrid"/>
        <w:tblW w:w="838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607"/>
        <w:gridCol w:w="1162"/>
        <w:gridCol w:w="1406"/>
        <w:gridCol w:w="1410"/>
        <w:gridCol w:w="1773"/>
        <w:gridCol w:w="1028"/>
      </w:tblGrid>
      <w:tr w:rsidR="00DB1638" w14:paraId="026B8CF3" w14:textId="77777777" w:rsidTr="00F742EB">
        <w:trPr>
          <w:tblHeader/>
        </w:trPr>
        <w:tc>
          <w:tcPr>
            <w:tcW w:w="1607" w:type="dxa"/>
            <w:tcBorders>
              <w:top w:val="nil"/>
              <w:left w:val="nil"/>
              <w:bottom w:val="single" w:sz="18" w:space="0" w:color="auto"/>
              <w:right w:val="nil"/>
            </w:tcBorders>
            <w:shd w:val="clear" w:color="auto" w:fill="ABDBF6" w:themeFill="accent1"/>
            <w:vAlign w:val="bottom"/>
            <w:hideMark/>
          </w:tcPr>
          <w:p w14:paraId="6A3136F4" w14:textId="77777777" w:rsidR="00DB1638" w:rsidRDefault="00DB1638" w:rsidP="00F742EB">
            <w:pPr>
              <w:rPr>
                <w:rFonts w:ascii="Helvetica" w:hAnsi="Helvetica"/>
                <w:b/>
                <w:szCs w:val="20"/>
              </w:rPr>
            </w:pPr>
            <w:r>
              <w:rPr>
                <w:rFonts w:ascii="Helvetica" w:hAnsi="Helvetica"/>
                <w:b/>
                <w:szCs w:val="20"/>
              </w:rPr>
              <w:t>Condition</w:t>
            </w:r>
          </w:p>
        </w:tc>
        <w:tc>
          <w:tcPr>
            <w:tcW w:w="1162" w:type="dxa"/>
            <w:tcBorders>
              <w:top w:val="nil"/>
              <w:left w:val="nil"/>
              <w:bottom w:val="single" w:sz="18" w:space="0" w:color="auto"/>
              <w:right w:val="nil"/>
            </w:tcBorders>
            <w:shd w:val="clear" w:color="auto" w:fill="ABDBF6" w:themeFill="accent1"/>
            <w:vAlign w:val="bottom"/>
            <w:hideMark/>
          </w:tcPr>
          <w:p w14:paraId="7D161165" w14:textId="77777777" w:rsidR="00DB1638" w:rsidRDefault="00DB1638" w:rsidP="00F742EB">
            <w:pPr>
              <w:rPr>
                <w:rFonts w:ascii="Helvetica" w:hAnsi="Helvetica"/>
                <w:b/>
                <w:szCs w:val="20"/>
              </w:rPr>
            </w:pPr>
            <w:r>
              <w:rPr>
                <w:rFonts w:ascii="Helvetica" w:hAnsi="Helvetica"/>
                <w:b/>
                <w:szCs w:val="20"/>
              </w:rPr>
              <w:t xml:space="preserve">Mean savings ($) </w:t>
            </w:r>
          </w:p>
        </w:tc>
        <w:tc>
          <w:tcPr>
            <w:tcW w:w="1406" w:type="dxa"/>
            <w:tcBorders>
              <w:top w:val="nil"/>
              <w:left w:val="nil"/>
              <w:bottom w:val="single" w:sz="18" w:space="0" w:color="auto"/>
              <w:right w:val="nil"/>
            </w:tcBorders>
            <w:shd w:val="clear" w:color="auto" w:fill="ABDBF6" w:themeFill="accent1"/>
            <w:vAlign w:val="bottom"/>
            <w:hideMark/>
          </w:tcPr>
          <w:p w14:paraId="52A638F7" w14:textId="77777777" w:rsidR="00DB1638" w:rsidRDefault="00DB1638" w:rsidP="00F742EB">
            <w:pPr>
              <w:rPr>
                <w:rFonts w:ascii="Helvetica" w:hAnsi="Helvetica"/>
                <w:b/>
                <w:szCs w:val="20"/>
              </w:rPr>
            </w:pPr>
            <w:r>
              <w:rPr>
                <w:rFonts w:ascii="Helvetica" w:hAnsi="Helvetica"/>
                <w:b/>
                <w:szCs w:val="20"/>
              </w:rPr>
              <w:t>Estimate</w:t>
            </w:r>
          </w:p>
        </w:tc>
        <w:tc>
          <w:tcPr>
            <w:tcW w:w="1410" w:type="dxa"/>
            <w:tcBorders>
              <w:top w:val="nil"/>
              <w:left w:val="nil"/>
              <w:bottom w:val="single" w:sz="18" w:space="0" w:color="auto"/>
              <w:right w:val="nil"/>
            </w:tcBorders>
            <w:shd w:val="clear" w:color="auto" w:fill="ABDBF6" w:themeFill="accent1"/>
            <w:vAlign w:val="bottom"/>
            <w:hideMark/>
          </w:tcPr>
          <w:p w14:paraId="4DE43D83" w14:textId="77777777" w:rsidR="00DB1638" w:rsidRDefault="00DB1638" w:rsidP="00F742EB">
            <w:pPr>
              <w:rPr>
                <w:rFonts w:ascii="Helvetica" w:hAnsi="Helvetica"/>
                <w:b/>
                <w:szCs w:val="20"/>
              </w:rPr>
            </w:pPr>
            <w:r>
              <w:rPr>
                <w:rFonts w:ascii="Helvetica" w:hAnsi="Helvetica"/>
                <w:b/>
                <w:szCs w:val="20"/>
              </w:rPr>
              <w:t>Standard error</w:t>
            </w:r>
          </w:p>
        </w:tc>
        <w:tc>
          <w:tcPr>
            <w:tcW w:w="1773" w:type="dxa"/>
            <w:tcBorders>
              <w:top w:val="nil"/>
              <w:left w:val="nil"/>
              <w:bottom w:val="single" w:sz="18" w:space="0" w:color="auto"/>
              <w:right w:val="nil"/>
            </w:tcBorders>
            <w:shd w:val="clear" w:color="auto" w:fill="ABDBF6" w:themeFill="accent1"/>
            <w:vAlign w:val="bottom"/>
            <w:hideMark/>
          </w:tcPr>
          <w:p w14:paraId="4818A601" w14:textId="77777777" w:rsidR="00DB1638" w:rsidRDefault="00DB1638" w:rsidP="00F742EB">
            <w:pPr>
              <w:rPr>
                <w:rFonts w:ascii="Helvetica" w:hAnsi="Helvetica"/>
                <w:b/>
                <w:szCs w:val="20"/>
              </w:rPr>
            </w:pPr>
            <w:r>
              <w:rPr>
                <w:rFonts w:ascii="Helvetica" w:hAnsi="Helvetica"/>
                <w:b/>
                <w:szCs w:val="20"/>
              </w:rPr>
              <w:t>95% Confidence Interval</w:t>
            </w:r>
          </w:p>
        </w:tc>
        <w:tc>
          <w:tcPr>
            <w:tcW w:w="1028" w:type="dxa"/>
            <w:tcBorders>
              <w:top w:val="nil"/>
              <w:left w:val="nil"/>
              <w:bottom w:val="single" w:sz="18" w:space="0" w:color="auto"/>
              <w:right w:val="nil"/>
            </w:tcBorders>
            <w:shd w:val="clear" w:color="auto" w:fill="ABDBF6" w:themeFill="accent1"/>
            <w:vAlign w:val="bottom"/>
            <w:hideMark/>
          </w:tcPr>
          <w:p w14:paraId="74A53EEA" w14:textId="77777777" w:rsidR="00DB1638" w:rsidRDefault="00DB1638" w:rsidP="00F742EB">
            <w:pPr>
              <w:rPr>
                <w:rFonts w:ascii="Helvetica" w:hAnsi="Helvetica"/>
                <w:b/>
                <w:szCs w:val="20"/>
              </w:rPr>
            </w:pPr>
            <w:r>
              <w:rPr>
                <w:rFonts w:ascii="Helvetica" w:hAnsi="Helvetica"/>
                <w:b/>
                <w:i/>
                <w:szCs w:val="20"/>
              </w:rPr>
              <w:t>p-</w:t>
            </w:r>
            <w:r>
              <w:rPr>
                <w:rFonts w:ascii="Helvetica" w:hAnsi="Helvetica"/>
                <w:b/>
                <w:szCs w:val="20"/>
              </w:rPr>
              <w:t>value</w:t>
            </w:r>
          </w:p>
        </w:tc>
      </w:tr>
      <w:tr w:rsidR="00DB1638" w14:paraId="45B93233" w14:textId="77777777" w:rsidTr="00F742EB">
        <w:tc>
          <w:tcPr>
            <w:tcW w:w="1607" w:type="dxa"/>
            <w:tcBorders>
              <w:top w:val="single" w:sz="18" w:space="0" w:color="auto"/>
              <w:left w:val="nil"/>
              <w:bottom w:val="single" w:sz="4" w:space="0" w:color="auto"/>
              <w:right w:val="nil"/>
            </w:tcBorders>
            <w:hideMark/>
          </w:tcPr>
          <w:p w14:paraId="730AF627" w14:textId="77777777" w:rsidR="00DB1638" w:rsidRDefault="00DB1638" w:rsidP="00F742EB">
            <w:pPr>
              <w:pStyle w:val="TableTextLeftAligned"/>
              <w:spacing w:after="0"/>
              <w:rPr>
                <w:rFonts w:ascii="Helvetica" w:hAnsi="Helvetica"/>
              </w:rPr>
            </w:pPr>
            <w:r>
              <w:rPr>
                <w:rFonts w:ascii="Helvetica" w:hAnsi="Helvetica"/>
              </w:rPr>
              <w:t>Control</w:t>
            </w:r>
          </w:p>
        </w:tc>
        <w:tc>
          <w:tcPr>
            <w:tcW w:w="1162" w:type="dxa"/>
            <w:tcBorders>
              <w:top w:val="single" w:sz="18" w:space="0" w:color="auto"/>
              <w:left w:val="nil"/>
              <w:bottom w:val="single" w:sz="4" w:space="0" w:color="auto"/>
              <w:right w:val="nil"/>
            </w:tcBorders>
            <w:hideMark/>
          </w:tcPr>
          <w:p w14:paraId="06923900" w14:textId="77777777" w:rsidR="00DB1638" w:rsidRDefault="00DB1638" w:rsidP="00F742EB">
            <w:pPr>
              <w:pStyle w:val="TableTextLeftAligned"/>
              <w:spacing w:after="0"/>
              <w:rPr>
                <w:rFonts w:ascii="Helvetica" w:hAnsi="Helvetica"/>
                <w:highlight w:val="yellow"/>
              </w:rPr>
            </w:pPr>
            <w:r w:rsidRPr="00A41C7E">
              <w:t xml:space="preserve"> $378.01 </w:t>
            </w:r>
          </w:p>
        </w:tc>
        <w:tc>
          <w:tcPr>
            <w:tcW w:w="1406" w:type="dxa"/>
            <w:tcBorders>
              <w:top w:val="single" w:sz="18" w:space="0" w:color="auto"/>
              <w:left w:val="nil"/>
              <w:bottom w:val="single" w:sz="4" w:space="0" w:color="auto"/>
              <w:right w:val="nil"/>
            </w:tcBorders>
          </w:tcPr>
          <w:p w14:paraId="32A15EBC" w14:textId="77777777" w:rsidR="00DB1638" w:rsidRPr="00913C22" w:rsidRDefault="00DB1638" w:rsidP="00F742EB">
            <w:pPr>
              <w:pStyle w:val="TableTextLeftAligned"/>
              <w:spacing w:after="0"/>
              <w:rPr>
                <w:rFonts w:ascii="Helvetica" w:hAnsi="Helvetica"/>
              </w:rPr>
            </w:pPr>
            <w:r>
              <w:rPr>
                <w:rFonts w:ascii="Helvetica" w:hAnsi="Helvetica"/>
              </w:rPr>
              <w:t>-</w:t>
            </w:r>
          </w:p>
        </w:tc>
        <w:tc>
          <w:tcPr>
            <w:tcW w:w="1410" w:type="dxa"/>
            <w:tcBorders>
              <w:top w:val="single" w:sz="18" w:space="0" w:color="auto"/>
              <w:left w:val="nil"/>
              <w:bottom w:val="single" w:sz="4" w:space="0" w:color="auto"/>
              <w:right w:val="nil"/>
            </w:tcBorders>
          </w:tcPr>
          <w:p w14:paraId="73BC32CD" w14:textId="77777777" w:rsidR="00DB1638" w:rsidRPr="00913C22" w:rsidRDefault="00DB1638" w:rsidP="00F742EB">
            <w:pPr>
              <w:pStyle w:val="TableTextLeftAligned"/>
              <w:spacing w:after="0"/>
              <w:rPr>
                <w:rFonts w:ascii="Helvetica" w:hAnsi="Helvetica"/>
              </w:rPr>
            </w:pPr>
            <w:r>
              <w:rPr>
                <w:rFonts w:ascii="Helvetica" w:hAnsi="Helvetica"/>
              </w:rPr>
              <w:t>-</w:t>
            </w:r>
          </w:p>
        </w:tc>
        <w:tc>
          <w:tcPr>
            <w:tcW w:w="1773" w:type="dxa"/>
            <w:tcBorders>
              <w:top w:val="single" w:sz="18" w:space="0" w:color="auto"/>
              <w:left w:val="nil"/>
              <w:bottom w:val="single" w:sz="4" w:space="0" w:color="auto"/>
              <w:right w:val="nil"/>
            </w:tcBorders>
          </w:tcPr>
          <w:p w14:paraId="15F5E0E1" w14:textId="77777777" w:rsidR="00DB1638" w:rsidRPr="00913C22" w:rsidRDefault="00DB1638" w:rsidP="00F742EB">
            <w:pPr>
              <w:pStyle w:val="TableTextLeftAligned"/>
              <w:spacing w:after="0"/>
              <w:rPr>
                <w:rFonts w:ascii="Helvetica" w:hAnsi="Helvetica"/>
              </w:rPr>
            </w:pPr>
            <w:r>
              <w:rPr>
                <w:rFonts w:ascii="Helvetica" w:hAnsi="Helvetica"/>
              </w:rPr>
              <w:t>-</w:t>
            </w:r>
          </w:p>
        </w:tc>
        <w:tc>
          <w:tcPr>
            <w:tcW w:w="1028" w:type="dxa"/>
            <w:tcBorders>
              <w:top w:val="single" w:sz="18" w:space="0" w:color="auto"/>
              <w:left w:val="nil"/>
              <w:bottom w:val="single" w:sz="4" w:space="0" w:color="auto"/>
              <w:right w:val="nil"/>
            </w:tcBorders>
          </w:tcPr>
          <w:p w14:paraId="14C0DBB4" w14:textId="77777777" w:rsidR="00DB1638" w:rsidRPr="00913C22" w:rsidRDefault="00DB1638" w:rsidP="00F742EB">
            <w:pPr>
              <w:pStyle w:val="TableTextLeftAligned"/>
              <w:spacing w:after="0"/>
              <w:rPr>
                <w:rFonts w:ascii="Helvetica" w:hAnsi="Helvetica"/>
              </w:rPr>
            </w:pPr>
            <w:r>
              <w:rPr>
                <w:rFonts w:ascii="Helvetica" w:hAnsi="Helvetica"/>
              </w:rPr>
              <w:t>-</w:t>
            </w:r>
          </w:p>
        </w:tc>
      </w:tr>
      <w:tr w:rsidR="00DB1638" w14:paraId="67C37DDE" w14:textId="77777777" w:rsidTr="00F742EB">
        <w:tc>
          <w:tcPr>
            <w:tcW w:w="1607" w:type="dxa"/>
            <w:tcBorders>
              <w:top w:val="single" w:sz="4" w:space="0" w:color="auto"/>
              <w:left w:val="nil"/>
              <w:bottom w:val="single" w:sz="4" w:space="0" w:color="auto"/>
              <w:right w:val="nil"/>
            </w:tcBorders>
            <w:hideMark/>
          </w:tcPr>
          <w:p w14:paraId="6CC7B600" w14:textId="77777777" w:rsidR="00DB1638" w:rsidRDefault="00DB1638" w:rsidP="00F742EB">
            <w:pPr>
              <w:pStyle w:val="TableTextLeftAligned"/>
              <w:spacing w:after="0"/>
              <w:rPr>
                <w:rFonts w:ascii="Helvetica" w:hAnsi="Helvetica"/>
              </w:rPr>
            </w:pPr>
            <w:r w:rsidRPr="001B2741">
              <w:t>RBO pinned</w:t>
            </w:r>
            <w:r>
              <w:t xml:space="preserve"> ($201 more)</w:t>
            </w:r>
          </w:p>
        </w:tc>
        <w:tc>
          <w:tcPr>
            <w:tcW w:w="1162" w:type="dxa"/>
            <w:tcBorders>
              <w:top w:val="single" w:sz="4" w:space="0" w:color="auto"/>
              <w:left w:val="nil"/>
              <w:bottom w:val="single" w:sz="4" w:space="0" w:color="auto"/>
              <w:right w:val="nil"/>
            </w:tcBorders>
            <w:hideMark/>
          </w:tcPr>
          <w:p w14:paraId="449E1848" w14:textId="77777777" w:rsidR="00DB1638" w:rsidRDefault="00DB1638" w:rsidP="00F742EB">
            <w:pPr>
              <w:pStyle w:val="TableTextLeftAligned"/>
              <w:spacing w:after="0"/>
              <w:rPr>
                <w:rFonts w:ascii="Helvetica" w:hAnsi="Helvetica"/>
                <w:highlight w:val="yellow"/>
              </w:rPr>
            </w:pPr>
            <w:r w:rsidRPr="00A41C7E">
              <w:t xml:space="preserve"> $408.84 </w:t>
            </w:r>
          </w:p>
        </w:tc>
        <w:tc>
          <w:tcPr>
            <w:tcW w:w="1406" w:type="dxa"/>
            <w:tcBorders>
              <w:top w:val="single" w:sz="4" w:space="0" w:color="auto"/>
              <w:left w:val="nil"/>
              <w:bottom w:val="single" w:sz="4" w:space="0" w:color="auto"/>
              <w:right w:val="nil"/>
            </w:tcBorders>
            <w:hideMark/>
          </w:tcPr>
          <w:p w14:paraId="00166CC9" w14:textId="77777777" w:rsidR="00DB1638" w:rsidRPr="00913C22" w:rsidRDefault="00DB1638" w:rsidP="00F742EB">
            <w:pPr>
              <w:pStyle w:val="TableTextLeftAligned"/>
              <w:spacing w:after="0"/>
              <w:rPr>
                <w:rFonts w:ascii="Helvetica" w:hAnsi="Helvetica"/>
              </w:rPr>
            </w:pPr>
            <w:r w:rsidRPr="00A41C7E">
              <w:t>30.83</w:t>
            </w:r>
          </w:p>
        </w:tc>
        <w:tc>
          <w:tcPr>
            <w:tcW w:w="1410" w:type="dxa"/>
            <w:tcBorders>
              <w:top w:val="single" w:sz="4" w:space="0" w:color="auto"/>
              <w:left w:val="nil"/>
              <w:bottom w:val="single" w:sz="4" w:space="0" w:color="auto"/>
              <w:right w:val="nil"/>
            </w:tcBorders>
            <w:hideMark/>
          </w:tcPr>
          <w:p w14:paraId="7757FA56" w14:textId="77777777" w:rsidR="00DB1638" w:rsidRPr="00913C22" w:rsidRDefault="00DB1638" w:rsidP="00F742EB">
            <w:pPr>
              <w:pStyle w:val="TableTextLeftAligned"/>
              <w:spacing w:after="0"/>
              <w:rPr>
                <w:rFonts w:ascii="Helvetica" w:hAnsi="Helvetica"/>
              </w:rPr>
            </w:pPr>
            <w:r w:rsidRPr="00A41C7E">
              <w:t>8.20</w:t>
            </w:r>
          </w:p>
        </w:tc>
        <w:tc>
          <w:tcPr>
            <w:tcW w:w="1773" w:type="dxa"/>
            <w:tcBorders>
              <w:top w:val="single" w:sz="4" w:space="0" w:color="auto"/>
              <w:left w:val="nil"/>
              <w:bottom w:val="single" w:sz="4" w:space="0" w:color="auto"/>
              <w:right w:val="nil"/>
            </w:tcBorders>
            <w:hideMark/>
          </w:tcPr>
          <w:p w14:paraId="052BB29A" w14:textId="77777777" w:rsidR="00DB1638" w:rsidRPr="00913C22" w:rsidRDefault="00DB1638" w:rsidP="00F742EB">
            <w:pPr>
              <w:pStyle w:val="TableTextLeftAligned"/>
              <w:spacing w:after="0"/>
              <w:rPr>
                <w:rFonts w:ascii="Helvetica" w:hAnsi="Helvetica"/>
              </w:rPr>
            </w:pPr>
            <w:r>
              <w:rPr>
                <w:rFonts w:ascii="Helvetica" w:hAnsi="Helvetica"/>
              </w:rPr>
              <w:t>(14.74 – 46.93</w:t>
            </w:r>
            <w:r w:rsidRPr="00913C22">
              <w:rPr>
                <w:rFonts w:ascii="Helvetica" w:hAnsi="Helvetica"/>
              </w:rPr>
              <w:t>)</w:t>
            </w:r>
          </w:p>
        </w:tc>
        <w:tc>
          <w:tcPr>
            <w:tcW w:w="1028" w:type="dxa"/>
            <w:tcBorders>
              <w:top w:val="single" w:sz="4" w:space="0" w:color="auto"/>
              <w:left w:val="nil"/>
              <w:bottom w:val="single" w:sz="4" w:space="0" w:color="auto"/>
              <w:right w:val="nil"/>
            </w:tcBorders>
            <w:hideMark/>
          </w:tcPr>
          <w:p w14:paraId="786F7AB6" w14:textId="77777777" w:rsidR="00DB1638" w:rsidRPr="00913C22" w:rsidRDefault="00DB1638" w:rsidP="00F742EB">
            <w:pPr>
              <w:pStyle w:val="TableTextLeftAligned"/>
              <w:spacing w:after="0"/>
              <w:rPr>
                <w:rFonts w:ascii="Helvetica" w:hAnsi="Helvetica"/>
              </w:rPr>
            </w:pPr>
            <w:r>
              <w:rPr>
                <w:rFonts w:ascii="Helvetica" w:hAnsi="Helvetica"/>
              </w:rPr>
              <w:t>0.000</w:t>
            </w:r>
          </w:p>
        </w:tc>
      </w:tr>
    </w:tbl>
    <w:p w14:paraId="51C0A143" w14:textId="77777777" w:rsidR="00DB1638" w:rsidRDefault="00DB1638" w:rsidP="00DB1638">
      <w:pPr>
        <w:pStyle w:val="SourceNotesText"/>
      </w:pPr>
      <w:r>
        <w:t>n = 1,063</w:t>
      </w:r>
    </w:p>
    <w:p w14:paraId="65F76B98" w14:textId="77777777" w:rsidR="00DB1638" w:rsidRDefault="00DB1638" w:rsidP="00DB1638">
      <w:pPr>
        <w:pStyle w:val="SourceNotesText"/>
      </w:pPr>
      <w:r>
        <w:t>Two tailed test.</w:t>
      </w:r>
    </w:p>
    <w:p w14:paraId="5FE78168" w14:textId="77777777" w:rsidR="00DB1638" w:rsidRDefault="00DB1638" w:rsidP="00DB1638">
      <w:pPr>
        <w:pStyle w:val="SourceNotesText"/>
        <w:rPr>
          <w:rFonts w:ascii="Helvetica" w:hAnsi="Helvetica"/>
        </w:rPr>
      </w:pPr>
      <w:r>
        <w:rPr>
          <w:rFonts w:ascii="Helvetica" w:hAnsi="Helvetica"/>
        </w:rPr>
        <w:t>Marginal means derived from OLS model with HC2 robust standard error adjusted for switching history, source of sample and these two covariates interacted with treatment.</w:t>
      </w:r>
    </w:p>
    <w:p w14:paraId="38CE7FBB" w14:textId="77777777" w:rsidR="00DB1638" w:rsidRPr="00257513" w:rsidRDefault="00DB1638" w:rsidP="00257513">
      <w:pPr>
        <w:pStyle w:val="SourceNotesText"/>
        <w:rPr>
          <w:rFonts w:ascii="Helvetica" w:hAnsi="Helvetica"/>
        </w:rPr>
      </w:pPr>
    </w:p>
    <w:p w14:paraId="5777D041" w14:textId="354E6BB1" w:rsidR="00257513" w:rsidRDefault="00257513" w:rsidP="000F7FD9">
      <w:pPr>
        <w:pStyle w:val="Caption"/>
        <w:keepNext/>
        <w:outlineLvl w:val="3"/>
      </w:pPr>
      <w:r>
        <w:t xml:space="preserve">Table </w:t>
      </w:r>
      <w:fldSimple w:instr=" SEQ Table \* ARABIC ">
        <w:r w:rsidR="000B5831">
          <w:rPr>
            <w:noProof/>
          </w:rPr>
          <w:t>8</w:t>
        </w:r>
      </w:fldSimple>
      <w:r>
        <w:t>.</w:t>
      </w:r>
      <w:r>
        <w:tab/>
      </w:r>
      <w:r w:rsidRPr="002953BD">
        <w:t>H1: Pinning current retailer’s best offer to the top lead to higher overall switching rates. Retailer’s best offer was competitive, only $80 more than the cheapest plan.</w:t>
      </w:r>
    </w:p>
    <w:tbl>
      <w:tblPr>
        <w:tblStyle w:val="TableGrid"/>
        <w:tblW w:w="838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607"/>
        <w:gridCol w:w="1162"/>
        <w:gridCol w:w="1406"/>
        <w:gridCol w:w="1410"/>
        <w:gridCol w:w="1773"/>
        <w:gridCol w:w="1028"/>
      </w:tblGrid>
      <w:tr w:rsidR="002A01E5" w14:paraId="49C38E2F" w14:textId="77777777" w:rsidTr="001E064C">
        <w:trPr>
          <w:tblHeader/>
        </w:trPr>
        <w:tc>
          <w:tcPr>
            <w:tcW w:w="1607" w:type="dxa"/>
            <w:tcBorders>
              <w:top w:val="nil"/>
              <w:left w:val="nil"/>
              <w:bottom w:val="single" w:sz="18" w:space="0" w:color="auto"/>
              <w:right w:val="nil"/>
            </w:tcBorders>
            <w:shd w:val="clear" w:color="auto" w:fill="ABDBF6" w:themeFill="accent1"/>
            <w:vAlign w:val="bottom"/>
            <w:hideMark/>
          </w:tcPr>
          <w:p w14:paraId="3743ADD1" w14:textId="77777777" w:rsidR="002A01E5" w:rsidRDefault="002A01E5" w:rsidP="001E064C">
            <w:pPr>
              <w:rPr>
                <w:rFonts w:ascii="Helvetica" w:hAnsi="Helvetica"/>
                <w:b/>
                <w:szCs w:val="20"/>
              </w:rPr>
            </w:pPr>
            <w:r>
              <w:rPr>
                <w:rFonts w:ascii="Helvetica" w:hAnsi="Helvetica"/>
                <w:b/>
                <w:szCs w:val="20"/>
              </w:rPr>
              <w:t>Condition</w:t>
            </w:r>
          </w:p>
        </w:tc>
        <w:tc>
          <w:tcPr>
            <w:tcW w:w="1162" w:type="dxa"/>
            <w:tcBorders>
              <w:top w:val="nil"/>
              <w:left w:val="nil"/>
              <w:bottom w:val="single" w:sz="18" w:space="0" w:color="auto"/>
              <w:right w:val="nil"/>
            </w:tcBorders>
            <w:shd w:val="clear" w:color="auto" w:fill="ABDBF6" w:themeFill="accent1"/>
            <w:vAlign w:val="bottom"/>
            <w:hideMark/>
          </w:tcPr>
          <w:p w14:paraId="3A7008E3" w14:textId="46097093" w:rsidR="002A01E5" w:rsidRDefault="000F6385" w:rsidP="001E064C">
            <w:pPr>
              <w:rPr>
                <w:rFonts w:ascii="Helvetica" w:hAnsi="Helvetica"/>
                <w:b/>
                <w:szCs w:val="20"/>
              </w:rPr>
            </w:pPr>
            <w:r>
              <w:rPr>
                <w:rFonts w:ascii="Helvetica" w:hAnsi="Helvetica"/>
                <w:b/>
                <w:szCs w:val="20"/>
              </w:rPr>
              <w:t>Mean %</w:t>
            </w:r>
            <w:r w:rsidR="00836F28">
              <w:rPr>
                <w:rFonts w:ascii="Helvetica" w:hAnsi="Helvetica"/>
                <w:b/>
                <w:szCs w:val="20"/>
              </w:rPr>
              <w:t xml:space="preserve"> choosing to switch</w:t>
            </w:r>
            <w:r w:rsidR="002A01E5">
              <w:rPr>
                <w:rFonts w:ascii="Helvetica" w:hAnsi="Helvetica"/>
                <w:b/>
                <w:szCs w:val="20"/>
              </w:rPr>
              <w:t xml:space="preserve"> </w:t>
            </w:r>
          </w:p>
        </w:tc>
        <w:tc>
          <w:tcPr>
            <w:tcW w:w="1406" w:type="dxa"/>
            <w:tcBorders>
              <w:top w:val="nil"/>
              <w:left w:val="nil"/>
              <w:bottom w:val="single" w:sz="18" w:space="0" w:color="auto"/>
              <w:right w:val="nil"/>
            </w:tcBorders>
            <w:shd w:val="clear" w:color="auto" w:fill="ABDBF6" w:themeFill="accent1"/>
            <w:vAlign w:val="bottom"/>
            <w:hideMark/>
          </w:tcPr>
          <w:p w14:paraId="7711BDC2" w14:textId="77777777" w:rsidR="002A01E5" w:rsidRDefault="002A01E5" w:rsidP="001E064C">
            <w:pPr>
              <w:rPr>
                <w:rFonts w:ascii="Helvetica" w:hAnsi="Helvetica"/>
                <w:b/>
                <w:szCs w:val="20"/>
              </w:rPr>
            </w:pPr>
            <w:r>
              <w:rPr>
                <w:rFonts w:ascii="Helvetica" w:hAnsi="Helvetica"/>
                <w:b/>
                <w:szCs w:val="20"/>
              </w:rPr>
              <w:t>Estimate</w:t>
            </w:r>
          </w:p>
        </w:tc>
        <w:tc>
          <w:tcPr>
            <w:tcW w:w="1410" w:type="dxa"/>
            <w:tcBorders>
              <w:top w:val="nil"/>
              <w:left w:val="nil"/>
              <w:bottom w:val="single" w:sz="18" w:space="0" w:color="auto"/>
              <w:right w:val="nil"/>
            </w:tcBorders>
            <w:shd w:val="clear" w:color="auto" w:fill="ABDBF6" w:themeFill="accent1"/>
            <w:vAlign w:val="bottom"/>
            <w:hideMark/>
          </w:tcPr>
          <w:p w14:paraId="7EA9BEBF" w14:textId="77777777" w:rsidR="002A01E5" w:rsidRDefault="002A01E5" w:rsidP="001E064C">
            <w:pPr>
              <w:rPr>
                <w:rFonts w:ascii="Helvetica" w:hAnsi="Helvetica"/>
                <w:b/>
                <w:szCs w:val="20"/>
              </w:rPr>
            </w:pPr>
            <w:r>
              <w:rPr>
                <w:rFonts w:ascii="Helvetica" w:hAnsi="Helvetica"/>
                <w:b/>
                <w:szCs w:val="20"/>
              </w:rPr>
              <w:t>Standard error</w:t>
            </w:r>
          </w:p>
        </w:tc>
        <w:tc>
          <w:tcPr>
            <w:tcW w:w="1773" w:type="dxa"/>
            <w:tcBorders>
              <w:top w:val="nil"/>
              <w:left w:val="nil"/>
              <w:bottom w:val="single" w:sz="18" w:space="0" w:color="auto"/>
              <w:right w:val="nil"/>
            </w:tcBorders>
            <w:shd w:val="clear" w:color="auto" w:fill="ABDBF6" w:themeFill="accent1"/>
            <w:vAlign w:val="bottom"/>
            <w:hideMark/>
          </w:tcPr>
          <w:p w14:paraId="5107AE94" w14:textId="77777777" w:rsidR="002A01E5" w:rsidRDefault="002A01E5" w:rsidP="001E064C">
            <w:pPr>
              <w:rPr>
                <w:rFonts w:ascii="Helvetica" w:hAnsi="Helvetica"/>
                <w:b/>
                <w:szCs w:val="20"/>
              </w:rPr>
            </w:pPr>
            <w:r>
              <w:rPr>
                <w:rFonts w:ascii="Helvetica" w:hAnsi="Helvetica"/>
                <w:b/>
                <w:szCs w:val="20"/>
              </w:rPr>
              <w:t>95% Confidence Interval</w:t>
            </w:r>
          </w:p>
        </w:tc>
        <w:tc>
          <w:tcPr>
            <w:tcW w:w="1028" w:type="dxa"/>
            <w:tcBorders>
              <w:top w:val="nil"/>
              <w:left w:val="nil"/>
              <w:bottom w:val="single" w:sz="18" w:space="0" w:color="auto"/>
              <w:right w:val="nil"/>
            </w:tcBorders>
            <w:shd w:val="clear" w:color="auto" w:fill="ABDBF6" w:themeFill="accent1"/>
            <w:vAlign w:val="bottom"/>
            <w:hideMark/>
          </w:tcPr>
          <w:p w14:paraId="2EC15416" w14:textId="77777777" w:rsidR="002A01E5" w:rsidRDefault="002A01E5" w:rsidP="001E064C">
            <w:pPr>
              <w:rPr>
                <w:rFonts w:ascii="Helvetica" w:hAnsi="Helvetica"/>
                <w:b/>
                <w:szCs w:val="20"/>
              </w:rPr>
            </w:pPr>
            <w:r>
              <w:rPr>
                <w:rFonts w:ascii="Helvetica" w:hAnsi="Helvetica"/>
                <w:b/>
                <w:i/>
                <w:szCs w:val="20"/>
              </w:rPr>
              <w:t>p-</w:t>
            </w:r>
            <w:r>
              <w:rPr>
                <w:rFonts w:ascii="Helvetica" w:hAnsi="Helvetica"/>
                <w:b/>
                <w:szCs w:val="20"/>
              </w:rPr>
              <w:t>value</w:t>
            </w:r>
          </w:p>
        </w:tc>
      </w:tr>
      <w:tr w:rsidR="008177CA" w14:paraId="1E4D9642" w14:textId="77777777" w:rsidTr="001E064C">
        <w:tc>
          <w:tcPr>
            <w:tcW w:w="1607" w:type="dxa"/>
            <w:tcBorders>
              <w:top w:val="single" w:sz="18" w:space="0" w:color="auto"/>
              <w:left w:val="nil"/>
              <w:bottom w:val="single" w:sz="4" w:space="0" w:color="auto"/>
              <w:right w:val="nil"/>
            </w:tcBorders>
            <w:hideMark/>
          </w:tcPr>
          <w:p w14:paraId="6E3271C5" w14:textId="77777777" w:rsidR="008177CA" w:rsidRDefault="008177CA" w:rsidP="008177CA">
            <w:pPr>
              <w:pStyle w:val="TableTextLeftAligned"/>
              <w:spacing w:after="0"/>
              <w:rPr>
                <w:rFonts w:ascii="Helvetica" w:hAnsi="Helvetica"/>
              </w:rPr>
            </w:pPr>
            <w:r>
              <w:rPr>
                <w:rFonts w:ascii="Helvetica" w:hAnsi="Helvetica"/>
              </w:rPr>
              <w:t>Control</w:t>
            </w:r>
          </w:p>
        </w:tc>
        <w:tc>
          <w:tcPr>
            <w:tcW w:w="1162" w:type="dxa"/>
            <w:tcBorders>
              <w:top w:val="single" w:sz="18" w:space="0" w:color="auto"/>
              <w:left w:val="nil"/>
              <w:bottom w:val="single" w:sz="4" w:space="0" w:color="auto"/>
              <w:right w:val="nil"/>
            </w:tcBorders>
            <w:hideMark/>
          </w:tcPr>
          <w:p w14:paraId="20438476" w14:textId="6B76A8A4" w:rsidR="008177CA" w:rsidRDefault="008177CA" w:rsidP="008177CA">
            <w:pPr>
              <w:pStyle w:val="TableTextLeftAligned"/>
              <w:spacing w:after="0"/>
              <w:rPr>
                <w:rFonts w:ascii="Helvetica" w:hAnsi="Helvetica"/>
                <w:highlight w:val="yellow"/>
              </w:rPr>
            </w:pPr>
            <w:r w:rsidRPr="00AC02FE">
              <w:t>90.3%</w:t>
            </w:r>
          </w:p>
        </w:tc>
        <w:tc>
          <w:tcPr>
            <w:tcW w:w="1406" w:type="dxa"/>
            <w:tcBorders>
              <w:top w:val="single" w:sz="18" w:space="0" w:color="auto"/>
              <w:left w:val="nil"/>
              <w:bottom w:val="single" w:sz="4" w:space="0" w:color="auto"/>
              <w:right w:val="nil"/>
            </w:tcBorders>
          </w:tcPr>
          <w:p w14:paraId="593D59F0" w14:textId="3B32FD4F" w:rsidR="008177CA" w:rsidRPr="00913C22" w:rsidRDefault="004B6AAC" w:rsidP="008177CA">
            <w:pPr>
              <w:pStyle w:val="TableTextLeftAligned"/>
              <w:spacing w:after="0"/>
              <w:rPr>
                <w:rFonts w:ascii="Helvetica" w:hAnsi="Helvetica"/>
              </w:rPr>
            </w:pPr>
            <w:r>
              <w:rPr>
                <w:rFonts w:ascii="Helvetica" w:hAnsi="Helvetica"/>
              </w:rPr>
              <w:t>-</w:t>
            </w:r>
          </w:p>
        </w:tc>
        <w:tc>
          <w:tcPr>
            <w:tcW w:w="1410" w:type="dxa"/>
            <w:tcBorders>
              <w:top w:val="single" w:sz="18" w:space="0" w:color="auto"/>
              <w:left w:val="nil"/>
              <w:bottom w:val="single" w:sz="4" w:space="0" w:color="auto"/>
              <w:right w:val="nil"/>
            </w:tcBorders>
          </w:tcPr>
          <w:p w14:paraId="21B0396F" w14:textId="457E2788" w:rsidR="008177CA" w:rsidRPr="00913C22" w:rsidRDefault="004B6AAC" w:rsidP="008177CA">
            <w:pPr>
              <w:pStyle w:val="TableTextLeftAligned"/>
              <w:spacing w:after="0"/>
              <w:rPr>
                <w:rFonts w:ascii="Helvetica" w:hAnsi="Helvetica"/>
              </w:rPr>
            </w:pPr>
            <w:r>
              <w:rPr>
                <w:rFonts w:ascii="Helvetica" w:hAnsi="Helvetica"/>
              </w:rPr>
              <w:t>-</w:t>
            </w:r>
          </w:p>
        </w:tc>
        <w:tc>
          <w:tcPr>
            <w:tcW w:w="1773" w:type="dxa"/>
            <w:tcBorders>
              <w:top w:val="single" w:sz="18" w:space="0" w:color="auto"/>
              <w:left w:val="nil"/>
              <w:bottom w:val="single" w:sz="4" w:space="0" w:color="auto"/>
              <w:right w:val="nil"/>
            </w:tcBorders>
          </w:tcPr>
          <w:p w14:paraId="00982AB9" w14:textId="02277162" w:rsidR="008177CA" w:rsidRPr="00913C22" w:rsidRDefault="004B6AAC" w:rsidP="008177CA">
            <w:pPr>
              <w:pStyle w:val="TableTextLeftAligned"/>
              <w:spacing w:after="0"/>
              <w:rPr>
                <w:rFonts w:ascii="Helvetica" w:hAnsi="Helvetica"/>
              </w:rPr>
            </w:pPr>
            <w:r>
              <w:rPr>
                <w:rFonts w:ascii="Helvetica" w:hAnsi="Helvetica"/>
              </w:rPr>
              <w:t>-</w:t>
            </w:r>
          </w:p>
        </w:tc>
        <w:tc>
          <w:tcPr>
            <w:tcW w:w="1028" w:type="dxa"/>
            <w:tcBorders>
              <w:top w:val="single" w:sz="18" w:space="0" w:color="auto"/>
              <w:left w:val="nil"/>
              <w:bottom w:val="single" w:sz="4" w:space="0" w:color="auto"/>
              <w:right w:val="nil"/>
            </w:tcBorders>
          </w:tcPr>
          <w:p w14:paraId="68ABB50D" w14:textId="3C7A0B22" w:rsidR="008177CA" w:rsidRPr="00913C22" w:rsidRDefault="004B6AAC" w:rsidP="008177CA">
            <w:pPr>
              <w:pStyle w:val="TableTextLeftAligned"/>
              <w:spacing w:after="0"/>
              <w:rPr>
                <w:rFonts w:ascii="Helvetica" w:hAnsi="Helvetica"/>
              </w:rPr>
            </w:pPr>
            <w:r>
              <w:rPr>
                <w:rFonts w:ascii="Helvetica" w:hAnsi="Helvetica"/>
              </w:rPr>
              <w:t>-</w:t>
            </w:r>
          </w:p>
        </w:tc>
      </w:tr>
      <w:tr w:rsidR="008177CA" w14:paraId="2F7D6D15" w14:textId="77777777" w:rsidTr="001E064C">
        <w:tc>
          <w:tcPr>
            <w:tcW w:w="1607" w:type="dxa"/>
            <w:tcBorders>
              <w:top w:val="single" w:sz="4" w:space="0" w:color="auto"/>
              <w:left w:val="nil"/>
              <w:bottom w:val="single" w:sz="4" w:space="0" w:color="auto"/>
              <w:right w:val="nil"/>
            </w:tcBorders>
            <w:hideMark/>
          </w:tcPr>
          <w:p w14:paraId="218A1B73" w14:textId="639E8913" w:rsidR="008177CA" w:rsidRDefault="008177CA" w:rsidP="008177CA">
            <w:pPr>
              <w:pStyle w:val="TableTextLeftAligned"/>
              <w:spacing w:after="0"/>
              <w:rPr>
                <w:rFonts w:ascii="Helvetica" w:hAnsi="Helvetica"/>
              </w:rPr>
            </w:pPr>
            <w:r w:rsidRPr="001B2741">
              <w:t>RBO pinned</w:t>
            </w:r>
            <w:r w:rsidR="00836F28">
              <w:t xml:space="preserve"> ($80 more)</w:t>
            </w:r>
          </w:p>
        </w:tc>
        <w:tc>
          <w:tcPr>
            <w:tcW w:w="1162" w:type="dxa"/>
            <w:tcBorders>
              <w:top w:val="single" w:sz="4" w:space="0" w:color="auto"/>
              <w:left w:val="nil"/>
              <w:bottom w:val="single" w:sz="4" w:space="0" w:color="auto"/>
              <w:right w:val="nil"/>
            </w:tcBorders>
            <w:hideMark/>
          </w:tcPr>
          <w:p w14:paraId="4A4BCA77" w14:textId="0BE30A79" w:rsidR="008177CA" w:rsidRDefault="008177CA" w:rsidP="008177CA">
            <w:pPr>
              <w:pStyle w:val="TableTextLeftAligned"/>
              <w:spacing w:after="0"/>
              <w:rPr>
                <w:rFonts w:ascii="Helvetica" w:hAnsi="Helvetica"/>
                <w:highlight w:val="yellow"/>
              </w:rPr>
            </w:pPr>
            <w:r w:rsidRPr="00AC02FE">
              <w:t>93.6%</w:t>
            </w:r>
          </w:p>
        </w:tc>
        <w:tc>
          <w:tcPr>
            <w:tcW w:w="1406" w:type="dxa"/>
            <w:tcBorders>
              <w:top w:val="single" w:sz="4" w:space="0" w:color="auto"/>
              <w:left w:val="nil"/>
              <w:bottom w:val="single" w:sz="4" w:space="0" w:color="auto"/>
              <w:right w:val="nil"/>
            </w:tcBorders>
            <w:hideMark/>
          </w:tcPr>
          <w:p w14:paraId="58A32034" w14:textId="72E70B3E" w:rsidR="008177CA" w:rsidRPr="00913C22" w:rsidRDefault="008177CA" w:rsidP="008177CA">
            <w:pPr>
              <w:pStyle w:val="TableTextLeftAligned"/>
              <w:spacing w:after="0"/>
              <w:rPr>
                <w:rFonts w:ascii="Helvetica" w:hAnsi="Helvetica"/>
              </w:rPr>
            </w:pPr>
            <w:r w:rsidRPr="00AC02FE">
              <w:t>0.03</w:t>
            </w:r>
          </w:p>
        </w:tc>
        <w:tc>
          <w:tcPr>
            <w:tcW w:w="1410" w:type="dxa"/>
            <w:tcBorders>
              <w:top w:val="single" w:sz="4" w:space="0" w:color="auto"/>
              <w:left w:val="nil"/>
              <w:bottom w:val="single" w:sz="4" w:space="0" w:color="auto"/>
              <w:right w:val="nil"/>
            </w:tcBorders>
            <w:hideMark/>
          </w:tcPr>
          <w:p w14:paraId="05175717" w14:textId="40095ECC" w:rsidR="008177CA" w:rsidRPr="00913C22" w:rsidRDefault="008177CA" w:rsidP="008177CA">
            <w:pPr>
              <w:pStyle w:val="TableTextLeftAligned"/>
              <w:spacing w:after="0"/>
              <w:rPr>
                <w:rFonts w:ascii="Helvetica" w:hAnsi="Helvetica"/>
              </w:rPr>
            </w:pPr>
            <w:r w:rsidRPr="00AC02FE">
              <w:t>0.02</w:t>
            </w:r>
          </w:p>
        </w:tc>
        <w:tc>
          <w:tcPr>
            <w:tcW w:w="1773" w:type="dxa"/>
            <w:tcBorders>
              <w:top w:val="single" w:sz="4" w:space="0" w:color="auto"/>
              <w:left w:val="nil"/>
              <w:bottom w:val="single" w:sz="4" w:space="0" w:color="auto"/>
              <w:right w:val="nil"/>
            </w:tcBorders>
            <w:hideMark/>
          </w:tcPr>
          <w:p w14:paraId="6B74CBEB" w14:textId="707FAD9C" w:rsidR="008177CA" w:rsidRPr="00913C22" w:rsidRDefault="008177CA" w:rsidP="008177CA">
            <w:pPr>
              <w:pStyle w:val="TableTextLeftAligned"/>
              <w:spacing w:after="0"/>
              <w:rPr>
                <w:rFonts w:ascii="Helvetica" w:hAnsi="Helvetica"/>
              </w:rPr>
            </w:pPr>
            <w:r>
              <w:rPr>
                <w:rFonts w:ascii="Helvetica" w:hAnsi="Helvetica"/>
              </w:rPr>
              <w:t>(0.01 – 0.06</w:t>
            </w:r>
            <w:r w:rsidRPr="00913C22">
              <w:rPr>
                <w:rFonts w:ascii="Helvetica" w:hAnsi="Helvetica"/>
              </w:rPr>
              <w:t>)</w:t>
            </w:r>
          </w:p>
        </w:tc>
        <w:tc>
          <w:tcPr>
            <w:tcW w:w="1028" w:type="dxa"/>
            <w:tcBorders>
              <w:top w:val="single" w:sz="4" w:space="0" w:color="auto"/>
              <w:left w:val="nil"/>
              <w:bottom w:val="single" w:sz="4" w:space="0" w:color="auto"/>
              <w:right w:val="nil"/>
            </w:tcBorders>
            <w:hideMark/>
          </w:tcPr>
          <w:p w14:paraId="7ABFE9E8" w14:textId="0FCF4A5A" w:rsidR="008177CA" w:rsidRPr="00913C22" w:rsidRDefault="008177CA" w:rsidP="008177CA">
            <w:pPr>
              <w:pStyle w:val="TableTextLeftAligned"/>
              <w:spacing w:after="0"/>
              <w:rPr>
                <w:rFonts w:ascii="Helvetica" w:hAnsi="Helvetica"/>
              </w:rPr>
            </w:pPr>
            <w:r>
              <w:rPr>
                <w:rFonts w:ascii="Helvetica" w:hAnsi="Helvetica"/>
              </w:rPr>
              <w:t>0.022</w:t>
            </w:r>
          </w:p>
        </w:tc>
      </w:tr>
    </w:tbl>
    <w:p w14:paraId="02E7A5DC" w14:textId="7ABD0476" w:rsidR="002A01E5" w:rsidRDefault="002A01E5" w:rsidP="002A01E5">
      <w:pPr>
        <w:pStyle w:val="SourceNotesText"/>
      </w:pPr>
      <w:r>
        <w:t>n = 1</w:t>
      </w:r>
      <w:r w:rsidR="000154B4">
        <w:t>,</w:t>
      </w:r>
      <w:r w:rsidR="00124725">
        <w:t>073</w:t>
      </w:r>
    </w:p>
    <w:p w14:paraId="0BD29ECD" w14:textId="77777777" w:rsidR="002A01E5" w:rsidRDefault="002A01E5" w:rsidP="002A01E5">
      <w:pPr>
        <w:pStyle w:val="SourceNotesText"/>
      </w:pPr>
      <w:r>
        <w:t>One tailed test.</w:t>
      </w:r>
    </w:p>
    <w:p w14:paraId="0CF8241C" w14:textId="41289FA5" w:rsidR="00E5721C" w:rsidRDefault="002A01E5" w:rsidP="00257513">
      <w:pPr>
        <w:pStyle w:val="SourceNotesText"/>
        <w:rPr>
          <w:rFonts w:ascii="Helvetica" w:hAnsi="Helvetica"/>
        </w:rPr>
      </w:pPr>
      <w:r>
        <w:rPr>
          <w:rFonts w:ascii="Helvetica" w:hAnsi="Helvetica"/>
        </w:rPr>
        <w:lastRenderedPageBreak/>
        <w:t>Marginal means derived from OLS model with HC2 robust standard error adjusted for switching history, source of sample and these two covariates interacted with treatment.</w:t>
      </w:r>
    </w:p>
    <w:p w14:paraId="4DB13200" w14:textId="11DCA66C" w:rsidR="00DB1638" w:rsidRDefault="000B5831" w:rsidP="008412AC">
      <w:pPr>
        <w:pStyle w:val="Caption"/>
      </w:pPr>
      <w:r>
        <w:t xml:space="preserve">Table </w:t>
      </w:r>
      <w:fldSimple w:instr=" SEQ Table \* ARABIC ">
        <w:r>
          <w:rPr>
            <w:noProof/>
          </w:rPr>
          <w:t>9</w:t>
        </w:r>
      </w:fldSimple>
      <w:r>
        <w:t>.</w:t>
      </w:r>
      <w:r>
        <w:tab/>
      </w:r>
      <w:r w:rsidR="00DB1638" w:rsidRPr="0048426C">
        <w:t>H2: Pinning current retailer’s best offer to the top lead to higher switching overall.</w:t>
      </w:r>
      <w:r w:rsidR="00DB1638">
        <w:t xml:space="preserve"> </w:t>
      </w:r>
      <w:r w:rsidR="00DB1638" w:rsidRPr="0048426C">
        <w:t xml:space="preserve">Retailer’s best offer was not competitive. It was </w:t>
      </w:r>
      <w:r w:rsidR="00DB1638">
        <w:t>$201</w:t>
      </w:r>
      <w:r w:rsidR="00DB1638" w:rsidRPr="0048426C">
        <w:t xml:space="preserve"> more than the cheapest plan.</w:t>
      </w:r>
    </w:p>
    <w:tbl>
      <w:tblPr>
        <w:tblStyle w:val="TableGrid"/>
        <w:tblW w:w="838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607"/>
        <w:gridCol w:w="1162"/>
        <w:gridCol w:w="1406"/>
        <w:gridCol w:w="1410"/>
        <w:gridCol w:w="1773"/>
        <w:gridCol w:w="1028"/>
      </w:tblGrid>
      <w:tr w:rsidR="00DB1638" w14:paraId="0DBDDA8C" w14:textId="77777777" w:rsidTr="00F742EB">
        <w:trPr>
          <w:tblHeader/>
        </w:trPr>
        <w:tc>
          <w:tcPr>
            <w:tcW w:w="1607" w:type="dxa"/>
            <w:tcBorders>
              <w:top w:val="nil"/>
              <w:left w:val="nil"/>
              <w:bottom w:val="single" w:sz="18" w:space="0" w:color="auto"/>
              <w:right w:val="nil"/>
            </w:tcBorders>
            <w:shd w:val="clear" w:color="auto" w:fill="ABDBF6" w:themeFill="accent1"/>
            <w:vAlign w:val="bottom"/>
            <w:hideMark/>
          </w:tcPr>
          <w:p w14:paraId="21D7FD19" w14:textId="77777777" w:rsidR="00DB1638" w:rsidRDefault="00DB1638" w:rsidP="00F742EB">
            <w:pPr>
              <w:rPr>
                <w:rFonts w:ascii="Helvetica" w:hAnsi="Helvetica"/>
                <w:b/>
                <w:szCs w:val="20"/>
              </w:rPr>
            </w:pPr>
            <w:r>
              <w:rPr>
                <w:rFonts w:ascii="Helvetica" w:hAnsi="Helvetica"/>
                <w:b/>
                <w:szCs w:val="20"/>
              </w:rPr>
              <w:t>Condition</w:t>
            </w:r>
          </w:p>
        </w:tc>
        <w:tc>
          <w:tcPr>
            <w:tcW w:w="1162" w:type="dxa"/>
            <w:tcBorders>
              <w:top w:val="nil"/>
              <w:left w:val="nil"/>
              <w:bottom w:val="single" w:sz="18" w:space="0" w:color="auto"/>
              <w:right w:val="nil"/>
            </w:tcBorders>
            <w:shd w:val="clear" w:color="auto" w:fill="ABDBF6" w:themeFill="accent1"/>
            <w:vAlign w:val="bottom"/>
            <w:hideMark/>
          </w:tcPr>
          <w:p w14:paraId="76156C6A" w14:textId="77777777" w:rsidR="00DB1638" w:rsidRDefault="00DB1638" w:rsidP="00F742EB">
            <w:pPr>
              <w:rPr>
                <w:rFonts w:ascii="Helvetica" w:hAnsi="Helvetica"/>
                <w:b/>
                <w:szCs w:val="20"/>
              </w:rPr>
            </w:pPr>
            <w:r>
              <w:rPr>
                <w:rFonts w:ascii="Helvetica" w:hAnsi="Helvetica"/>
                <w:b/>
                <w:szCs w:val="20"/>
              </w:rPr>
              <w:t xml:space="preserve">Mean % choosing to switch </w:t>
            </w:r>
          </w:p>
        </w:tc>
        <w:tc>
          <w:tcPr>
            <w:tcW w:w="1406" w:type="dxa"/>
            <w:tcBorders>
              <w:top w:val="nil"/>
              <w:left w:val="nil"/>
              <w:bottom w:val="single" w:sz="18" w:space="0" w:color="auto"/>
              <w:right w:val="nil"/>
            </w:tcBorders>
            <w:shd w:val="clear" w:color="auto" w:fill="ABDBF6" w:themeFill="accent1"/>
            <w:vAlign w:val="bottom"/>
            <w:hideMark/>
          </w:tcPr>
          <w:p w14:paraId="2EED1186" w14:textId="77777777" w:rsidR="00DB1638" w:rsidRDefault="00DB1638" w:rsidP="00F742EB">
            <w:pPr>
              <w:rPr>
                <w:rFonts w:ascii="Helvetica" w:hAnsi="Helvetica"/>
                <w:b/>
                <w:szCs w:val="20"/>
              </w:rPr>
            </w:pPr>
            <w:r>
              <w:rPr>
                <w:rFonts w:ascii="Helvetica" w:hAnsi="Helvetica"/>
                <w:b/>
                <w:szCs w:val="20"/>
              </w:rPr>
              <w:t>Estimate</w:t>
            </w:r>
          </w:p>
        </w:tc>
        <w:tc>
          <w:tcPr>
            <w:tcW w:w="1410" w:type="dxa"/>
            <w:tcBorders>
              <w:top w:val="nil"/>
              <w:left w:val="nil"/>
              <w:bottom w:val="single" w:sz="18" w:space="0" w:color="auto"/>
              <w:right w:val="nil"/>
            </w:tcBorders>
            <w:shd w:val="clear" w:color="auto" w:fill="ABDBF6" w:themeFill="accent1"/>
            <w:vAlign w:val="bottom"/>
            <w:hideMark/>
          </w:tcPr>
          <w:p w14:paraId="57C614A0" w14:textId="77777777" w:rsidR="00DB1638" w:rsidRDefault="00DB1638" w:rsidP="00F742EB">
            <w:pPr>
              <w:rPr>
                <w:rFonts w:ascii="Helvetica" w:hAnsi="Helvetica"/>
                <w:b/>
                <w:szCs w:val="20"/>
              </w:rPr>
            </w:pPr>
            <w:r>
              <w:rPr>
                <w:rFonts w:ascii="Helvetica" w:hAnsi="Helvetica"/>
                <w:b/>
                <w:szCs w:val="20"/>
              </w:rPr>
              <w:t>Standard error</w:t>
            </w:r>
          </w:p>
        </w:tc>
        <w:tc>
          <w:tcPr>
            <w:tcW w:w="1773" w:type="dxa"/>
            <w:tcBorders>
              <w:top w:val="nil"/>
              <w:left w:val="nil"/>
              <w:bottom w:val="single" w:sz="18" w:space="0" w:color="auto"/>
              <w:right w:val="nil"/>
            </w:tcBorders>
            <w:shd w:val="clear" w:color="auto" w:fill="ABDBF6" w:themeFill="accent1"/>
            <w:vAlign w:val="bottom"/>
            <w:hideMark/>
          </w:tcPr>
          <w:p w14:paraId="65121AE2" w14:textId="77777777" w:rsidR="00DB1638" w:rsidRDefault="00DB1638" w:rsidP="00F742EB">
            <w:pPr>
              <w:rPr>
                <w:rFonts w:ascii="Helvetica" w:hAnsi="Helvetica"/>
                <w:b/>
                <w:szCs w:val="20"/>
              </w:rPr>
            </w:pPr>
            <w:r>
              <w:rPr>
                <w:rFonts w:ascii="Helvetica" w:hAnsi="Helvetica"/>
                <w:b/>
                <w:szCs w:val="20"/>
              </w:rPr>
              <w:t>95% Confidence Interval</w:t>
            </w:r>
          </w:p>
        </w:tc>
        <w:tc>
          <w:tcPr>
            <w:tcW w:w="1028" w:type="dxa"/>
            <w:tcBorders>
              <w:top w:val="nil"/>
              <w:left w:val="nil"/>
              <w:bottom w:val="single" w:sz="18" w:space="0" w:color="auto"/>
              <w:right w:val="nil"/>
            </w:tcBorders>
            <w:shd w:val="clear" w:color="auto" w:fill="ABDBF6" w:themeFill="accent1"/>
            <w:vAlign w:val="bottom"/>
            <w:hideMark/>
          </w:tcPr>
          <w:p w14:paraId="029E4B5D" w14:textId="77777777" w:rsidR="00DB1638" w:rsidRDefault="00DB1638" w:rsidP="00F742EB">
            <w:pPr>
              <w:rPr>
                <w:rFonts w:ascii="Helvetica" w:hAnsi="Helvetica"/>
                <w:b/>
                <w:szCs w:val="20"/>
              </w:rPr>
            </w:pPr>
            <w:r>
              <w:rPr>
                <w:rFonts w:ascii="Helvetica" w:hAnsi="Helvetica"/>
                <w:b/>
                <w:i/>
                <w:szCs w:val="20"/>
              </w:rPr>
              <w:t>p-</w:t>
            </w:r>
            <w:r>
              <w:rPr>
                <w:rFonts w:ascii="Helvetica" w:hAnsi="Helvetica"/>
                <w:b/>
                <w:szCs w:val="20"/>
              </w:rPr>
              <w:t>value</w:t>
            </w:r>
          </w:p>
        </w:tc>
      </w:tr>
      <w:tr w:rsidR="00DB1638" w14:paraId="0F2A131A" w14:textId="77777777" w:rsidTr="00F742EB">
        <w:tc>
          <w:tcPr>
            <w:tcW w:w="1607" w:type="dxa"/>
            <w:tcBorders>
              <w:top w:val="single" w:sz="18" w:space="0" w:color="auto"/>
              <w:left w:val="nil"/>
              <w:bottom w:val="single" w:sz="4" w:space="0" w:color="auto"/>
              <w:right w:val="nil"/>
            </w:tcBorders>
            <w:hideMark/>
          </w:tcPr>
          <w:p w14:paraId="4775E356" w14:textId="77777777" w:rsidR="00DB1638" w:rsidRDefault="00DB1638" w:rsidP="00F742EB">
            <w:pPr>
              <w:pStyle w:val="TableTextLeftAligned"/>
              <w:spacing w:after="0"/>
              <w:rPr>
                <w:rFonts w:ascii="Helvetica" w:hAnsi="Helvetica"/>
              </w:rPr>
            </w:pPr>
            <w:r>
              <w:rPr>
                <w:rFonts w:ascii="Helvetica" w:hAnsi="Helvetica"/>
              </w:rPr>
              <w:t>Control</w:t>
            </w:r>
          </w:p>
        </w:tc>
        <w:tc>
          <w:tcPr>
            <w:tcW w:w="1162" w:type="dxa"/>
            <w:tcBorders>
              <w:top w:val="single" w:sz="18" w:space="0" w:color="auto"/>
              <w:left w:val="nil"/>
              <w:bottom w:val="single" w:sz="4" w:space="0" w:color="auto"/>
              <w:right w:val="nil"/>
            </w:tcBorders>
            <w:hideMark/>
          </w:tcPr>
          <w:p w14:paraId="109F26BF" w14:textId="77777777" w:rsidR="00DB1638" w:rsidRDefault="00DB1638" w:rsidP="00F742EB">
            <w:pPr>
              <w:pStyle w:val="TableTextLeftAligned"/>
              <w:spacing w:after="0"/>
              <w:rPr>
                <w:rFonts w:ascii="Helvetica" w:hAnsi="Helvetica"/>
                <w:highlight w:val="yellow"/>
              </w:rPr>
            </w:pPr>
            <w:r w:rsidRPr="009F32B9">
              <w:t>87.7%</w:t>
            </w:r>
          </w:p>
        </w:tc>
        <w:tc>
          <w:tcPr>
            <w:tcW w:w="1406" w:type="dxa"/>
            <w:tcBorders>
              <w:top w:val="single" w:sz="18" w:space="0" w:color="auto"/>
              <w:left w:val="nil"/>
              <w:bottom w:val="single" w:sz="4" w:space="0" w:color="auto"/>
              <w:right w:val="nil"/>
            </w:tcBorders>
          </w:tcPr>
          <w:p w14:paraId="449E3252" w14:textId="77777777" w:rsidR="00DB1638" w:rsidRPr="00913C22" w:rsidRDefault="00DB1638" w:rsidP="00F742EB">
            <w:pPr>
              <w:pStyle w:val="TableTextLeftAligned"/>
              <w:spacing w:after="0"/>
              <w:rPr>
                <w:rFonts w:ascii="Helvetica" w:hAnsi="Helvetica"/>
              </w:rPr>
            </w:pPr>
            <w:r>
              <w:rPr>
                <w:rFonts w:ascii="Helvetica" w:hAnsi="Helvetica"/>
              </w:rPr>
              <w:t>-</w:t>
            </w:r>
          </w:p>
        </w:tc>
        <w:tc>
          <w:tcPr>
            <w:tcW w:w="1410" w:type="dxa"/>
            <w:tcBorders>
              <w:top w:val="single" w:sz="18" w:space="0" w:color="auto"/>
              <w:left w:val="nil"/>
              <w:bottom w:val="single" w:sz="4" w:space="0" w:color="auto"/>
              <w:right w:val="nil"/>
            </w:tcBorders>
          </w:tcPr>
          <w:p w14:paraId="03FD51D4" w14:textId="77777777" w:rsidR="00DB1638" w:rsidRPr="00913C22" w:rsidRDefault="00DB1638" w:rsidP="00F742EB">
            <w:pPr>
              <w:pStyle w:val="TableTextLeftAligned"/>
              <w:spacing w:after="0"/>
              <w:rPr>
                <w:rFonts w:ascii="Helvetica" w:hAnsi="Helvetica"/>
              </w:rPr>
            </w:pPr>
            <w:r>
              <w:rPr>
                <w:rFonts w:ascii="Helvetica" w:hAnsi="Helvetica"/>
              </w:rPr>
              <w:t>-</w:t>
            </w:r>
          </w:p>
        </w:tc>
        <w:tc>
          <w:tcPr>
            <w:tcW w:w="1773" w:type="dxa"/>
            <w:tcBorders>
              <w:top w:val="single" w:sz="18" w:space="0" w:color="auto"/>
              <w:left w:val="nil"/>
              <w:bottom w:val="single" w:sz="4" w:space="0" w:color="auto"/>
              <w:right w:val="nil"/>
            </w:tcBorders>
          </w:tcPr>
          <w:p w14:paraId="2838E3EB" w14:textId="77777777" w:rsidR="00DB1638" w:rsidRPr="00913C22" w:rsidRDefault="00DB1638" w:rsidP="00F742EB">
            <w:pPr>
              <w:pStyle w:val="TableTextLeftAligned"/>
              <w:spacing w:after="0"/>
              <w:rPr>
                <w:rFonts w:ascii="Helvetica" w:hAnsi="Helvetica"/>
              </w:rPr>
            </w:pPr>
            <w:r>
              <w:rPr>
                <w:rFonts w:ascii="Helvetica" w:hAnsi="Helvetica"/>
              </w:rPr>
              <w:t>-</w:t>
            </w:r>
          </w:p>
        </w:tc>
        <w:tc>
          <w:tcPr>
            <w:tcW w:w="1028" w:type="dxa"/>
            <w:tcBorders>
              <w:top w:val="single" w:sz="18" w:space="0" w:color="auto"/>
              <w:left w:val="nil"/>
              <w:bottom w:val="single" w:sz="4" w:space="0" w:color="auto"/>
              <w:right w:val="nil"/>
            </w:tcBorders>
          </w:tcPr>
          <w:p w14:paraId="298C872A" w14:textId="77777777" w:rsidR="00DB1638" w:rsidRPr="00913C22" w:rsidRDefault="00DB1638" w:rsidP="00F742EB">
            <w:pPr>
              <w:pStyle w:val="TableTextLeftAligned"/>
              <w:spacing w:after="0"/>
              <w:rPr>
                <w:rFonts w:ascii="Helvetica" w:hAnsi="Helvetica"/>
              </w:rPr>
            </w:pPr>
            <w:r>
              <w:rPr>
                <w:rFonts w:ascii="Helvetica" w:hAnsi="Helvetica"/>
              </w:rPr>
              <w:t>-</w:t>
            </w:r>
          </w:p>
        </w:tc>
      </w:tr>
      <w:tr w:rsidR="00DB1638" w14:paraId="320B6D5E" w14:textId="77777777" w:rsidTr="00F742EB">
        <w:tc>
          <w:tcPr>
            <w:tcW w:w="1607" w:type="dxa"/>
            <w:tcBorders>
              <w:top w:val="single" w:sz="4" w:space="0" w:color="auto"/>
              <w:left w:val="nil"/>
              <w:bottom w:val="single" w:sz="4" w:space="0" w:color="auto"/>
              <w:right w:val="nil"/>
            </w:tcBorders>
            <w:hideMark/>
          </w:tcPr>
          <w:p w14:paraId="5C2B92CD" w14:textId="77777777" w:rsidR="00DB1638" w:rsidRDefault="00DB1638" w:rsidP="00F742EB">
            <w:pPr>
              <w:pStyle w:val="TableTextLeftAligned"/>
              <w:spacing w:after="0"/>
              <w:rPr>
                <w:rFonts w:ascii="Helvetica" w:hAnsi="Helvetica"/>
              </w:rPr>
            </w:pPr>
            <w:r w:rsidRPr="001B2741">
              <w:t>RBO pinned</w:t>
            </w:r>
            <w:r>
              <w:t xml:space="preserve"> ($201 more)</w:t>
            </w:r>
          </w:p>
        </w:tc>
        <w:tc>
          <w:tcPr>
            <w:tcW w:w="1162" w:type="dxa"/>
            <w:tcBorders>
              <w:top w:val="single" w:sz="4" w:space="0" w:color="auto"/>
              <w:left w:val="nil"/>
              <w:bottom w:val="single" w:sz="4" w:space="0" w:color="auto"/>
              <w:right w:val="nil"/>
            </w:tcBorders>
            <w:hideMark/>
          </w:tcPr>
          <w:p w14:paraId="0EABB1D2" w14:textId="77777777" w:rsidR="00DB1638" w:rsidRDefault="00DB1638" w:rsidP="00F742EB">
            <w:pPr>
              <w:pStyle w:val="TableTextLeftAligned"/>
              <w:spacing w:after="0"/>
              <w:rPr>
                <w:rFonts w:ascii="Helvetica" w:hAnsi="Helvetica"/>
                <w:highlight w:val="yellow"/>
              </w:rPr>
            </w:pPr>
            <w:r w:rsidRPr="009F32B9">
              <w:t>96.9%</w:t>
            </w:r>
          </w:p>
        </w:tc>
        <w:tc>
          <w:tcPr>
            <w:tcW w:w="1406" w:type="dxa"/>
            <w:tcBorders>
              <w:top w:val="single" w:sz="4" w:space="0" w:color="auto"/>
              <w:left w:val="nil"/>
              <w:bottom w:val="single" w:sz="4" w:space="0" w:color="auto"/>
              <w:right w:val="nil"/>
            </w:tcBorders>
            <w:hideMark/>
          </w:tcPr>
          <w:p w14:paraId="6BD1759E" w14:textId="77777777" w:rsidR="00DB1638" w:rsidRPr="00913C22" w:rsidRDefault="00DB1638" w:rsidP="00F742EB">
            <w:pPr>
              <w:pStyle w:val="TableTextLeftAligned"/>
              <w:spacing w:after="0"/>
              <w:rPr>
                <w:rFonts w:ascii="Helvetica" w:hAnsi="Helvetica"/>
              </w:rPr>
            </w:pPr>
            <w:r w:rsidRPr="009F32B9">
              <w:t>0.09</w:t>
            </w:r>
          </w:p>
        </w:tc>
        <w:tc>
          <w:tcPr>
            <w:tcW w:w="1410" w:type="dxa"/>
            <w:tcBorders>
              <w:top w:val="single" w:sz="4" w:space="0" w:color="auto"/>
              <w:left w:val="nil"/>
              <w:bottom w:val="single" w:sz="4" w:space="0" w:color="auto"/>
              <w:right w:val="nil"/>
            </w:tcBorders>
            <w:hideMark/>
          </w:tcPr>
          <w:p w14:paraId="5D9A0E4E" w14:textId="77777777" w:rsidR="00DB1638" w:rsidRPr="00913C22" w:rsidRDefault="00DB1638" w:rsidP="00F742EB">
            <w:pPr>
              <w:pStyle w:val="TableTextLeftAligned"/>
              <w:spacing w:after="0"/>
              <w:rPr>
                <w:rFonts w:ascii="Helvetica" w:hAnsi="Helvetica"/>
              </w:rPr>
            </w:pPr>
            <w:r w:rsidRPr="009F32B9">
              <w:t>0.02</w:t>
            </w:r>
          </w:p>
        </w:tc>
        <w:tc>
          <w:tcPr>
            <w:tcW w:w="1773" w:type="dxa"/>
            <w:tcBorders>
              <w:top w:val="single" w:sz="4" w:space="0" w:color="auto"/>
              <w:left w:val="nil"/>
              <w:bottom w:val="single" w:sz="4" w:space="0" w:color="auto"/>
              <w:right w:val="nil"/>
            </w:tcBorders>
            <w:hideMark/>
          </w:tcPr>
          <w:p w14:paraId="7A23B35A" w14:textId="77777777" w:rsidR="00DB1638" w:rsidRPr="00913C22" w:rsidRDefault="00DB1638" w:rsidP="00F742EB">
            <w:pPr>
              <w:pStyle w:val="TableTextLeftAligned"/>
              <w:spacing w:after="0"/>
              <w:rPr>
                <w:rFonts w:ascii="Helvetica" w:hAnsi="Helvetica"/>
              </w:rPr>
            </w:pPr>
            <w:r>
              <w:rPr>
                <w:rFonts w:ascii="Helvetica" w:hAnsi="Helvetica"/>
              </w:rPr>
              <w:t>(0.06 – 0.12</w:t>
            </w:r>
            <w:r w:rsidRPr="00913C22">
              <w:rPr>
                <w:rFonts w:ascii="Helvetica" w:hAnsi="Helvetica"/>
              </w:rPr>
              <w:t>)</w:t>
            </w:r>
          </w:p>
        </w:tc>
        <w:tc>
          <w:tcPr>
            <w:tcW w:w="1028" w:type="dxa"/>
            <w:tcBorders>
              <w:top w:val="single" w:sz="4" w:space="0" w:color="auto"/>
              <w:left w:val="nil"/>
              <w:bottom w:val="single" w:sz="4" w:space="0" w:color="auto"/>
              <w:right w:val="nil"/>
            </w:tcBorders>
            <w:hideMark/>
          </w:tcPr>
          <w:p w14:paraId="46A48EE9" w14:textId="77777777" w:rsidR="00DB1638" w:rsidRPr="00913C22" w:rsidRDefault="00DB1638" w:rsidP="00F742EB">
            <w:pPr>
              <w:pStyle w:val="TableTextLeftAligned"/>
              <w:spacing w:after="0"/>
              <w:rPr>
                <w:rFonts w:ascii="Helvetica" w:hAnsi="Helvetica"/>
              </w:rPr>
            </w:pPr>
            <w:r>
              <w:rPr>
                <w:rFonts w:ascii="Helvetica" w:hAnsi="Helvetica"/>
              </w:rPr>
              <w:t>0.000</w:t>
            </w:r>
          </w:p>
        </w:tc>
      </w:tr>
    </w:tbl>
    <w:p w14:paraId="7B6F7820" w14:textId="77777777" w:rsidR="00DB1638" w:rsidRDefault="00DB1638" w:rsidP="00DB1638">
      <w:pPr>
        <w:pStyle w:val="SourceNotesText"/>
      </w:pPr>
      <w:r>
        <w:t>n = 1,063</w:t>
      </w:r>
    </w:p>
    <w:p w14:paraId="7E6060AD" w14:textId="77777777" w:rsidR="00DB1638" w:rsidRDefault="00DB1638" w:rsidP="00DB1638">
      <w:pPr>
        <w:pStyle w:val="SourceNotesText"/>
      </w:pPr>
      <w:r>
        <w:t>One tailed test.</w:t>
      </w:r>
    </w:p>
    <w:p w14:paraId="5269D331" w14:textId="77777777" w:rsidR="00DB1638" w:rsidRDefault="00DB1638" w:rsidP="00DB1638">
      <w:pPr>
        <w:pStyle w:val="SourceNotesText"/>
      </w:pPr>
      <w:r>
        <w:rPr>
          <w:rFonts w:ascii="Helvetica" w:hAnsi="Helvetica"/>
        </w:rPr>
        <w:t>Marginal means derived from OLS model with HC2 robust standard error adjusted for switching history, source of sample and these two covariates interacted with treatment.</w:t>
      </w:r>
    </w:p>
    <w:p w14:paraId="4E81586E" w14:textId="77777777" w:rsidR="00DB1638" w:rsidRDefault="00DB1638" w:rsidP="00257513">
      <w:pPr>
        <w:pStyle w:val="SourceNotesText"/>
      </w:pPr>
    </w:p>
    <w:p w14:paraId="752E519A" w14:textId="1C862B10" w:rsidR="00257513" w:rsidRDefault="00257513" w:rsidP="000F7FD9">
      <w:pPr>
        <w:pStyle w:val="Caption"/>
        <w:keepNext/>
        <w:outlineLvl w:val="3"/>
      </w:pPr>
      <w:r>
        <w:t xml:space="preserve">Table </w:t>
      </w:r>
      <w:fldSimple w:instr=" SEQ Table \* ARABIC ">
        <w:r w:rsidR="000B5831">
          <w:rPr>
            <w:noProof/>
          </w:rPr>
          <w:t>10</w:t>
        </w:r>
      </w:fldSimple>
      <w:r>
        <w:t>.</w:t>
      </w:r>
      <w:r>
        <w:tab/>
      </w:r>
      <w:r w:rsidRPr="00EE52A0">
        <w:t>H1: Pinning current retailer’s best offer to the top lead to higher switching to the retailer’s best offer. Retailer’s best offer was competitive, only $80 more than the cheapest plan.</w:t>
      </w:r>
    </w:p>
    <w:tbl>
      <w:tblPr>
        <w:tblStyle w:val="TableGrid"/>
        <w:tblW w:w="838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607"/>
        <w:gridCol w:w="1162"/>
        <w:gridCol w:w="1406"/>
        <w:gridCol w:w="1410"/>
        <w:gridCol w:w="1773"/>
        <w:gridCol w:w="1028"/>
      </w:tblGrid>
      <w:tr w:rsidR="002A01E5" w14:paraId="424F86FD" w14:textId="77777777" w:rsidTr="001E064C">
        <w:trPr>
          <w:tblHeader/>
        </w:trPr>
        <w:tc>
          <w:tcPr>
            <w:tcW w:w="1607" w:type="dxa"/>
            <w:tcBorders>
              <w:top w:val="nil"/>
              <w:left w:val="nil"/>
              <w:bottom w:val="single" w:sz="18" w:space="0" w:color="auto"/>
              <w:right w:val="nil"/>
            </w:tcBorders>
            <w:shd w:val="clear" w:color="auto" w:fill="ABDBF6" w:themeFill="accent1"/>
            <w:vAlign w:val="bottom"/>
            <w:hideMark/>
          </w:tcPr>
          <w:p w14:paraId="54E5CDDF" w14:textId="77777777" w:rsidR="002A01E5" w:rsidRDefault="002A01E5" w:rsidP="001E064C">
            <w:pPr>
              <w:rPr>
                <w:rFonts w:ascii="Helvetica" w:hAnsi="Helvetica"/>
                <w:b/>
                <w:szCs w:val="20"/>
              </w:rPr>
            </w:pPr>
            <w:r>
              <w:rPr>
                <w:rFonts w:ascii="Helvetica" w:hAnsi="Helvetica"/>
                <w:b/>
                <w:szCs w:val="20"/>
              </w:rPr>
              <w:t>Condition</w:t>
            </w:r>
          </w:p>
        </w:tc>
        <w:tc>
          <w:tcPr>
            <w:tcW w:w="1162" w:type="dxa"/>
            <w:tcBorders>
              <w:top w:val="nil"/>
              <w:left w:val="nil"/>
              <w:bottom w:val="single" w:sz="18" w:space="0" w:color="auto"/>
              <w:right w:val="nil"/>
            </w:tcBorders>
            <w:shd w:val="clear" w:color="auto" w:fill="ABDBF6" w:themeFill="accent1"/>
            <w:vAlign w:val="bottom"/>
            <w:hideMark/>
          </w:tcPr>
          <w:p w14:paraId="0F17C0ED" w14:textId="63EFEA01" w:rsidR="002A01E5" w:rsidRDefault="002A01E5" w:rsidP="001E064C">
            <w:pPr>
              <w:rPr>
                <w:rFonts w:ascii="Helvetica" w:hAnsi="Helvetica"/>
                <w:b/>
                <w:szCs w:val="20"/>
              </w:rPr>
            </w:pPr>
            <w:r>
              <w:rPr>
                <w:rFonts w:ascii="Helvetica" w:hAnsi="Helvetica"/>
                <w:b/>
                <w:szCs w:val="20"/>
              </w:rPr>
              <w:t>Me</w:t>
            </w:r>
            <w:r w:rsidR="000F6385">
              <w:rPr>
                <w:rFonts w:ascii="Helvetica" w:hAnsi="Helvetica"/>
                <w:b/>
                <w:szCs w:val="20"/>
              </w:rPr>
              <w:t>an %</w:t>
            </w:r>
            <w:r w:rsidR="00836F28">
              <w:rPr>
                <w:rFonts w:ascii="Helvetica" w:hAnsi="Helvetica"/>
                <w:b/>
                <w:szCs w:val="20"/>
              </w:rPr>
              <w:t xml:space="preserve"> choosing retailer’s best offer</w:t>
            </w:r>
            <w:r>
              <w:rPr>
                <w:rFonts w:ascii="Helvetica" w:hAnsi="Helvetica"/>
                <w:b/>
                <w:szCs w:val="20"/>
              </w:rPr>
              <w:t xml:space="preserve"> </w:t>
            </w:r>
          </w:p>
        </w:tc>
        <w:tc>
          <w:tcPr>
            <w:tcW w:w="1406" w:type="dxa"/>
            <w:tcBorders>
              <w:top w:val="nil"/>
              <w:left w:val="nil"/>
              <w:bottom w:val="single" w:sz="18" w:space="0" w:color="auto"/>
              <w:right w:val="nil"/>
            </w:tcBorders>
            <w:shd w:val="clear" w:color="auto" w:fill="ABDBF6" w:themeFill="accent1"/>
            <w:vAlign w:val="bottom"/>
            <w:hideMark/>
          </w:tcPr>
          <w:p w14:paraId="1D510091" w14:textId="77777777" w:rsidR="002A01E5" w:rsidRDefault="002A01E5" w:rsidP="001E064C">
            <w:pPr>
              <w:rPr>
                <w:rFonts w:ascii="Helvetica" w:hAnsi="Helvetica"/>
                <w:b/>
                <w:szCs w:val="20"/>
              </w:rPr>
            </w:pPr>
            <w:r>
              <w:rPr>
                <w:rFonts w:ascii="Helvetica" w:hAnsi="Helvetica"/>
                <w:b/>
                <w:szCs w:val="20"/>
              </w:rPr>
              <w:t>Estimate</w:t>
            </w:r>
          </w:p>
        </w:tc>
        <w:tc>
          <w:tcPr>
            <w:tcW w:w="1410" w:type="dxa"/>
            <w:tcBorders>
              <w:top w:val="nil"/>
              <w:left w:val="nil"/>
              <w:bottom w:val="single" w:sz="18" w:space="0" w:color="auto"/>
              <w:right w:val="nil"/>
            </w:tcBorders>
            <w:shd w:val="clear" w:color="auto" w:fill="ABDBF6" w:themeFill="accent1"/>
            <w:vAlign w:val="bottom"/>
            <w:hideMark/>
          </w:tcPr>
          <w:p w14:paraId="478F848E" w14:textId="77777777" w:rsidR="002A01E5" w:rsidRDefault="002A01E5" w:rsidP="001E064C">
            <w:pPr>
              <w:rPr>
                <w:rFonts w:ascii="Helvetica" w:hAnsi="Helvetica"/>
                <w:b/>
                <w:szCs w:val="20"/>
              </w:rPr>
            </w:pPr>
            <w:r>
              <w:rPr>
                <w:rFonts w:ascii="Helvetica" w:hAnsi="Helvetica"/>
                <w:b/>
                <w:szCs w:val="20"/>
              </w:rPr>
              <w:t>Standard error</w:t>
            </w:r>
          </w:p>
        </w:tc>
        <w:tc>
          <w:tcPr>
            <w:tcW w:w="1773" w:type="dxa"/>
            <w:tcBorders>
              <w:top w:val="nil"/>
              <w:left w:val="nil"/>
              <w:bottom w:val="single" w:sz="18" w:space="0" w:color="auto"/>
              <w:right w:val="nil"/>
            </w:tcBorders>
            <w:shd w:val="clear" w:color="auto" w:fill="ABDBF6" w:themeFill="accent1"/>
            <w:vAlign w:val="bottom"/>
            <w:hideMark/>
          </w:tcPr>
          <w:p w14:paraId="67DD192B" w14:textId="77777777" w:rsidR="002A01E5" w:rsidRDefault="002A01E5" w:rsidP="001E064C">
            <w:pPr>
              <w:rPr>
                <w:rFonts w:ascii="Helvetica" w:hAnsi="Helvetica"/>
                <w:b/>
                <w:szCs w:val="20"/>
              </w:rPr>
            </w:pPr>
            <w:r>
              <w:rPr>
                <w:rFonts w:ascii="Helvetica" w:hAnsi="Helvetica"/>
                <w:b/>
                <w:szCs w:val="20"/>
              </w:rPr>
              <w:t>95% Confidence Interval</w:t>
            </w:r>
          </w:p>
        </w:tc>
        <w:tc>
          <w:tcPr>
            <w:tcW w:w="1028" w:type="dxa"/>
            <w:tcBorders>
              <w:top w:val="nil"/>
              <w:left w:val="nil"/>
              <w:bottom w:val="single" w:sz="18" w:space="0" w:color="auto"/>
              <w:right w:val="nil"/>
            </w:tcBorders>
            <w:shd w:val="clear" w:color="auto" w:fill="ABDBF6" w:themeFill="accent1"/>
            <w:vAlign w:val="bottom"/>
            <w:hideMark/>
          </w:tcPr>
          <w:p w14:paraId="281B81CE" w14:textId="77777777" w:rsidR="002A01E5" w:rsidRDefault="002A01E5" w:rsidP="001E064C">
            <w:pPr>
              <w:rPr>
                <w:rFonts w:ascii="Helvetica" w:hAnsi="Helvetica"/>
                <w:b/>
                <w:szCs w:val="20"/>
              </w:rPr>
            </w:pPr>
            <w:r>
              <w:rPr>
                <w:rFonts w:ascii="Helvetica" w:hAnsi="Helvetica"/>
                <w:b/>
                <w:i/>
                <w:szCs w:val="20"/>
              </w:rPr>
              <w:t>p-</w:t>
            </w:r>
            <w:r>
              <w:rPr>
                <w:rFonts w:ascii="Helvetica" w:hAnsi="Helvetica"/>
                <w:b/>
                <w:szCs w:val="20"/>
              </w:rPr>
              <w:t>value</w:t>
            </w:r>
          </w:p>
        </w:tc>
      </w:tr>
      <w:tr w:rsidR="008177CA" w14:paraId="73CB29E8" w14:textId="77777777" w:rsidTr="001E064C">
        <w:tc>
          <w:tcPr>
            <w:tcW w:w="1607" w:type="dxa"/>
            <w:tcBorders>
              <w:top w:val="single" w:sz="18" w:space="0" w:color="auto"/>
              <w:left w:val="nil"/>
              <w:bottom w:val="single" w:sz="4" w:space="0" w:color="auto"/>
              <w:right w:val="nil"/>
            </w:tcBorders>
            <w:hideMark/>
          </w:tcPr>
          <w:p w14:paraId="7FFA78DD" w14:textId="77777777" w:rsidR="008177CA" w:rsidRDefault="008177CA" w:rsidP="008177CA">
            <w:pPr>
              <w:pStyle w:val="TableTextLeftAligned"/>
              <w:spacing w:after="0"/>
              <w:rPr>
                <w:rFonts w:ascii="Helvetica" w:hAnsi="Helvetica"/>
              </w:rPr>
            </w:pPr>
            <w:r>
              <w:rPr>
                <w:rFonts w:ascii="Helvetica" w:hAnsi="Helvetica"/>
              </w:rPr>
              <w:t>Control</w:t>
            </w:r>
          </w:p>
        </w:tc>
        <w:tc>
          <w:tcPr>
            <w:tcW w:w="1162" w:type="dxa"/>
            <w:tcBorders>
              <w:top w:val="single" w:sz="18" w:space="0" w:color="auto"/>
              <w:left w:val="nil"/>
              <w:bottom w:val="single" w:sz="4" w:space="0" w:color="auto"/>
              <w:right w:val="nil"/>
            </w:tcBorders>
            <w:vAlign w:val="bottom"/>
            <w:hideMark/>
          </w:tcPr>
          <w:p w14:paraId="46FBB823" w14:textId="6E395713" w:rsidR="008177CA" w:rsidRPr="008177CA" w:rsidRDefault="008177CA" w:rsidP="008177CA">
            <w:pPr>
              <w:pStyle w:val="TableTextLeftAligned"/>
              <w:spacing w:after="0"/>
              <w:rPr>
                <w:rFonts w:ascii="Helvetica" w:hAnsi="Helvetica"/>
              </w:rPr>
            </w:pPr>
            <w:r w:rsidRPr="008177CA">
              <w:rPr>
                <w:rFonts w:ascii="Helvetica" w:hAnsi="Helvetica"/>
              </w:rPr>
              <w:t>5.5%</w:t>
            </w:r>
          </w:p>
        </w:tc>
        <w:tc>
          <w:tcPr>
            <w:tcW w:w="1406" w:type="dxa"/>
            <w:tcBorders>
              <w:top w:val="single" w:sz="18" w:space="0" w:color="auto"/>
              <w:left w:val="nil"/>
              <w:bottom w:val="single" w:sz="4" w:space="0" w:color="auto"/>
              <w:right w:val="nil"/>
            </w:tcBorders>
            <w:vAlign w:val="bottom"/>
          </w:tcPr>
          <w:p w14:paraId="41D3E850" w14:textId="4EE8F7EB" w:rsidR="008177CA" w:rsidRPr="00913C22" w:rsidRDefault="004B6AAC" w:rsidP="008177CA">
            <w:pPr>
              <w:pStyle w:val="TableTextLeftAligned"/>
              <w:spacing w:after="0"/>
              <w:rPr>
                <w:rFonts w:ascii="Helvetica" w:hAnsi="Helvetica"/>
              </w:rPr>
            </w:pPr>
            <w:r>
              <w:rPr>
                <w:rFonts w:ascii="Helvetica" w:hAnsi="Helvetica"/>
              </w:rPr>
              <w:t>-</w:t>
            </w:r>
          </w:p>
        </w:tc>
        <w:tc>
          <w:tcPr>
            <w:tcW w:w="1410" w:type="dxa"/>
            <w:tcBorders>
              <w:top w:val="single" w:sz="18" w:space="0" w:color="auto"/>
              <w:left w:val="nil"/>
              <w:bottom w:val="single" w:sz="4" w:space="0" w:color="auto"/>
              <w:right w:val="nil"/>
            </w:tcBorders>
            <w:vAlign w:val="bottom"/>
          </w:tcPr>
          <w:p w14:paraId="7984177B" w14:textId="69831668" w:rsidR="008177CA" w:rsidRPr="00913C22" w:rsidRDefault="004B6AAC" w:rsidP="008177CA">
            <w:pPr>
              <w:pStyle w:val="TableTextLeftAligned"/>
              <w:spacing w:after="0"/>
              <w:rPr>
                <w:rFonts w:ascii="Helvetica" w:hAnsi="Helvetica"/>
              </w:rPr>
            </w:pPr>
            <w:r>
              <w:rPr>
                <w:rFonts w:ascii="Helvetica" w:hAnsi="Helvetica"/>
              </w:rPr>
              <w:t>-</w:t>
            </w:r>
          </w:p>
        </w:tc>
        <w:tc>
          <w:tcPr>
            <w:tcW w:w="1773" w:type="dxa"/>
            <w:tcBorders>
              <w:top w:val="single" w:sz="18" w:space="0" w:color="auto"/>
              <w:left w:val="nil"/>
              <w:bottom w:val="single" w:sz="4" w:space="0" w:color="auto"/>
              <w:right w:val="nil"/>
            </w:tcBorders>
          </w:tcPr>
          <w:p w14:paraId="5B85C264" w14:textId="7481A827" w:rsidR="008177CA" w:rsidRPr="00913C22" w:rsidRDefault="004B6AAC" w:rsidP="008177CA">
            <w:pPr>
              <w:pStyle w:val="TableTextLeftAligned"/>
              <w:spacing w:after="0"/>
              <w:rPr>
                <w:rFonts w:ascii="Helvetica" w:hAnsi="Helvetica"/>
              </w:rPr>
            </w:pPr>
            <w:r>
              <w:rPr>
                <w:rFonts w:ascii="Helvetica" w:hAnsi="Helvetica"/>
              </w:rPr>
              <w:t>-</w:t>
            </w:r>
          </w:p>
        </w:tc>
        <w:tc>
          <w:tcPr>
            <w:tcW w:w="1028" w:type="dxa"/>
            <w:tcBorders>
              <w:top w:val="single" w:sz="18" w:space="0" w:color="auto"/>
              <w:left w:val="nil"/>
              <w:bottom w:val="single" w:sz="4" w:space="0" w:color="auto"/>
              <w:right w:val="nil"/>
            </w:tcBorders>
          </w:tcPr>
          <w:p w14:paraId="357F6825" w14:textId="1BAB72F6" w:rsidR="008177CA" w:rsidRPr="00913C22" w:rsidRDefault="004B6AAC" w:rsidP="008177CA">
            <w:pPr>
              <w:pStyle w:val="TableTextLeftAligned"/>
              <w:spacing w:after="0"/>
              <w:rPr>
                <w:rFonts w:ascii="Helvetica" w:hAnsi="Helvetica"/>
              </w:rPr>
            </w:pPr>
            <w:r>
              <w:rPr>
                <w:rFonts w:ascii="Helvetica" w:hAnsi="Helvetica"/>
              </w:rPr>
              <w:t>-</w:t>
            </w:r>
          </w:p>
        </w:tc>
      </w:tr>
      <w:tr w:rsidR="008177CA" w14:paraId="3D7F6392" w14:textId="77777777" w:rsidTr="001E064C">
        <w:tc>
          <w:tcPr>
            <w:tcW w:w="1607" w:type="dxa"/>
            <w:tcBorders>
              <w:top w:val="single" w:sz="4" w:space="0" w:color="auto"/>
              <w:left w:val="nil"/>
              <w:bottom w:val="single" w:sz="4" w:space="0" w:color="auto"/>
              <w:right w:val="nil"/>
            </w:tcBorders>
            <w:hideMark/>
          </w:tcPr>
          <w:p w14:paraId="54139AA6" w14:textId="203454FC" w:rsidR="008177CA" w:rsidRDefault="008177CA" w:rsidP="008177CA">
            <w:pPr>
              <w:pStyle w:val="TableTextLeftAligned"/>
              <w:spacing w:after="0"/>
              <w:rPr>
                <w:rFonts w:ascii="Helvetica" w:hAnsi="Helvetica"/>
              </w:rPr>
            </w:pPr>
            <w:r w:rsidRPr="001B2741">
              <w:t>RBO pinned</w:t>
            </w:r>
            <w:r w:rsidR="00836F28">
              <w:t xml:space="preserve"> ($80 more)</w:t>
            </w:r>
          </w:p>
        </w:tc>
        <w:tc>
          <w:tcPr>
            <w:tcW w:w="1162" w:type="dxa"/>
            <w:tcBorders>
              <w:top w:val="single" w:sz="4" w:space="0" w:color="auto"/>
              <w:left w:val="nil"/>
              <w:bottom w:val="single" w:sz="4" w:space="0" w:color="auto"/>
              <w:right w:val="nil"/>
            </w:tcBorders>
            <w:vAlign w:val="bottom"/>
            <w:hideMark/>
          </w:tcPr>
          <w:p w14:paraId="0F20A567" w14:textId="39EB3C13" w:rsidR="008177CA" w:rsidRPr="008177CA" w:rsidRDefault="008177CA" w:rsidP="008177CA">
            <w:pPr>
              <w:pStyle w:val="TableTextLeftAligned"/>
              <w:spacing w:after="0"/>
              <w:rPr>
                <w:rFonts w:ascii="Helvetica" w:hAnsi="Helvetica"/>
              </w:rPr>
            </w:pPr>
            <w:r w:rsidRPr="008177CA">
              <w:rPr>
                <w:rFonts w:ascii="Helvetica" w:hAnsi="Helvetica"/>
              </w:rPr>
              <w:t>8.9%</w:t>
            </w:r>
          </w:p>
        </w:tc>
        <w:tc>
          <w:tcPr>
            <w:tcW w:w="1406" w:type="dxa"/>
            <w:tcBorders>
              <w:top w:val="single" w:sz="4" w:space="0" w:color="auto"/>
              <w:left w:val="nil"/>
              <w:bottom w:val="single" w:sz="4" w:space="0" w:color="auto"/>
              <w:right w:val="nil"/>
            </w:tcBorders>
            <w:vAlign w:val="bottom"/>
            <w:hideMark/>
          </w:tcPr>
          <w:p w14:paraId="727624C0" w14:textId="2DA5EC6E" w:rsidR="008177CA" w:rsidRPr="00913C22" w:rsidRDefault="008177CA" w:rsidP="008177CA">
            <w:pPr>
              <w:pStyle w:val="TableTextLeftAligned"/>
              <w:spacing w:after="0"/>
              <w:rPr>
                <w:rFonts w:ascii="Helvetica" w:hAnsi="Helvetica"/>
              </w:rPr>
            </w:pPr>
            <w:r w:rsidRPr="008177CA">
              <w:rPr>
                <w:rFonts w:ascii="Helvetica" w:hAnsi="Helvetica"/>
              </w:rPr>
              <w:t>0.03</w:t>
            </w:r>
          </w:p>
        </w:tc>
        <w:tc>
          <w:tcPr>
            <w:tcW w:w="1410" w:type="dxa"/>
            <w:tcBorders>
              <w:top w:val="single" w:sz="4" w:space="0" w:color="auto"/>
              <w:left w:val="nil"/>
              <w:bottom w:val="single" w:sz="4" w:space="0" w:color="auto"/>
              <w:right w:val="nil"/>
            </w:tcBorders>
            <w:vAlign w:val="bottom"/>
            <w:hideMark/>
          </w:tcPr>
          <w:p w14:paraId="396CCCC4" w14:textId="36C07C01" w:rsidR="008177CA" w:rsidRPr="00913C22" w:rsidRDefault="008177CA" w:rsidP="008177CA">
            <w:pPr>
              <w:pStyle w:val="TableTextLeftAligned"/>
              <w:spacing w:after="0"/>
              <w:rPr>
                <w:rFonts w:ascii="Helvetica" w:hAnsi="Helvetica"/>
              </w:rPr>
            </w:pPr>
            <w:r w:rsidRPr="008177CA">
              <w:rPr>
                <w:rFonts w:ascii="Helvetica" w:hAnsi="Helvetica"/>
              </w:rPr>
              <w:t>0.02</w:t>
            </w:r>
          </w:p>
        </w:tc>
        <w:tc>
          <w:tcPr>
            <w:tcW w:w="1773" w:type="dxa"/>
            <w:tcBorders>
              <w:top w:val="single" w:sz="4" w:space="0" w:color="auto"/>
              <w:left w:val="nil"/>
              <w:bottom w:val="single" w:sz="4" w:space="0" w:color="auto"/>
              <w:right w:val="nil"/>
            </w:tcBorders>
            <w:hideMark/>
          </w:tcPr>
          <w:p w14:paraId="1DF84E27" w14:textId="6C705332" w:rsidR="008177CA" w:rsidRPr="00913C22" w:rsidRDefault="008177CA" w:rsidP="008177CA">
            <w:pPr>
              <w:pStyle w:val="TableTextLeftAligned"/>
              <w:spacing w:after="0"/>
              <w:rPr>
                <w:rFonts w:ascii="Helvetica" w:hAnsi="Helvetica"/>
              </w:rPr>
            </w:pPr>
            <w:r w:rsidRPr="00913C22">
              <w:rPr>
                <w:rFonts w:ascii="Helvetica" w:hAnsi="Helvetica"/>
              </w:rPr>
              <w:t>(0.</w:t>
            </w:r>
            <w:r>
              <w:rPr>
                <w:rFonts w:ascii="Helvetica" w:hAnsi="Helvetica"/>
              </w:rPr>
              <w:t>01 – 0.06</w:t>
            </w:r>
            <w:r w:rsidRPr="00913C22">
              <w:rPr>
                <w:rFonts w:ascii="Helvetica" w:hAnsi="Helvetica"/>
              </w:rPr>
              <w:t>)</w:t>
            </w:r>
          </w:p>
        </w:tc>
        <w:tc>
          <w:tcPr>
            <w:tcW w:w="1028" w:type="dxa"/>
            <w:tcBorders>
              <w:top w:val="single" w:sz="4" w:space="0" w:color="auto"/>
              <w:left w:val="nil"/>
              <w:bottom w:val="single" w:sz="4" w:space="0" w:color="auto"/>
              <w:right w:val="nil"/>
            </w:tcBorders>
            <w:hideMark/>
          </w:tcPr>
          <w:p w14:paraId="59DAE491" w14:textId="69052180" w:rsidR="008177CA" w:rsidRPr="00913C22" w:rsidRDefault="008177CA" w:rsidP="008177CA">
            <w:pPr>
              <w:pStyle w:val="TableTextLeftAligned"/>
              <w:spacing w:after="0"/>
              <w:rPr>
                <w:rFonts w:ascii="Helvetica" w:hAnsi="Helvetica"/>
              </w:rPr>
            </w:pPr>
            <w:r>
              <w:rPr>
                <w:rFonts w:ascii="Helvetica" w:hAnsi="Helvetica"/>
              </w:rPr>
              <w:t>0.015</w:t>
            </w:r>
          </w:p>
        </w:tc>
      </w:tr>
    </w:tbl>
    <w:p w14:paraId="4F5BC3BB" w14:textId="291184E9" w:rsidR="002A01E5" w:rsidRDefault="002A01E5" w:rsidP="002A01E5">
      <w:pPr>
        <w:pStyle w:val="SourceNotesText"/>
      </w:pPr>
      <w:r>
        <w:t>n = 1</w:t>
      </w:r>
      <w:r w:rsidR="000154B4">
        <w:t>,</w:t>
      </w:r>
      <w:r w:rsidR="00124725">
        <w:t>073</w:t>
      </w:r>
    </w:p>
    <w:p w14:paraId="0E70B8CD" w14:textId="77777777" w:rsidR="002A01E5" w:rsidRDefault="002A01E5" w:rsidP="002A01E5">
      <w:pPr>
        <w:pStyle w:val="SourceNotesText"/>
      </w:pPr>
      <w:r>
        <w:t>One tailed test.</w:t>
      </w:r>
    </w:p>
    <w:p w14:paraId="3CB03AC3" w14:textId="7909987E" w:rsidR="00E5721C" w:rsidRDefault="002A01E5" w:rsidP="00575265">
      <w:pPr>
        <w:pStyle w:val="SourceNotesText"/>
        <w:rPr>
          <w:rFonts w:ascii="Helvetica" w:hAnsi="Helvetica"/>
        </w:rPr>
      </w:pPr>
      <w:r>
        <w:rPr>
          <w:rFonts w:ascii="Helvetica" w:hAnsi="Helvetica"/>
        </w:rPr>
        <w:t>Marginal means derived from OLS model with HC2 robust standard error adjusted for switching history, source of sample and these two covariates interacted with treatment.</w:t>
      </w:r>
    </w:p>
    <w:p w14:paraId="132EF9A5" w14:textId="28321EEF" w:rsidR="00DB1638" w:rsidRDefault="003A4FBB" w:rsidP="000B5831">
      <w:pPr>
        <w:pStyle w:val="Caption"/>
      </w:pPr>
      <w:r>
        <w:t xml:space="preserve">Table </w:t>
      </w:r>
      <w:fldSimple w:instr=" SEQ Table \* ARABIC ">
        <w:r w:rsidR="000B5831">
          <w:rPr>
            <w:noProof/>
          </w:rPr>
          <w:t>11</w:t>
        </w:r>
      </w:fldSimple>
      <w:r w:rsidR="00DB1638">
        <w:t>.</w:t>
      </w:r>
      <w:r w:rsidR="00DB1638">
        <w:tab/>
      </w:r>
      <w:r w:rsidR="00DB1638" w:rsidRPr="00D3730D">
        <w:t xml:space="preserve">H2: Pinning current retailer’s best offer to the top lead to higher switching to the retailer’s best offer. Retailer’s best offer was not competitive. It was </w:t>
      </w:r>
      <w:r w:rsidR="00DB1638">
        <w:t>$201</w:t>
      </w:r>
      <w:r w:rsidR="00DB1638" w:rsidRPr="00D3730D">
        <w:t xml:space="preserve"> more than the cheapest plan.</w:t>
      </w:r>
    </w:p>
    <w:tbl>
      <w:tblPr>
        <w:tblStyle w:val="TableGrid"/>
        <w:tblW w:w="838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607"/>
        <w:gridCol w:w="1162"/>
        <w:gridCol w:w="1406"/>
        <w:gridCol w:w="1410"/>
        <w:gridCol w:w="1773"/>
        <w:gridCol w:w="1028"/>
      </w:tblGrid>
      <w:tr w:rsidR="00DB1638" w14:paraId="2DB0BF58" w14:textId="77777777" w:rsidTr="00F742EB">
        <w:trPr>
          <w:tblHeader/>
        </w:trPr>
        <w:tc>
          <w:tcPr>
            <w:tcW w:w="1607" w:type="dxa"/>
            <w:tcBorders>
              <w:top w:val="nil"/>
              <w:left w:val="nil"/>
              <w:bottom w:val="single" w:sz="18" w:space="0" w:color="auto"/>
              <w:right w:val="nil"/>
            </w:tcBorders>
            <w:shd w:val="clear" w:color="auto" w:fill="ABDBF6" w:themeFill="accent1"/>
            <w:vAlign w:val="bottom"/>
            <w:hideMark/>
          </w:tcPr>
          <w:p w14:paraId="0C2BECF3" w14:textId="77777777" w:rsidR="00DB1638" w:rsidRDefault="00DB1638" w:rsidP="00F742EB">
            <w:pPr>
              <w:rPr>
                <w:rFonts w:ascii="Helvetica" w:hAnsi="Helvetica"/>
                <w:b/>
                <w:szCs w:val="20"/>
              </w:rPr>
            </w:pPr>
            <w:r>
              <w:rPr>
                <w:rFonts w:ascii="Helvetica" w:hAnsi="Helvetica"/>
                <w:b/>
                <w:szCs w:val="20"/>
              </w:rPr>
              <w:t>Condition</w:t>
            </w:r>
          </w:p>
        </w:tc>
        <w:tc>
          <w:tcPr>
            <w:tcW w:w="1162" w:type="dxa"/>
            <w:tcBorders>
              <w:top w:val="nil"/>
              <w:left w:val="nil"/>
              <w:bottom w:val="single" w:sz="18" w:space="0" w:color="auto"/>
              <w:right w:val="nil"/>
            </w:tcBorders>
            <w:shd w:val="clear" w:color="auto" w:fill="ABDBF6" w:themeFill="accent1"/>
            <w:vAlign w:val="bottom"/>
            <w:hideMark/>
          </w:tcPr>
          <w:p w14:paraId="0C2DD260" w14:textId="77777777" w:rsidR="00DB1638" w:rsidRDefault="00DB1638" w:rsidP="00F742EB">
            <w:pPr>
              <w:rPr>
                <w:rFonts w:ascii="Helvetica" w:hAnsi="Helvetica"/>
                <w:b/>
                <w:szCs w:val="20"/>
              </w:rPr>
            </w:pPr>
            <w:r>
              <w:rPr>
                <w:rFonts w:ascii="Helvetica" w:hAnsi="Helvetica"/>
                <w:b/>
                <w:szCs w:val="20"/>
              </w:rPr>
              <w:t xml:space="preserve">Mean % choosing to switch to retailer’s best offer </w:t>
            </w:r>
          </w:p>
        </w:tc>
        <w:tc>
          <w:tcPr>
            <w:tcW w:w="1406" w:type="dxa"/>
            <w:tcBorders>
              <w:top w:val="nil"/>
              <w:left w:val="nil"/>
              <w:bottom w:val="single" w:sz="18" w:space="0" w:color="auto"/>
              <w:right w:val="nil"/>
            </w:tcBorders>
            <w:shd w:val="clear" w:color="auto" w:fill="ABDBF6" w:themeFill="accent1"/>
            <w:vAlign w:val="bottom"/>
            <w:hideMark/>
          </w:tcPr>
          <w:p w14:paraId="54EC6F86" w14:textId="77777777" w:rsidR="00DB1638" w:rsidRDefault="00DB1638" w:rsidP="00F742EB">
            <w:pPr>
              <w:rPr>
                <w:rFonts w:ascii="Helvetica" w:hAnsi="Helvetica"/>
                <w:b/>
                <w:szCs w:val="20"/>
              </w:rPr>
            </w:pPr>
            <w:r>
              <w:rPr>
                <w:rFonts w:ascii="Helvetica" w:hAnsi="Helvetica"/>
                <w:b/>
                <w:szCs w:val="20"/>
              </w:rPr>
              <w:t>Estimate</w:t>
            </w:r>
          </w:p>
        </w:tc>
        <w:tc>
          <w:tcPr>
            <w:tcW w:w="1410" w:type="dxa"/>
            <w:tcBorders>
              <w:top w:val="nil"/>
              <w:left w:val="nil"/>
              <w:bottom w:val="single" w:sz="18" w:space="0" w:color="auto"/>
              <w:right w:val="nil"/>
            </w:tcBorders>
            <w:shd w:val="clear" w:color="auto" w:fill="ABDBF6" w:themeFill="accent1"/>
            <w:vAlign w:val="bottom"/>
            <w:hideMark/>
          </w:tcPr>
          <w:p w14:paraId="0D7F442F" w14:textId="77777777" w:rsidR="00DB1638" w:rsidRDefault="00DB1638" w:rsidP="00F742EB">
            <w:pPr>
              <w:rPr>
                <w:rFonts w:ascii="Helvetica" w:hAnsi="Helvetica"/>
                <w:b/>
                <w:szCs w:val="20"/>
              </w:rPr>
            </w:pPr>
            <w:r>
              <w:rPr>
                <w:rFonts w:ascii="Helvetica" w:hAnsi="Helvetica"/>
                <w:b/>
                <w:szCs w:val="20"/>
              </w:rPr>
              <w:t>Standard error</w:t>
            </w:r>
          </w:p>
        </w:tc>
        <w:tc>
          <w:tcPr>
            <w:tcW w:w="1773" w:type="dxa"/>
            <w:tcBorders>
              <w:top w:val="nil"/>
              <w:left w:val="nil"/>
              <w:bottom w:val="single" w:sz="18" w:space="0" w:color="auto"/>
              <w:right w:val="nil"/>
            </w:tcBorders>
            <w:shd w:val="clear" w:color="auto" w:fill="ABDBF6" w:themeFill="accent1"/>
            <w:vAlign w:val="bottom"/>
            <w:hideMark/>
          </w:tcPr>
          <w:p w14:paraId="6667686F" w14:textId="77777777" w:rsidR="00DB1638" w:rsidRDefault="00DB1638" w:rsidP="00F742EB">
            <w:pPr>
              <w:rPr>
                <w:rFonts w:ascii="Helvetica" w:hAnsi="Helvetica"/>
                <w:b/>
                <w:szCs w:val="20"/>
              </w:rPr>
            </w:pPr>
            <w:r>
              <w:rPr>
                <w:rFonts w:ascii="Helvetica" w:hAnsi="Helvetica"/>
                <w:b/>
                <w:szCs w:val="20"/>
              </w:rPr>
              <w:t>95% Confidence Interval</w:t>
            </w:r>
          </w:p>
        </w:tc>
        <w:tc>
          <w:tcPr>
            <w:tcW w:w="1028" w:type="dxa"/>
            <w:tcBorders>
              <w:top w:val="nil"/>
              <w:left w:val="nil"/>
              <w:bottom w:val="single" w:sz="18" w:space="0" w:color="auto"/>
              <w:right w:val="nil"/>
            </w:tcBorders>
            <w:shd w:val="clear" w:color="auto" w:fill="ABDBF6" w:themeFill="accent1"/>
            <w:vAlign w:val="bottom"/>
            <w:hideMark/>
          </w:tcPr>
          <w:p w14:paraId="281E4E5B" w14:textId="77777777" w:rsidR="00DB1638" w:rsidRDefault="00DB1638" w:rsidP="00F742EB">
            <w:pPr>
              <w:rPr>
                <w:rFonts w:ascii="Helvetica" w:hAnsi="Helvetica"/>
                <w:b/>
                <w:szCs w:val="20"/>
              </w:rPr>
            </w:pPr>
            <w:r>
              <w:rPr>
                <w:rFonts w:ascii="Helvetica" w:hAnsi="Helvetica"/>
                <w:b/>
                <w:i/>
                <w:szCs w:val="20"/>
              </w:rPr>
              <w:t>p-</w:t>
            </w:r>
            <w:r>
              <w:rPr>
                <w:rFonts w:ascii="Helvetica" w:hAnsi="Helvetica"/>
                <w:b/>
                <w:szCs w:val="20"/>
              </w:rPr>
              <w:t>value</w:t>
            </w:r>
          </w:p>
        </w:tc>
      </w:tr>
      <w:tr w:rsidR="00DB1638" w14:paraId="6C8B2757" w14:textId="77777777" w:rsidTr="00F742EB">
        <w:tc>
          <w:tcPr>
            <w:tcW w:w="1607" w:type="dxa"/>
            <w:tcBorders>
              <w:top w:val="single" w:sz="18" w:space="0" w:color="auto"/>
              <w:left w:val="nil"/>
              <w:bottom w:val="single" w:sz="4" w:space="0" w:color="auto"/>
              <w:right w:val="nil"/>
            </w:tcBorders>
            <w:hideMark/>
          </w:tcPr>
          <w:p w14:paraId="70A954FA" w14:textId="77777777" w:rsidR="00DB1638" w:rsidRDefault="00DB1638" w:rsidP="00F742EB">
            <w:pPr>
              <w:pStyle w:val="TableTextLeftAligned"/>
              <w:spacing w:after="0"/>
              <w:rPr>
                <w:rFonts w:ascii="Helvetica" w:hAnsi="Helvetica"/>
              </w:rPr>
            </w:pPr>
            <w:r>
              <w:rPr>
                <w:rFonts w:ascii="Helvetica" w:hAnsi="Helvetica"/>
              </w:rPr>
              <w:t>Control</w:t>
            </w:r>
          </w:p>
        </w:tc>
        <w:tc>
          <w:tcPr>
            <w:tcW w:w="1162" w:type="dxa"/>
            <w:tcBorders>
              <w:top w:val="single" w:sz="18" w:space="0" w:color="auto"/>
              <w:left w:val="nil"/>
              <w:bottom w:val="single" w:sz="4" w:space="0" w:color="auto"/>
              <w:right w:val="nil"/>
            </w:tcBorders>
            <w:hideMark/>
          </w:tcPr>
          <w:p w14:paraId="2B2DFC00" w14:textId="77777777" w:rsidR="00DB1638" w:rsidRDefault="00DB1638" w:rsidP="00F742EB">
            <w:pPr>
              <w:pStyle w:val="TableTextLeftAligned"/>
              <w:spacing w:after="0"/>
              <w:rPr>
                <w:rFonts w:ascii="Helvetica" w:hAnsi="Helvetica"/>
                <w:highlight w:val="yellow"/>
              </w:rPr>
            </w:pPr>
            <w:r w:rsidRPr="00FC550C">
              <w:t>2.2%</w:t>
            </w:r>
          </w:p>
        </w:tc>
        <w:tc>
          <w:tcPr>
            <w:tcW w:w="1406" w:type="dxa"/>
            <w:tcBorders>
              <w:top w:val="single" w:sz="18" w:space="0" w:color="auto"/>
              <w:left w:val="nil"/>
              <w:bottom w:val="single" w:sz="4" w:space="0" w:color="auto"/>
              <w:right w:val="nil"/>
            </w:tcBorders>
          </w:tcPr>
          <w:p w14:paraId="1E29452C" w14:textId="77777777" w:rsidR="00DB1638" w:rsidRPr="00913C22" w:rsidRDefault="00DB1638" w:rsidP="00F742EB">
            <w:pPr>
              <w:pStyle w:val="TableTextLeftAligned"/>
              <w:spacing w:after="0"/>
              <w:rPr>
                <w:rFonts w:ascii="Helvetica" w:hAnsi="Helvetica"/>
              </w:rPr>
            </w:pPr>
            <w:r>
              <w:rPr>
                <w:rFonts w:ascii="Helvetica" w:hAnsi="Helvetica"/>
              </w:rPr>
              <w:t>-</w:t>
            </w:r>
          </w:p>
        </w:tc>
        <w:tc>
          <w:tcPr>
            <w:tcW w:w="1410" w:type="dxa"/>
            <w:tcBorders>
              <w:top w:val="single" w:sz="18" w:space="0" w:color="auto"/>
              <w:left w:val="nil"/>
              <w:bottom w:val="single" w:sz="4" w:space="0" w:color="auto"/>
              <w:right w:val="nil"/>
            </w:tcBorders>
          </w:tcPr>
          <w:p w14:paraId="304F732A" w14:textId="77777777" w:rsidR="00DB1638" w:rsidRPr="00913C22" w:rsidRDefault="00DB1638" w:rsidP="00F742EB">
            <w:pPr>
              <w:pStyle w:val="TableTextLeftAligned"/>
              <w:spacing w:after="0"/>
              <w:rPr>
                <w:rFonts w:ascii="Helvetica" w:hAnsi="Helvetica"/>
              </w:rPr>
            </w:pPr>
            <w:r>
              <w:rPr>
                <w:rFonts w:ascii="Helvetica" w:hAnsi="Helvetica"/>
              </w:rPr>
              <w:t>-</w:t>
            </w:r>
          </w:p>
        </w:tc>
        <w:tc>
          <w:tcPr>
            <w:tcW w:w="1773" w:type="dxa"/>
            <w:tcBorders>
              <w:top w:val="single" w:sz="18" w:space="0" w:color="auto"/>
              <w:left w:val="nil"/>
              <w:bottom w:val="single" w:sz="4" w:space="0" w:color="auto"/>
              <w:right w:val="nil"/>
            </w:tcBorders>
          </w:tcPr>
          <w:p w14:paraId="7301E55A" w14:textId="77777777" w:rsidR="00DB1638" w:rsidRPr="00913C22" w:rsidRDefault="00DB1638" w:rsidP="00F742EB">
            <w:pPr>
              <w:pStyle w:val="TableTextLeftAligned"/>
              <w:spacing w:after="0"/>
              <w:rPr>
                <w:rFonts w:ascii="Helvetica" w:hAnsi="Helvetica"/>
              </w:rPr>
            </w:pPr>
            <w:r>
              <w:rPr>
                <w:rFonts w:ascii="Helvetica" w:hAnsi="Helvetica"/>
              </w:rPr>
              <w:t>-</w:t>
            </w:r>
          </w:p>
        </w:tc>
        <w:tc>
          <w:tcPr>
            <w:tcW w:w="1028" w:type="dxa"/>
            <w:tcBorders>
              <w:top w:val="single" w:sz="18" w:space="0" w:color="auto"/>
              <w:left w:val="nil"/>
              <w:bottom w:val="single" w:sz="4" w:space="0" w:color="auto"/>
              <w:right w:val="nil"/>
            </w:tcBorders>
          </w:tcPr>
          <w:p w14:paraId="2AC89865" w14:textId="77777777" w:rsidR="00DB1638" w:rsidRPr="00913C22" w:rsidRDefault="00DB1638" w:rsidP="00F742EB">
            <w:pPr>
              <w:pStyle w:val="TableTextLeftAligned"/>
              <w:spacing w:after="0"/>
              <w:rPr>
                <w:rFonts w:ascii="Helvetica" w:hAnsi="Helvetica"/>
              </w:rPr>
            </w:pPr>
            <w:r>
              <w:rPr>
                <w:rFonts w:ascii="Helvetica" w:hAnsi="Helvetica"/>
              </w:rPr>
              <w:t>-</w:t>
            </w:r>
          </w:p>
        </w:tc>
      </w:tr>
      <w:tr w:rsidR="00DB1638" w14:paraId="389717E9" w14:textId="77777777" w:rsidTr="00F742EB">
        <w:trPr>
          <w:trHeight w:val="77"/>
        </w:trPr>
        <w:tc>
          <w:tcPr>
            <w:tcW w:w="1607" w:type="dxa"/>
            <w:tcBorders>
              <w:top w:val="single" w:sz="4" w:space="0" w:color="auto"/>
              <w:left w:val="nil"/>
              <w:bottom w:val="single" w:sz="4" w:space="0" w:color="auto"/>
              <w:right w:val="nil"/>
            </w:tcBorders>
            <w:hideMark/>
          </w:tcPr>
          <w:p w14:paraId="31712DD7" w14:textId="77777777" w:rsidR="00DB1638" w:rsidRDefault="00DB1638" w:rsidP="00F742EB">
            <w:pPr>
              <w:pStyle w:val="TableTextLeftAligned"/>
              <w:spacing w:after="0"/>
              <w:rPr>
                <w:rFonts w:ascii="Helvetica" w:hAnsi="Helvetica"/>
              </w:rPr>
            </w:pPr>
            <w:r w:rsidRPr="001B2741">
              <w:t>RBO pinned</w:t>
            </w:r>
            <w:r>
              <w:t xml:space="preserve"> ($201 more)</w:t>
            </w:r>
          </w:p>
        </w:tc>
        <w:tc>
          <w:tcPr>
            <w:tcW w:w="1162" w:type="dxa"/>
            <w:tcBorders>
              <w:top w:val="single" w:sz="4" w:space="0" w:color="auto"/>
              <w:left w:val="nil"/>
              <w:bottom w:val="single" w:sz="4" w:space="0" w:color="auto"/>
              <w:right w:val="nil"/>
            </w:tcBorders>
            <w:hideMark/>
          </w:tcPr>
          <w:p w14:paraId="5DF8670C" w14:textId="77777777" w:rsidR="00DB1638" w:rsidRDefault="00DB1638" w:rsidP="00F742EB">
            <w:pPr>
              <w:pStyle w:val="TableTextLeftAligned"/>
              <w:spacing w:after="0"/>
              <w:rPr>
                <w:rFonts w:ascii="Helvetica" w:hAnsi="Helvetica"/>
                <w:highlight w:val="yellow"/>
              </w:rPr>
            </w:pPr>
            <w:r w:rsidRPr="00FC550C">
              <w:t>7.6%</w:t>
            </w:r>
          </w:p>
        </w:tc>
        <w:tc>
          <w:tcPr>
            <w:tcW w:w="1406" w:type="dxa"/>
            <w:tcBorders>
              <w:top w:val="single" w:sz="4" w:space="0" w:color="auto"/>
              <w:left w:val="nil"/>
              <w:bottom w:val="single" w:sz="4" w:space="0" w:color="auto"/>
              <w:right w:val="nil"/>
            </w:tcBorders>
            <w:hideMark/>
          </w:tcPr>
          <w:p w14:paraId="1D961E50" w14:textId="77777777" w:rsidR="00DB1638" w:rsidRPr="00913C22" w:rsidRDefault="00DB1638" w:rsidP="00F742EB">
            <w:pPr>
              <w:pStyle w:val="TableTextLeftAligned"/>
              <w:spacing w:after="0"/>
              <w:rPr>
                <w:rFonts w:ascii="Helvetica" w:hAnsi="Helvetica"/>
              </w:rPr>
            </w:pPr>
            <w:r w:rsidRPr="00FC550C">
              <w:t>0.05</w:t>
            </w:r>
          </w:p>
        </w:tc>
        <w:tc>
          <w:tcPr>
            <w:tcW w:w="1410" w:type="dxa"/>
            <w:tcBorders>
              <w:top w:val="single" w:sz="4" w:space="0" w:color="auto"/>
              <w:left w:val="nil"/>
              <w:bottom w:val="single" w:sz="4" w:space="0" w:color="auto"/>
              <w:right w:val="nil"/>
            </w:tcBorders>
            <w:hideMark/>
          </w:tcPr>
          <w:p w14:paraId="2315AC92" w14:textId="77777777" w:rsidR="00DB1638" w:rsidRPr="00913C22" w:rsidRDefault="00DB1638" w:rsidP="00F742EB">
            <w:pPr>
              <w:pStyle w:val="TableTextLeftAligned"/>
              <w:spacing w:after="0"/>
              <w:rPr>
                <w:rFonts w:ascii="Helvetica" w:hAnsi="Helvetica"/>
              </w:rPr>
            </w:pPr>
            <w:r w:rsidRPr="00FC550C">
              <w:t>0.01</w:t>
            </w:r>
          </w:p>
        </w:tc>
        <w:tc>
          <w:tcPr>
            <w:tcW w:w="1773" w:type="dxa"/>
            <w:tcBorders>
              <w:top w:val="single" w:sz="4" w:space="0" w:color="auto"/>
              <w:left w:val="nil"/>
              <w:bottom w:val="single" w:sz="4" w:space="0" w:color="auto"/>
              <w:right w:val="nil"/>
            </w:tcBorders>
            <w:hideMark/>
          </w:tcPr>
          <w:p w14:paraId="118A17C9" w14:textId="77777777" w:rsidR="00DB1638" w:rsidRPr="00913C22" w:rsidRDefault="00DB1638" w:rsidP="00F742EB">
            <w:pPr>
              <w:pStyle w:val="TableTextLeftAligned"/>
              <w:spacing w:after="0"/>
              <w:rPr>
                <w:rFonts w:ascii="Helvetica" w:hAnsi="Helvetica"/>
              </w:rPr>
            </w:pPr>
            <w:r>
              <w:rPr>
                <w:rFonts w:ascii="Helvetica" w:hAnsi="Helvetica"/>
              </w:rPr>
              <w:t>(0.3 – 0.08</w:t>
            </w:r>
            <w:r w:rsidRPr="00913C22">
              <w:rPr>
                <w:rFonts w:ascii="Helvetica" w:hAnsi="Helvetica"/>
              </w:rPr>
              <w:t>)</w:t>
            </w:r>
          </w:p>
        </w:tc>
        <w:tc>
          <w:tcPr>
            <w:tcW w:w="1028" w:type="dxa"/>
            <w:tcBorders>
              <w:top w:val="single" w:sz="4" w:space="0" w:color="auto"/>
              <w:left w:val="nil"/>
              <w:bottom w:val="single" w:sz="4" w:space="0" w:color="auto"/>
              <w:right w:val="nil"/>
            </w:tcBorders>
            <w:hideMark/>
          </w:tcPr>
          <w:p w14:paraId="79BF3D14" w14:textId="77777777" w:rsidR="00DB1638" w:rsidRPr="00913C22" w:rsidRDefault="00DB1638" w:rsidP="00F742EB">
            <w:pPr>
              <w:pStyle w:val="TableTextLeftAligned"/>
              <w:spacing w:after="0"/>
              <w:rPr>
                <w:rFonts w:ascii="Helvetica" w:hAnsi="Helvetica"/>
              </w:rPr>
            </w:pPr>
            <w:r>
              <w:rPr>
                <w:rFonts w:ascii="Helvetica" w:hAnsi="Helvetica"/>
              </w:rPr>
              <w:t>0.05</w:t>
            </w:r>
          </w:p>
        </w:tc>
      </w:tr>
    </w:tbl>
    <w:p w14:paraId="177D1200" w14:textId="77777777" w:rsidR="00DB1638" w:rsidRDefault="00DB1638" w:rsidP="00DB1638">
      <w:pPr>
        <w:pStyle w:val="SourceNotesText"/>
      </w:pPr>
      <w:r>
        <w:t>n = 1,063</w:t>
      </w:r>
    </w:p>
    <w:p w14:paraId="34284100" w14:textId="77777777" w:rsidR="00DB1638" w:rsidRDefault="00DB1638" w:rsidP="00DB1638">
      <w:pPr>
        <w:pStyle w:val="SourceNotesText"/>
      </w:pPr>
      <w:r>
        <w:t>One tailed test.</w:t>
      </w:r>
    </w:p>
    <w:p w14:paraId="07525CEB" w14:textId="77777777" w:rsidR="00DB1638" w:rsidRDefault="00DB1638" w:rsidP="00DB1638">
      <w:pPr>
        <w:pStyle w:val="SourceNotesText"/>
        <w:rPr>
          <w:rFonts w:ascii="Helvetica" w:hAnsi="Helvetica"/>
        </w:rPr>
      </w:pPr>
      <w:r>
        <w:rPr>
          <w:rFonts w:ascii="Helvetica" w:hAnsi="Helvetica"/>
        </w:rPr>
        <w:lastRenderedPageBreak/>
        <w:t>Marginal means derived from OLS model with HC2 robust standard error adjusted for switching history, source of sample and these two covariates interacted with treatment.</w:t>
      </w:r>
    </w:p>
    <w:p w14:paraId="32A4E53E" w14:textId="622EBC68" w:rsidR="00E5721C" w:rsidRPr="00710D80" w:rsidRDefault="00E5721C" w:rsidP="00710D80">
      <w:pPr>
        <w:spacing w:after="0" w:line="240" w:lineRule="auto"/>
        <w:rPr>
          <w:rFonts w:ascii="Helvetica" w:hAnsi="Helvetica"/>
          <w:i/>
          <w:sz w:val="18"/>
          <w:szCs w:val="16"/>
        </w:rPr>
      </w:pPr>
    </w:p>
    <w:p w14:paraId="2A5BCB58" w14:textId="35FED971" w:rsidR="00575265" w:rsidRDefault="00575265" w:rsidP="000F7FD9">
      <w:pPr>
        <w:pStyle w:val="Caption"/>
        <w:keepNext/>
        <w:outlineLvl w:val="3"/>
      </w:pPr>
      <w:r>
        <w:t xml:space="preserve">Table </w:t>
      </w:r>
      <w:fldSimple w:instr=" SEQ Table \* ARABIC ">
        <w:r w:rsidR="000B5831">
          <w:rPr>
            <w:noProof/>
          </w:rPr>
          <w:t>12</w:t>
        </w:r>
      </w:fldSimple>
      <w:r>
        <w:t>.</w:t>
      </w:r>
      <w:r>
        <w:tab/>
      </w:r>
      <w:r w:rsidRPr="00E25577">
        <w:t>H1: Pinning current retailer’s best offer to the top did not lead to lower switching to cheapest plans. It actually lead to slightly – not significantly – higher switching to cheapest plans. Retailer’s best offer was competitive, only $80 more than the</w:t>
      </w:r>
      <w:r>
        <w:t xml:space="preserve"> cheapest plan.</w:t>
      </w:r>
    </w:p>
    <w:tbl>
      <w:tblPr>
        <w:tblStyle w:val="TableGrid"/>
        <w:tblW w:w="838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607"/>
        <w:gridCol w:w="1162"/>
        <w:gridCol w:w="1406"/>
        <w:gridCol w:w="1410"/>
        <w:gridCol w:w="1773"/>
        <w:gridCol w:w="1028"/>
      </w:tblGrid>
      <w:tr w:rsidR="002A01E5" w14:paraId="50263325" w14:textId="77777777" w:rsidTr="001E064C">
        <w:trPr>
          <w:tblHeader/>
        </w:trPr>
        <w:tc>
          <w:tcPr>
            <w:tcW w:w="1607" w:type="dxa"/>
            <w:tcBorders>
              <w:top w:val="nil"/>
              <w:left w:val="nil"/>
              <w:bottom w:val="single" w:sz="18" w:space="0" w:color="auto"/>
              <w:right w:val="nil"/>
            </w:tcBorders>
            <w:shd w:val="clear" w:color="auto" w:fill="ABDBF6" w:themeFill="accent1"/>
            <w:vAlign w:val="bottom"/>
            <w:hideMark/>
          </w:tcPr>
          <w:p w14:paraId="1E5AD2EE" w14:textId="77777777" w:rsidR="002A01E5" w:rsidRDefault="002A01E5" w:rsidP="001E064C">
            <w:pPr>
              <w:rPr>
                <w:rFonts w:ascii="Helvetica" w:hAnsi="Helvetica"/>
                <w:b/>
                <w:szCs w:val="20"/>
              </w:rPr>
            </w:pPr>
            <w:r>
              <w:rPr>
                <w:rFonts w:ascii="Helvetica" w:hAnsi="Helvetica"/>
                <w:b/>
                <w:szCs w:val="20"/>
              </w:rPr>
              <w:t>Condition</w:t>
            </w:r>
          </w:p>
        </w:tc>
        <w:tc>
          <w:tcPr>
            <w:tcW w:w="1162" w:type="dxa"/>
            <w:tcBorders>
              <w:top w:val="nil"/>
              <w:left w:val="nil"/>
              <w:bottom w:val="single" w:sz="18" w:space="0" w:color="auto"/>
              <w:right w:val="nil"/>
            </w:tcBorders>
            <w:shd w:val="clear" w:color="auto" w:fill="ABDBF6" w:themeFill="accent1"/>
            <w:vAlign w:val="bottom"/>
            <w:hideMark/>
          </w:tcPr>
          <w:p w14:paraId="1D5AC277" w14:textId="42DD1E60" w:rsidR="002A01E5" w:rsidRDefault="000F6385" w:rsidP="001E064C">
            <w:pPr>
              <w:rPr>
                <w:rFonts w:ascii="Helvetica" w:hAnsi="Helvetica"/>
                <w:b/>
                <w:szCs w:val="20"/>
              </w:rPr>
            </w:pPr>
            <w:r>
              <w:rPr>
                <w:rFonts w:ascii="Helvetica" w:hAnsi="Helvetica"/>
                <w:b/>
                <w:szCs w:val="20"/>
              </w:rPr>
              <w:t>Mean %</w:t>
            </w:r>
            <w:r w:rsidR="00836F28">
              <w:rPr>
                <w:rFonts w:ascii="Helvetica" w:hAnsi="Helvetica"/>
                <w:b/>
                <w:szCs w:val="20"/>
              </w:rPr>
              <w:t xml:space="preserve"> choosing the cheapest plans</w:t>
            </w:r>
            <w:r w:rsidR="002A01E5">
              <w:rPr>
                <w:rFonts w:ascii="Helvetica" w:hAnsi="Helvetica"/>
                <w:b/>
                <w:szCs w:val="20"/>
              </w:rPr>
              <w:t xml:space="preserve"> </w:t>
            </w:r>
          </w:p>
        </w:tc>
        <w:tc>
          <w:tcPr>
            <w:tcW w:w="1406" w:type="dxa"/>
            <w:tcBorders>
              <w:top w:val="nil"/>
              <w:left w:val="nil"/>
              <w:bottom w:val="single" w:sz="18" w:space="0" w:color="auto"/>
              <w:right w:val="nil"/>
            </w:tcBorders>
            <w:shd w:val="clear" w:color="auto" w:fill="ABDBF6" w:themeFill="accent1"/>
            <w:vAlign w:val="bottom"/>
            <w:hideMark/>
          </w:tcPr>
          <w:p w14:paraId="3DE30614" w14:textId="77777777" w:rsidR="002A01E5" w:rsidRDefault="002A01E5" w:rsidP="001E064C">
            <w:pPr>
              <w:rPr>
                <w:rFonts w:ascii="Helvetica" w:hAnsi="Helvetica"/>
                <w:b/>
                <w:szCs w:val="20"/>
              </w:rPr>
            </w:pPr>
            <w:r>
              <w:rPr>
                <w:rFonts w:ascii="Helvetica" w:hAnsi="Helvetica"/>
                <w:b/>
                <w:szCs w:val="20"/>
              </w:rPr>
              <w:t>Estimate</w:t>
            </w:r>
          </w:p>
        </w:tc>
        <w:tc>
          <w:tcPr>
            <w:tcW w:w="1410" w:type="dxa"/>
            <w:tcBorders>
              <w:top w:val="nil"/>
              <w:left w:val="nil"/>
              <w:bottom w:val="single" w:sz="18" w:space="0" w:color="auto"/>
              <w:right w:val="nil"/>
            </w:tcBorders>
            <w:shd w:val="clear" w:color="auto" w:fill="ABDBF6" w:themeFill="accent1"/>
            <w:vAlign w:val="bottom"/>
            <w:hideMark/>
          </w:tcPr>
          <w:p w14:paraId="496D059B" w14:textId="77777777" w:rsidR="002A01E5" w:rsidRDefault="002A01E5" w:rsidP="001E064C">
            <w:pPr>
              <w:rPr>
                <w:rFonts w:ascii="Helvetica" w:hAnsi="Helvetica"/>
                <w:b/>
                <w:szCs w:val="20"/>
              </w:rPr>
            </w:pPr>
            <w:r>
              <w:rPr>
                <w:rFonts w:ascii="Helvetica" w:hAnsi="Helvetica"/>
                <w:b/>
                <w:szCs w:val="20"/>
              </w:rPr>
              <w:t>Standard error</w:t>
            </w:r>
          </w:p>
        </w:tc>
        <w:tc>
          <w:tcPr>
            <w:tcW w:w="1773" w:type="dxa"/>
            <w:tcBorders>
              <w:top w:val="nil"/>
              <w:left w:val="nil"/>
              <w:bottom w:val="single" w:sz="18" w:space="0" w:color="auto"/>
              <w:right w:val="nil"/>
            </w:tcBorders>
            <w:shd w:val="clear" w:color="auto" w:fill="ABDBF6" w:themeFill="accent1"/>
            <w:vAlign w:val="bottom"/>
            <w:hideMark/>
          </w:tcPr>
          <w:p w14:paraId="767CEB10" w14:textId="77777777" w:rsidR="002A01E5" w:rsidRDefault="002A01E5" w:rsidP="001E064C">
            <w:pPr>
              <w:rPr>
                <w:rFonts w:ascii="Helvetica" w:hAnsi="Helvetica"/>
                <w:b/>
                <w:szCs w:val="20"/>
              </w:rPr>
            </w:pPr>
            <w:r>
              <w:rPr>
                <w:rFonts w:ascii="Helvetica" w:hAnsi="Helvetica"/>
                <w:b/>
                <w:szCs w:val="20"/>
              </w:rPr>
              <w:t>95% Confidence Interval</w:t>
            </w:r>
          </w:p>
        </w:tc>
        <w:tc>
          <w:tcPr>
            <w:tcW w:w="1028" w:type="dxa"/>
            <w:tcBorders>
              <w:top w:val="nil"/>
              <w:left w:val="nil"/>
              <w:bottom w:val="single" w:sz="18" w:space="0" w:color="auto"/>
              <w:right w:val="nil"/>
            </w:tcBorders>
            <w:shd w:val="clear" w:color="auto" w:fill="ABDBF6" w:themeFill="accent1"/>
            <w:vAlign w:val="bottom"/>
            <w:hideMark/>
          </w:tcPr>
          <w:p w14:paraId="3152CA43" w14:textId="77777777" w:rsidR="002A01E5" w:rsidRDefault="002A01E5" w:rsidP="001E064C">
            <w:pPr>
              <w:rPr>
                <w:rFonts w:ascii="Helvetica" w:hAnsi="Helvetica"/>
                <w:b/>
                <w:szCs w:val="20"/>
              </w:rPr>
            </w:pPr>
            <w:r>
              <w:rPr>
                <w:rFonts w:ascii="Helvetica" w:hAnsi="Helvetica"/>
                <w:b/>
                <w:i/>
                <w:szCs w:val="20"/>
              </w:rPr>
              <w:t>p-</w:t>
            </w:r>
            <w:r>
              <w:rPr>
                <w:rFonts w:ascii="Helvetica" w:hAnsi="Helvetica"/>
                <w:b/>
                <w:szCs w:val="20"/>
              </w:rPr>
              <w:t>value</w:t>
            </w:r>
          </w:p>
        </w:tc>
      </w:tr>
      <w:tr w:rsidR="008177CA" w14:paraId="382E8EB6" w14:textId="77777777" w:rsidTr="001E064C">
        <w:tc>
          <w:tcPr>
            <w:tcW w:w="1607" w:type="dxa"/>
            <w:tcBorders>
              <w:top w:val="single" w:sz="18" w:space="0" w:color="auto"/>
              <w:left w:val="nil"/>
              <w:bottom w:val="single" w:sz="4" w:space="0" w:color="auto"/>
              <w:right w:val="nil"/>
            </w:tcBorders>
            <w:hideMark/>
          </w:tcPr>
          <w:p w14:paraId="6485053B" w14:textId="77777777" w:rsidR="008177CA" w:rsidRDefault="008177CA" w:rsidP="008177CA">
            <w:pPr>
              <w:pStyle w:val="TableTextLeftAligned"/>
              <w:spacing w:after="0"/>
              <w:rPr>
                <w:rFonts w:ascii="Helvetica" w:hAnsi="Helvetica"/>
              </w:rPr>
            </w:pPr>
            <w:r>
              <w:rPr>
                <w:rFonts w:ascii="Helvetica" w:hAnsi="Helvetica"/>
              </w:rPr>
              <w:t>Control</w:t>
            </w:r>
          </w:p>
        </w:tc>
        <w:tc>
          <w:tcPr>
            <w:tcW w:w="1162" w:type="dxa"/>
            <w:tcBorders>
              <w:top w:val="single" w:sz="18" w:space="0" w:color="auto"/>
              <w:left w:val="nil"/>
              <w:bottom w:val="single" w:sz="4" w:space="0" w:color="auto"/>
              <w:right w:val="nil"/>
            </w:tcBorders>
            <w:hideMark/>
          </w:tcPr>
          <w:p w14:paraId="5E268CC3" w14:textId="6808BD53" w:rsidR="008177CA" w:rsidRDefault="008177CA" w:rsidP="008177CA">
            <w:pPr>
              <w:pStyle w:val="TableTextLeftAligned"/>
              <w:spacing w:after="0"/>
              <w:rPr>
                <w:rFonts w:ascii="Helvetica" w:hAnsi="Helvetica"/>
                <w:highlight w:val="yellow"/>
              </w:rPr>
            </w:pPr>
            <w:r w:rsidRPr="00FC5F43">
              <w:t>82.0%</w:t>
            </w:r>
          </w:p>
        </w:tc>
        <w:tc>
          <w:tcPr>
            <w:tcW w:w="1406" w:type="dxa"/>
            <w:tcBorders>
              <w:top w:val="single" w:sz="18" w:space="0" w:color="auto"/>
              <w:left w:val="nil"/>
              <w:bottom w:val="single" w:sz="4" w:space="0" w:color="auto"/>
              <w:right w:val="nil"/>
            </w:tcBorders>
          </w:tcPr>
          <w:p w14:paraId="07F2F700" w14:textId="57DEA178" w:rsidR="008177CA" w:rsidRPr="00913C22" w:rsidRDefault="004B6AAC" w:rsidP="008177CA">
            <w:pPr>
              <w:pStyle w:val="TableTextLeftAligned"/>
              <w:spacing w:after="0"/>
              <w:rPr>
                <w:rFonts w:ascii="Helvetica" w:hAnsi="Helvetica"/>
              </w:rPr>
            </w:pPr>
            <w:r>
              <w:rPr>
                <w:rFonts w:ascii="Helvetica" w:hAnsi="Helvetica"/>
              </w:rPr>
              <w:t>-</w:t>
            </w:r>
          </w:p>
        </w:tc>
        <w:tc>
          <w:tcPr>
            <w:tcW w:w="1410" w:type="dxa"/>
            <w:tcBorders>
              <w:top w:val="single" w:sz="18" w:space="0" w:color="auto"/>
              <w:left w:val="nil"/>
              <w:bottom w:val="single" w:sz="4" w:space="0" w:color="auto"/>
              <w:right w:val="nil"/>
            </w:tcBorders>
          </w:tcPr>
          <w:p w14:paraId="0EFA6C88" w14:textId="627AC57A" w:rsidR="008177CA" w:rsidRPr="00913C22" w:rsidRDefault="004B6AAC" w:rsidP="008177CA">
            <w:pPr>
              <w:pStyle w:val="TableTextLeftAligned"/>
              <w:spacing w:after="0"/>
              <w:rPr>
                <w:rFonts w:ascii="Helvetica" w:hAnsi="Helvetica"/>
              </w:rPr>
            </w:pPr>
            <w:r>
              <w:rPr>
                <w:rFonts w:ascii="Helvetica" w:hAnsi="Helvetica"/>
              </w:rPr>
              <w:t>-</w:t>
            </w:r>
          </w:p>
        </w:tc>
        <w:tc>
          <w:tcPr>
            <w:tcW w:w="1773" w:type="dxa"/>
            <w:tcBorders>
              <w:top w:val="single" w:sz="18" w:space="0" w:color="auto"/>
              <w:left w:val="nil"/>
              <w:bottom w:val="single" w:sz="4" w:space="0" w:color="auto"/>
              <w:right w:val="nil"/>
            </w:tcBorders>
          </w:tcPr>
          <w:p w14:paraId="3822535B" w14:textId="57CE5320" w:rsidR="008177CA" w:rsidRPr="00913C22" w:rsidRDefault="004B6AAC" w:rsidP="008177CA">
            <w:pPr>
              <w:pStyle w:val="TableTextLeftAligned"/>
              <w:spacing w:after="0"/>
              <w:rPr>
                <w:rFonts w:ascii="Helvetica" w:hAnsi="Helvetica"/>
              </w:rPr>
            </w:pPr>
            <w:r>
              <w:rPr>
                <w:rFonts w:ascii="Helvetica" w:hAnsi="Helvetica"/>
              </w:rPr>
              <w:t>-</w:t>
            </w:r>
          </w:p>
        </w:tc>
        <w:tc>
          <w:tcPr>
            <w:tcW w:w="1028" w:type="dxa"/>
            <w:tcBorders>
              <w:top w:val="single" w:sz="18" w:space="0" w:color="auto"/>
              <w:left w:val="nil"/>
              <w:bottom w:val="single" w:sz="4" w:space="0" w:color="auto"/>
              <w:right w:val="nil"/>
            </w:tcBorders>
          </w:tcPr>
          <w:p w14:paraId="17E49B82" w14:textId="14CAE60E" w:rsidR="008177CA" w:rsidRPr="00913C22" w:rsidRDefault="004B6AAC" w:rsidP="008177CA">
            <w:pPr>
              <w:pStyle w:val="TableTextLeftAligned"/>
              <w:spacing w:after="0"/>
              <w:rPr>
                <w:rFonts w:ascii="Helvetica" w:hAnsi="Helvetica"/>
              </w:rPr>
            </w:pPr>
            <w:r>
              <w:rPr>
                <w:rFonts w:ascii="Helvetica" w:hAnsi="Helvetica"/>
              </w:rPr>
              <w:t>-</w:t>
            </w:r>
          </w:p>
        </w:tc>
      </w:tr>
      <w:tr w:rsidR="008177CA" w14:paraId="0B715EB8" w14:textId="77777777" w:rsidTr="001E064C">
        <w:tc>
          <w:tcPr>
            <w:tcW w:w="1607" w:type="dxa"/>
            <w:tcBorders>
              <w:top w:val="single" w:sz="4" w:space="0" w:color="auto"/>
              <w:left w:val="nil"/>
              <w:bottom w:val="single" w:sz="4" w:space="0" w:color="auto"/>
              <w:right w:val="nil"/>
            </w:tcBorders>
            <w:hideMark/>
          </w:tcPr>
          <w:p w14:paraId="6D25B6B4" w14:textId="6B1FCC50" w:rsidR="008177CA" w:rsidRDefault="008177CA" w:rsidP="008177CA">
            <w:pPr>
              <w:pStyle w:val="TableTextLeftAligned"/>
              <w:spacing w:after="0"/>
              <w:rPr>
                <w:rFonts w:ascii="Helvetica" w:hAnsi="Helvetica"/>
              </w:rPr>
            </w:pPr>
            <w:r w:rsidRPr="001B2741">
              <w:t>RBO pinned</w:t>
            </w:r>
            <w:r w:rsidR="00836F28">
              <w:t xml:space="preserve"> ($80 more)</w:t>
            </w:r>
          </w:p>
        </w:tc>
        <w:tc>
          <w:tcPr>
            <w:tcW w:w="1162" w:type="dxa"/>
            <w:tcBorders>
              <w:top w:val="single" w:sz="4" w:space="0" w:color="auto"/>
              <w:left w:val="nil"/>
              <w:bottom w:val="single" w:sz="4" w:space="0" w:color="auto"/>
              <w:right w:val="nil"/>
            </w:tcBorders>
            <w:hideMark/>
          </w:tcPr>
          <w:p w14:paraId="5ADF0862" w14:textId="69753FA1" w:rsidR="008177CA" w:rsidRDefault="008177CA" w:rsidP="008177CA">
            <w:pPr>
              <w:pStyle w:val="TableTextLeftAligned"/>
              <w:spacing w:after="0"/>
              <w:rPr>
                <w:rFonts w:ascii="Helvetica" w:hAnsi="Helvetica"/>
                <w:highlight w:val="yellow"/>
              </w:rPr>
            </w:pPr>
            <w:r w:rsidRPr="00FC5F43">
              <w:t>83.0%</w:t>
            </w:r>
          </w:p>
        </w:tc>
        <w:tc>
          <w:tcPr>
            <w:tcW w:w="1406" w:type="dxa"/>
            <w:tcBorders>
              <w:top w:val="single" w:sz="4" w:space="0" w:color="auto"/>
              <w:left w:val="nil"/>
              <w:bottom w:val="single" w:sz="4" w:space="0" w:color="auto"/>
              <w:right w:val="nil"/>
            </w:tcBorders>
            <w:hideMark/>
          </w:tcPr>
          <w:p w14:paraId="39516E25" w14:textId="5426FAD0" w:rsidR="008177CA" w:rsidRPr="00913C22" w:rsidRDefault="008177CA" w:rsidP="008177CA">
            <w:pPr>
              <w:pStyle w:val="TableTextLeftAligned"/>
              <w:spacing w:after="0"/>
              <w:rPr>
                <w:rFonts w:ascii="Helvetica" w:hAnsi="Helvetica"/>
              </w:rPr>
            </w:pPr>
            <w:r w:rsidRPr="00FC5F43">
              <w:t>0.01</w:t>
            </w:r>
          </w:p>
        </w:tc>
        <w:tc>
          <w:tcPr>
            <w:tcW w:w="1410" w:type="dxa"/>
            <w:tcBorders>
              <w:top w:val="single" w:sz="4" w:space="0" w:color="auto"/>
              <w:left w:val="nil"/>
              <w:bottom w:val="single" w:sz="4" w:space="0" w:color="auto"/>
              <w:right w:val="nil"/>
            </w:tcBorders>
            <w:hideMark/>
          </w:tcPr>
          <w:p w14:paraId="03FB536B" w14:textId="64576151" w:rsidR="008177CA" w:rsidRPr="00913C22" w:rsidRDefault="008177CA" w:rsidP="008177CA">
            <w:pPr>
              <w:pStyle w:val="TableTextLeftAligned"/>
              <w:spacing w:after="0"/>
              <w:rPr>
                <w:rFonts w:ascii="Helvetica" w:hAnsi="Helvetica"/>
              </w:rPr>
            </w:pPr>
            <w:r w:rsidRPr="00FC5F43">
              <w:t>0.02</w:t>
            </w:r>
          </w:p>
        </w:tc>
        <w:tc>
          <w:tcPr>
            <w:tcW w:w="1773" w:type="dxa"/>
            <w:tcBorders>
              <w:top w:val="single" w:sz="4" w:space="0" w:color="auto"/>
              <w:left w:val="nil"/>
              <w:bottom w:val="single" w:sz="4" w:space="0" w:color="auto"/>
              <w:right w:val="nil"/>
            </w:tcBorders>
            <w:hideMark/>
          </w:tcPr>
          <w:p w14:paraId="5BBBD868" w14:textId="5AA8AA62" w:rsidR="008177CA" w:rsidRPr="00913C22" w:rsidRDefault="008177CA" w:rsidP="008177CA">
            <w:pPr>
              <w:pStyle w:val="TableTextLeftAligned"/>
              <w:spacing w:after="0"/>
              <w:rPr>
                <w:rFonts w:ascii="Helvetica" w:hAnsi="Helvetica"/>
              </w:rPr>
            </w:pPr>
            <w:r>
              <w:rPr>
                <w:rFonts w:ascii="Helvetica" w:hAnsi="Helvetica"/>
              </w:rPr>
              <w:t>(-0.03 – 0.05</w:t>
            </w:r>
            <w:r w:rsidRPr="00913C22">
              <w:rPr>
                <w:rFonts w:ascii="Helvetica" w:hAnsi="Helvetica"/>
              </w:rPr>
              <w:t>)</w:t>
            </w:r>
          </w:p>
        </w:tc>
        <w:tc>
          <w:tcPr>
            <w:tcW w:w="1028" w:type="dxa"/>
            <w:tcBorders>
              <w:top w:val="single" w:sz="4" w:space="0" w:color="auto"/>
              <w:left w:val="nil"/>
              <w:bottom w:val="single" w:sz="4" w:space="0" w:color="auto"/>
              <w:right w:val="nil"/>
            </w:tcBorders>
            <w:hideMark/>
          </w:tcPr>
          <w:p w14:paraId="5069F1E3" w14:textId="276FCA53" w:rsidR="008177CA" w:rsidRPr="00913C22" w:rsidRDefault="008177CA" w:rsidP="008177CA">
            <w:pPr>
              <w:pStyle w:val="TableTextLeftAligned"/>
              <w:spacing w:after="0"/>
              <w:rPr>
                <w:rFonts w:ascii="Helvetica" w:hAnsi="Helvetica"/>
              </w:rPr>
            </w:pPr>
            <w:r>
              <w:rPr>
                <w:rFonts w:ascii="Helvetica" w:hAnsi="Helvetica"/>
              </w:rPr>
              <w:t>0.656</w:t>
            </w:r>
          </w:p>
        </w:tc>
      </w:tr>
    </w:tbl>
    <w:p w14:paraId="103E7E4F" w14:textId="277CF3FE" w:rsidR="001F1B85" w:rsidRDefault="002A01E5" w:rsidP="002A01E5">
      <w:pPr>
        <w:pStyle w:val="SourceNotesText"/>
      </w:pPr>
      <w:r>
        <w:t>n = 1</w:t>
      </w:r>
      <w:r w:rsidR="000154B4">
        <w:t>,</w:t>
      </w:r>
      <w:r w:rsidR="00124725">
        <w:t>073</w:t>
      </w:r>
    </w:p>
    <w:p w14:paraId="1A6EA210" w14:textId="63FD875A" w:rsidR="002A01E5" w:rsidRDefault="002A01E5" w:rsidP="002A01E5">
      <w:pPr>
        <w:pStyle w:val="SourceNotesText"/>
      </w:pPr>
      <w:r>
        <w:t>One tailed test.</w:t>
      </w:r>
    </w:p>
    <w:p w14:paraId="4427126E" w14:textId="7957117E" w:rsidR="00E5721C" w:rsidRDefault="002A01E5" w:rsidP="00575265">
      <w:pPr>
        <w:pStyle w:val="SourceNotesText"/>
      </w:pPr>
      <w:r>
        <w:rPr>
          <w:rFonts w:ascii="Helvetica" w:hAnsi="Helvetica"/>
        </w:rPr>
        <w:t>Marginal means derived from OLS model with HC2 robust standard error adjusted for switching history, source of sample and these two covariates interacted with treatment.</w:t>
      </w:r>
    </w:p>
    <w:p w14:paraId="010902BF" w14:textId="5373E032" w:rsidR="00575265" w:rsidRDefault="00575265" w:rsidP="000F7FD9">
      <w:pPr>
        <w:pStyle w:val="Caption"/>
        <w:keepNext/>
        <w:outlineLvl w:val="3"/>
      </w:pPr>
      <w:r>
        <w:t xml:space="preserve">Table </w:t>
      </w:r>
      <w:fldSimple w:instr=" SEQ Table \* ARABIC ">
        <w:r w:rsidR="000B5831">
          <w:rPr>
            <w:noProof/>
          </w:rPr>
          <w:t>13</w:t>
        </w:r>
      </w:fldSimple>
      <w:r>
        <w:t>.</w:t>
      </w:r>
      <w:r>
        <w:tab/>
      </w:r>
      <w:r w:rsidRPr="00BF6425">
        <w:t xml:space="preserve">H2: Pinning current retailer’s best offer to the top lead to higher switching to cheapest plans. Retailer’s best offer was not competitive. It was </w:t>
      </w:r>
      <w:r w:rsidR="003C088C">
        <w:t>$201</w:t>
      </w:r>
      <w:r w:rsidRPr="00BF6425">
        <w:t xml:space="preserve"> more than the cheapest plan.</w:t>
      </w:r>
    </w:p>
    <w:tbl>
      <w:tblPr>
        <w:tblStyle w:val="TableGrid"/>
        <w:tblW w:w="838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607"/>
        <w:gridCol w:w="1162"/>
        <w:gridCol w:w="1406"/>
        <w:gridCol w:w="1410"/>
        <w:gridCol w:w="1773"/>
        <w:gridCol w:w="1028"/>
      </w:tblGrid>
      <w:tr w:rsidR="007B0B1A" w14:paraId="048C9347" w14:textId="77777777" w:rsidTr="001E064C">
        <w:trPr>
          <w:tblHeader/>
        </w:trPr>
        <w:tc>
          <w:tcPr>
            <w:tcW w:w="1607" w:type="dxa"/>
            <w:tcBorders>
              <w:top w:val="nil"/>
              <w:left w:val="nil"/>
              <w:bottom w:val="single" w:sz="18" w:space="0" w:color="auto"/>
              <w:right w:val="nil"/>
            </w:tcBorders>
            <w:shd w:val="clear" w:color="auto" w:fill="ABDBF6" w:themeFill="accent1"/>
            <w:vAlign w:val="bottom"/>
            <w:hideMark/>
          </w:tcPr>
          <w:p w14:paraId="4FCED819" w14:textId="77777777" w:rsidR="007B0B1A" w:rsidRDefault="007B0B1A" w:rsidP="001E064C">
            <w:pPr>
              <w:rPr>
                <w:rFonts w:ascii="Helvetica" w:hAnsi="Helvetica"/>
                <w:b/>
                <w:szCs w:val="20"/>
              </w:rPr>
            </w:pPr>
            <w:r>
              <w:rPr>
                <w:rFonts w:ascii="Helvetica" w:hAnsi="Helvetica"/>
                <w:b/>
                <w:szCs w:val="20"/>
              </w:rPr>
              <w:t>Condition</w:t>
            </w:r>
          </w:p>
        </w:tc>
        <w:tc>
          <w:tcPr>
            <w:tcW w:w="1162" w:type="dxa"/>
            <w:tcBorders>
              <w:top w:val="nil"/>
              <w:left w:val="nil"/>
              <w:bottom w:val="single" w:sz="18" w:space="0" w:color="auto"/>
              <w:right w:val="nil"/>
            </w:tcBorders>
            <w:shd w:val="clear" w:color="auto" w:fill="ABDBF6" w:themeFill="accent1"/>
            <w:vAlign w:val="bottom"/>
            <w:hideMark/>
          </w:tcPr>
          <w:p w14:paraId="4D451903" w14:textId="684CBA39" w:rsidR="007B0B1A" w:rsidRDefault="000F6385" w:rsidP="001E064C">
            <w:pPr>
              <w:rPr>
                <w:rFonts w:ascii="Helvetica" w:hAnsi="Helvetica"/>
                <w:b/>
                <w:szCs w:val="20"/>
              </w:rPr>
            </w:pPr>
            <w:r>
              <w:rPr>
                <w:rFonts w:ascii="Helvetica" w:hAnsi="Helvetica"/>
                <w:b/>
                <w:szCs w:val="20"/>
              </w:rPr>
              <w:t>Mean %</w:t>
            </w:r>
            <w:r w:rsidR="00836F28">
              <w:rPr>
                <w:rFonts w:ascii="Helvetica" w:hAnsi="Helvetica"/>
                <w:b/>
                <w:szCs w:val="20"/>
              </w:rPr>
              <w:t xml:space="preserve"> choosing the cheapest plans</w:t>
            </w:r>
            <w:r w:rsidR="007B0B1A">
              <w:rPr>
                <w:rFonts w:ascii="Helvetica" w:hAnsi="Helvetica"/>
                <w:b/>
                <w:szCs w:val="20"/>
              </w:rPr>
              <w:t xml:space="preserve"> </w:t>
            </w:r>
          </w:p>
        </w:tc>
        <w:tc>
          <w:tcPr>
            <w:tcW w:w="1406" w:type="dxa"/>
            <w:tcBorders>
              <w:top w:val="nil"/>
              <w:left w:val="nil"/>
              <w:bottom w:val="single" w:sz="18" w:space="0" w:color="auto"/>
              <w:right w:val="nil"/>
            </w:tcBorders>
            <w:shd w:val="clear" w:color="auto" w:fill="ABDBF6" w:themeFill="accent1"/>
            <w:vAlign w:val="bottom"/>
            <w:hideMark/>
          </w:tcPr>
          <w:p w14:paraId="6EDD7170" w14:textId="77777777" w:rsidR="007B0B1A" w:rsidRDefault="007B0B1A" w:rsidP="001E064C">
            <w:pPr>
              <w:rPr>
                <w:rFonts w:ascii="Helvetica" w:hAnsi="Helvetica"/>
                <w:b/>
                <w:szCs w:val="20"/>
              </w:rPr>
            </w:pPr>
            <w:r>
              <w:rPr>
                <w:rFonts w:ascii="Helvetica" w:hAnsi="Helvetica"/>
                <w:b/>
                <w:szCs w:val="20"/>
              </w:rPr>
              <w:t>Estimate</w:t>
            </w:r>
          </w:p>
        </w:tc>
        <w:tc>
          <w:tcPr>
            <w:tcW w:w="1410" w:type="dxa"/>
            <w:tcBorders>
              <w:top w:val="nil"/>
              <w:left w:val="nil"/>
              <w:bottom w:val="single" w:sz="18" w:space="0" w:color="auto"/>
              <w:right w:val="nil"/>
            </w:tcBorders>
            <w:shd w:val="clear" w:color="auto" w:fill="ABDBF6" w:themeFill="accent1"/>
            <w:vAlign w:val="bottom"/>
            <w:hideMark/>
          </w:tcPr>
          <w:p w14:paraId="4055BE5D" w14:textId="77777777" w:rsidR="007B0B1A" w:rsidRDefault="007B0B1A" w:rsidP="001E064C">
            <w:pPr>
              <w:rPr>
                <w:rFonts w:ascii="Helvetica" w:hAnsi="Helvetica"/>
                <w:b/>
                <w:szCs w:val="20"/>
              </w:rPr>
            </w:pPr>
            <w:r>
              <w:rPr>
                <w:rFonts w:ascii="Helvetica" w:hAnsi="Helvetica"/>
                <w:b/>
                <w:szCs w:val="20"/>
              </w:rPr>
              <w:t>Standard error</w:t>
            </w:r>
          </w:p>
        </w:tc>
        <w:tc>
          <w:tcPr>
            <w:tcW w:w="1773" w:type="dxa"/>
            <w:tcBorders>
              <w:top w:val="nil"/>
              <w:left w:val="nil"/>
              <w:bottom w:val="single" w:sz="18" w:space="0" w:color="auto"/>
              <w:right w:val="nil"/>
            </w:tcBorders>
            <w:shd w:val="clear" w:color="auto" w:fill="ABDBF6" w:themeFill="accent1"/>
            <w:vAlign w:val="bottom"/>
            <w:hideMark/>
          </w:tcPr>
          <w:p w14:paraId="3474C62F" w14:textId="77777777" w:rsidR="007B0B1A" w:rsidRDefault="007B0B1A" w:rsidP="001E064C">
            <w:pPr>
              <w:rPr>
                <w:rFonts w:ascii="Helvetica" w:hAnsi="Helvetica"/>
                <w:b/>
                <w:szCs w:val="20"/>
              </w:rPr>
            </w:pPr>
            <w:r>
              <w:rPr>
                <w:rFonts w:ascii="Helvetica" w:hAnsi="Helvetica"/>
                <w:b/>
                <w:szCs w:val="20"/>
              </w:rPr>
              <w:t>95% Confidence Interval</w:t>
            </w:r>
          </w:p>
        </w:tc>
        <w:tc>
          <w:tcPr>
            <w:tcW w:w="1028" w:type="dxa"/>
            <w:tcBorders>
              <w:top w:val="nil"/>
              <w:left w:val="nil"/>
              <w:bottom w:val="single" w:sz="18" w:space="0" w:color="auto"/>
              <w:right w:val="nil"/>
            </w:tcBorders>
            <w:shd w:val="clear" w:color="auto" w:fill="ABDBF6" w:themeFill="accent1"/>
            <w:vAlign w:val="bottom"/>
            <w:hideMark/>
          </w:tcPr>
          <w:p w14:paraId="7EE3CF17" w14:textId="77777777" w:rsidR="007B0B1A" w:rsidRDefault="007B0B1A" w:rsidP="001E064C">
            <w:pPr>
              <w:rPr>
                <w:rFonts w:ascii="Helvetica" w:hAnsi="Helvetica"/>
                <w:b/>
                <w:szCs w:val="20"/>
              </w:rPr>
            </w:pPr>
            <w:r>
              <w:rPr>
                <w:rFonts w:ascii="Helvetica" w:hAnsi="Helvetica"/>
                <w:b/>
                <w:i/>
                <w:szCs w:val="20"/>
              </w:rPr>
              <w:t>p-</w:t>
            </w:r>
            <w:r>
              <w:rPr>
                <w:rFonts w:ascii="Helvetica" w:hAnsi="Helvetica"/>
                <w:b/>
                <w:szCs w:val="20"/>
              </w:rPr>
              <w:t>value</w:t>
            </w:r>
          </w:p>
        </w:tc>
      </w:tr>
      <w:tr w:rsidR="008177CA" w14:paraId="42812DB8" w14:textId="77777777" w:rsidTr="001E064C">
        <w:tc>
          <w:tcPr>
            <w:tcW w:w="1607" w:type="dxa"/>
            <w:tcBorders>
              <w:top w:val="single" w:sz="18" w:space="0" w:color="auto"/>
              <w:left w:val="nil"/>
              <w:bottom w:val="single" w:sz="4" w:space="0" w:color="auto"/>
              <w:right w:val="nil"/>
            </w:tcBorders>
            <w:hideMark/>
          </w:tcPr>
          <w:p w14:paraId="1FFAD041" w14:textId="77777777" w:rsidR="008177CA" w:rsidRDefault="008177CA" w:rsidP="008177CA">
            <w:pPr>
              <w:pStyle w:val="TableTextLeftAligned"/>
              <w:spacing w:after="0"/>
              <w:rPr>
                <w:rFonts w:ascii="Helvetica" w:hAnsi="Helvetica"/>
              </w:rPr>
            </w:pPr>
            <w:r>
              <w:rPr>
                <w:rFonts w:ascii="Helvetica" w:hAnsi="Helvetica"/>
              </w:rPr>
              <w:t>Control</w:t>
            </w:r>
          </w:p>
        </w:tc>
        <w:tc>
          <w:tcPr>
            <w:tcW w:w="1162" w:type="dxa"/>
            <w:tcBorders>
              <w:top w:val="single" w:sz="18" w:space="0" w:color="auto"/>
              <w:left w:val="nil"/>
              <w:bottom w:val="single" w:sz="4" w:space="0" w:color="auto"/>
              <w:right w:val="nil"/>
            </w:tcBorders>
            <w:hideMark/>
          </w:tcPr>
          <w:p w14:paraId="74140FB2" w14:textId="6F6D83FF" w:rsidR="008177CA" w:rsidRDefault="008177CA" w:rsidP="008177CA">
            <w:pPr>
              <w:pStyle w:val="TableTextLeftAligned"/>
              <w:spacing w:after="0"/>
              <w:rPr>
                <w:rFonts w:ascii="Helvetica" w:hAnsi="Helvetica"/>
                <w:highlight w:val="yellow"/>
              </w:rPr>
            </w:pPr>
            <w:r w:rsidRPr="00122C84">
              <w:t>78.4%</w:t>
            </w:r>
          </w:p>
        </w:tc>
        <w:tc>
          <w:tcPr>
            <w:tcW w:w="1406" w:type="dxa"/>
            <w:tcBorders>
              <w:top w:val="single" w:sz="18" w:space="0" w:color="auto"/>
              <w:left w:val="nil"/>
              <w:bottom w:val="single" w:sz="4" w:space="0" w:color="auto"/>
              <w:right w:val="nil"/>
            </w:tcBorders>
          </w:tcPr>
          <w:p w14:paraId="40AB27CF" w14:textId="1EC30196" w:rsidR="008177CA" w:rsidRPr="00913C22" w:rsidRDefault="004B6AAC" w:rsidP="008177CA">
            <w:pPr>
              <w:pStyle w:val="TableTextLeftAligned"/>
              <w:spacing w:after="0"/>
              <w:rPr>
                <w:rFonts w:ascii="Helvetica" w:hAnsi="Helvetica"/>
              </w:rPr>
            </w:pPr>
            <w:r>
              <w:rPr>
                <w:rFonts w:ascii="Helvetica" w:hAnsi="Helvetica"/>
              </w:rPr>
              <w:t>-</w:t>
            </w:r>
          </w:p>
        </w:tc>
        <w:tc>
          <w:tcPr>
            <w:tcW w:w="1410" w:type="dxa"/>
            <w:tcBorders>
              <w:top w:val="single" w:sz="18" w:space="0" w:color="auto"/>
              <w:left w:val="nil"/>
              <w:bottom w:val="single" w:sz="4" w:space="0" w:color="auto"/>
              <w:right w:val="nil"/>
            </w:tcBorders>
          </w:tcPr>
          <w:p w14:paraId="01230BB1" w14:textId="168983A1" w:rsidR="008177CA" w:rsidRPr="00913C22" w:rsidRDefault="004B6AAC" w:rsidP="008177CA">
            <w:pPr>
              <w:pStyle w:val="TableTextLeftAligned"/>
              <w:spacing w:after="0"/>
              <w:rPr>
                <w:rFonts w:ascii="Helvetica" w:hAnsi="Helvetica"/>
              </w:rPr>
            </w:pPr>
            <w:r>
              <w:rPr>
                <w:rFonts w:ascii="Helvetica" w:hAnsi="Helvetica"/>
              </w:rPr>
              <w:t>-</w:t>
            </w:r>
          </w:p>
        </w:tc>
        <w:tc>
          <w:tcPr>
            <w:tcW w:w="1773" w:type="dxa"/>
            <w:tcBorders>
              <w:top w:val="single" w:sz="18" w:space="0" w:color="auto"/>
              <w:left w:val="nil"/>
              <w:bottom w:val="single" w:sz="4" w:space="0" w:color="auto"/>
              <w:right w:val="nil"/>
            </w:tcBorders>
          </w:tcPr>
          <w:p w14:paraId="38843076" w14:textId="10D5EB6B" w:rsidR="008177CA" w:rsidRPr="00913C22" w:rsidRDefault="004B6AAC" w:rsidP="008177CA">
            <w:pPr>
              <w:pStyle w:val="TableTextLeftAligned"/>
              <w:spacing w:after="0"/>
              <w:rPr>
                <w:rFonts w:ascii="Helvetica" w:hAnsi="Helvetica"/>
              </w:rPr>
            </w:pPr>
            <w:r>
              <w:rPr>
                <w:rFonts w:ascii="Helvetica" w:hAnsi="Helvetica"/>
              </w:rPr>
              <w:t>-</w:t>
            </w:r>
          </w:p>
        </w:tc>
        <w:tc>
          <w:tcPr>
            <w:tcW w:w="1028" w:type="dxa"/>
            <w:tcBorders>
              <w:top w:val="single" w:sz="18" w:space="0" w:color="auto"/>
              <w:left w:val="nil"/>
              <w:bottom w:val="single" w:sz="4" w:space="0" w:color="auto"/>
              <w:right w:val="nil"/>
            </w:tcBorders>
          </w:tcPr>
          <w:p w14:paraId="4243EA52" w14:textId="05FE850D" w:rsidR="008177CA" w:rsidRPr="00913C22" w:rsidRDefault="004B6AAC" w:rsidP="008177CA">
            <w:pPr>
              <w:pStyle w:val="TableTextLeftAligned"/>
              <w:spacing w:after="0"/>
              <w:rPr>
                <w:rFonts w:ascii="Helvetica" w:hAnsi="Helvetica"/>
              </w:rPr>
            </w:pPr>
            <w:r>
              <w:rPr>
                <w:rFonts w:ascii="Helvetica" w:hAnsi="Helvetica"/>
              </w:rPr>
              <w:t>-</w:t>
            </w:r>
          </w:p>
        </w:tc>
      </w:tr>
      <w:tr w:rsidR="008177CA" w14:paraId="73E2BDAD" w14:textId="77777777" w:rsidTr="001E064C">
        <w:tc>
          <w:tcPr>
            <w:tcW w:w="1607" w:type="dxa"/>
            <w:tcBorders>
              <w:top w:val="single" w:sz="4" w:space="0" w:color="auto"/>
              <w:left w:val="nil"/>
              <w:bottom w:val="single" w:sz="4" w:space="0" w:color="auto"/>
              <w:right w:val="nil"/>
            </w:tcBorders>
            <w:hideMark/>
          </w:tcPr>
          <w:p w14:paraId="70C3D531" w14:textId="60259D29" w:rsidR="008177CA" w:rsidRDefault="008177CA" w:rsidP="008177CA">
            <w:pPr>
              <w:pStyle w:val="TableTextLeftAligned"/>
              <w:spacing w:after="0"/>
              <w:rPr>
                <w:rFonts w:ascii="Helvetica" w:hAnsi="Helvetica"/>
              </w:rPr>
            </w:pPr>
            <w:r w:rsidRPr="001B2741">
              <w:t>RBO pinned</w:t>
            </w:r>
            <w:r w:rsidR="00836F28">
              <w:t xml:space="preserve"> ($201 more)</w:t>
            </w:r>
          </w:p>
        </w:tc>
        <w:tc>
          <w:tcPr>
            <w:tcW w:w="1162" w:type="dxa"/>
            <w:tcBorders>
              <w:top w:val="single" w:sz="4" w:space="0" w:color="auto"/>
              <w:left w:val="nil"/>
              <w:bottom w:val="single" w:sz="4" w:space="0" w:color="auto"/>
              <w:right w:val="nil"/>
            </w:tcBorders>
            <w:hideMark/>
          </w:tcPr>
          <w:p w14:paraId="23D6A17A" w14:textId="7B078BE7" w:rsidR="008177CA" w:rsidRDefault="008177CA" w:rsidP="008177CA">
            <w:pPr>
              <w:pStyle w:val="TableTextLeftAligned"/>
              <w:spacing w:after="0"/>
              <w:rPr>
                <w:rFonts w:ascii="Helvetica" w:hAnsi="Helvetica"/>
                <w:highlight w:val="yellow"/>
              </w:rPr>
            </w:pPr>
            <w:r w:rsidRPr="00122C84">
              <w:t>83.8%</w:t>
            </w:r>
          </w:p>
        </w:tc>
        <w:tc>
          <w:tcPr>
            <w:tcW w:w="1406" w:type="dxa"/>
            <w:tcBorders>
              <w:top w:val="single" w:sz="4" w:space="0" w:color="auto"/>
              <w:left w:val="nil"/>
              <w:bottom w:val="single" w:sz="4" w:space="0" w:color="auto"/>
              <w:right w:val="nil"/>
            </w:tcBorders>
            <w:hideMark/>
          </w:tcPr>
          <w:p w14:paraId="7BFD95B7" w14:textId="6BFB4467" w:rsidR="008177CA" w:rsidRPr="00913C22" w:rsidRDefault="008177CA" w:rsidP="008177CA">
            <w:pPr>
              <w:pStyle w:val="TableTextLeftAligned"/>
              <w:spacing w:after="0"/>
              <w:rPr>
                <w:rFonts w:ascii="Helvetica" w:hAnsi="Helvetica"/>
              </w:rPr>
            </w:pPr>
            <w:r w:rsidRPr="00122C84">
              <w:t>0.05</w:t>
            </w:r>
          </w:p>
        </w:tc>
        <w:tc>
          <w:tcPr>
            <w:tcW w:w="1410" w:type="dxa"/>
            <w:tcBorders>
              <w:top w:val="single" w:sz="4" w:space="0" w:color="auto"/>
              <w:left w:val="nil"/>
              <w:bottom w:val="single" w:sz="4" w:space="0" w:color="auto"/>
              <w:right w:val="nil"/>
            </w:tcBorders>
            <w:hideMark/>
          </w:tcPr>
          <w:p w14:paraId="4A6589DC" w14:textId="316CA826" w:rsidR="008177CA" w:rsidRPr="00913C22" w:rsidRDefault="008177CA" w:rsidP="008177CA">
            <w:pPr>
              <w:pStyle w:val="TableTextLeftAligned"/>
              <w:spacing w:after="0"/>
              <w:rPr>
                <w:rFonts w:ascii="Helvetica" w:hAnsi="Helvetica"/>
              </w:rPr>
            </w:pPr>
            <w:r w:rsidRPr="00122C84">
              <w:t>0.02</w:t>
            </w:r>
          </w:p>
        </w:tc>
        <w:tc>
          <w:tcPr>
            <w:tcW w:w="1773" w:type="dxa"/>
            <w:tcBorders>
              <w:top w:val="single" w:sz="4" w:space="0" w:color="auto"/>
              <w:left w:val="nil"/>
              <w:bottom w:val="single" w:sz="4" w:space="0" w:color="auto"/>
              <w:right w:val="nil"/>
            </w:tcBorders>
            <w:hideMark/>
          </w:tcPr>
          <w:p w14:paraId="3466AAD8" w14:textId="2AB92858" w:rsidR="008177CA" w:rsidRPr="00913C22" w:rsidRDefault="008177CA" w:rsidP="008177CA">
            <w:pPr>
              <w:pStyle w:val="TableTextLeftAligned"/>
              <w:spacing w:after="0"/>
              <w:rPr>
                <w:rFonts w:ascii="Helvetica" w:hAnsi="Helvetica"/>
              </w:rPr>
            </w:pPr>
            <w:r>
              <w:rPr>
                <w:rFonts w:ascii="Helvetica" w:hAnsi="Helvetica"/>
              </w:rPr>
              <w:t>(0.01 – 0.10)</w:t>
            </w:r>
          </w:p>
        </w:tc>
        <w:tc>
          <w:tcPr>
            <w:tcW w:w="1028" w:type="dxa"/>
            <w:tcBorders>
              <w:top w:val="single" w:sz="4" w:space="0" w:color="auto"/>
              <w:left w:val="nil"/>
              <w:bottom w:val="single" w:sz="4" w:space="0" w:color="auto"/>
              <w:right w:val="nil"/>
            </w:tcBorders>
            <w:hideMark/>
          </w:tcPr>
          <w:p w14:paraId="61B4E5DA" w14:textId="57C1D467" w:rsidR="008177CA" w:rsidRPr="00913C22" w:rsidRDefault="008177CA" w:rsidP="008177CA">
            <w:pPr>
              <w:pStyle w:val="TableTextLeftAligned"/>
              <w:spacing w:after="0"/>
              <w:rPr>
                <w:rFonts w:ascii="Helvetica" w:hAnsi="Helvetica"/>
              </w:rPr>
            </w:pPr>
            <w:r>
              <w:rPr>
                <w:rFonts w:ascii="Helvetica" w:hAnsi="Helvetica"/>
              </w:rPr>
              <w:t>0.026</w:t>
            </w:r>
          </w:p>
        </w:tc>
      </w:tr>
    </w:tbl>
    <w:p w14:paraId="20FF4FCA" w14:textId="0683502F" w:rsidR="007B0B1A" w:rsidRDefault="008177CA" w:rsidP="007B0B1A">
      <w:pPr>
        <w:pStyle w:val="SourceNotesText"/>
      </w:pPr>
      <w:r>
        <w:t>n = 1</w:t>
      </w:r>
      <w:r w:rsidR="000154B4">
        <w:t>,</w:t>
      </w:r>
      <w:r>
        <w:t>06</w:t>
      </w:r>
      <w:r w:rsidR="00124725">
        <w:t>3</w:t>
      </w:r>
    </w:p>
    <w:p w14:paraId="7DA4C674" w14:textId="636BEB96" w:rsidR="007B0B1A" w:rsidRDefault="008177CA" w:rsidP="007B0B1A">
      <w:pPr>
        <w:pStyle w:val="SourceNotesText"/>
      </w:pPr>
      <w:r>
        <w:t>Two</w:t>
      </w:r>
      <w:r w:rsidR="007B0B1A">
        <w:t xml:space="preserve"> tailed test.</w:t>
      </w:r>
    </w:p>
    <w:p w14:paraId="2F276D46" w14:textId="0866F8B4" w:rsidR="00E5721C" w:rsidRDefault="007B0B1A" w:rsidP="00575265">
      <w:pPr>
        <w:pStyle w:val="SourceNotesText"/>
      </w:pPr>
      <w:r>
        <w:rPr>
          <w:rFonts w:ascii="Helvetica" w:hAnsi="Helvetica"/>
        </w:rPr>
        <w:t>Marginal means derived from OLS model with HC2 robust standard error adjusted for switching history, source of sample and these two covariates interacted with treatment.</w:t>
      </w:r>
    </w:p>
    <w:p w14:paraId="3B58FD2D" w14:textId="630EAAE7" w:rsidR="00E5721C" w:rsidRPr="00710D80" w:rsidRDefault="00710D80" w:rsidP="00710D80">
      <w:pPr>
        <w:spacing w:after="0" w:line="240" w:lineRule="auto"/>
        <w:rPr>
          <w:rFonts w:ascii="Helvetica" w:hAnsi="Helvetica"/>
          <w:i/>
          <w:sz w:val="18"/>
          <w:szCs w:val="16"/>
        </w:rPr>
      </w:pPr>
      <w:r>
        <w:rPr>
          <w:rFonts w:ascii="Helvetica" w:hAnsi="Helvetica"/>
        </w:rPr>
        <w:br w:type="page"/>
      </w:r>
    </w:p>
    <w:p w14:paraId="27A1B9EF" w14:textId="77777777" w:rsidR="007B0B1A" w:rsidRDefault="007B0B1A" w:rsidP="008412AC">
      <w:pPr>
        <w:spacing w:after="0" w:line="240" w:lineRule="auto"/>
      </w:pPr>
    </w:p>
    <w:p w14:paraId="6F6FE68B" w14:textId="3E414072" w:rsidR="000E2E7C" w:rsidRPr="00A96B0F" w:rsidRDefault="000E2E7C" w:rsidP="000E2E7C">
      <w:pPr>
        <w:spacing w:before="5000" w:after="120"/>
        <w:outlineLvl w:val="1"/>
        <w:rPr>
          <w:b/>
          <w:color w:val="2158A9" w:themeColor="accent2"/>
          <w:sz w:val="22"/>
        </w:rPr>
      </w:pPr>
      <w:r w:rsidRPr="00A96B0F">
        <w:rPr>
          <w:b/>
          <w:color w:val="2158A9" w:themeColor="accent2"/>
          <w:sz w:val="22"/>
        </w:rPr>
        <w:t xml:space="preserve">© </w:t>
      </w:r>
      <w:r>
        <w:rPr>
          <w:b/>
          <w:color w:val="2158A9" w:themeColor="accent2"/>
          <w:sz w:val="22"/>
        </w:rPr>
        <w:t>Commo</w:t>
      </w:r>
      <w:r w:rsidR="006C568F">
        <w:rPr>
          <w:b/>
          <w:color w:val="2158A9" w:themeColor="accent2"/>
          <w:sz w:val="22"/>
        </w:rPr>
        <w:t>n</w:t>
      </w:r>
      <w:r>
        <w:rPr>
          <w:b/>
          <w:color w:val="2158A9" w:themeColor="accent2"/>
          <w:sz w:val="22"/>
        </w:rPr>
        <w:t>wealth of Australia 2025</w:t>
      </w:r>
    </w:p>
    <w:p w14:paraId="32EC458D" w14:textId="0402F448" w:rsidR="000E2E7C" w:rsidRPr="00F700C1" w:rsidRDefault="000E2E7C" w:rsidP="000E2E7C">
      <w:pPr>
        <w:rPr>
          <w:highlight w:val="yellow"/>
        </w:rPr>
      </w:pPr>
      <w:r>
        <w:t xml:space="preserve">ISBN </w:t>
      </w:r>
      <w:r w:rsidR="005F6BDA" w:rsidRPr="005F6BDA">
        <w:t xml:space="preserve">978-1-925365-74-0 - </w:t>
      </w:r>
      <w:bookmarkStart w:id="73" w:name="_GoBack"/>
      <w:r w:rsidR="005F6BDA" w:rsidRPr="005F6BDA">
        <w:t>Empowered to switch: A partnership to improve the Energy Made Easy comparison website (online)</w:t>
      </w:r>
      <w:bookmarkEnd w:id="73"/>
    </w:p>
    <w:p w14:paraId="67E00AB0" w14:textId="07B92159" w:rsidR="000E2E7C" w:rsidRPr="00A96B0F" w:rsidRDefault="000E2E7C" w:rsidP="000E2E7C">
      <w:pPr>
        <w:spacing w:before="240" w:after="120"/>
        <w:outlineLvl w:val="1"/>
        <w:rPr>
          <w:b/>
          <w:color w:val="2158A9" w:themeColor="accent2"/>
          <w:sz w:val="22"/>
        </w:rPr>
      </w:pPr>
      <w:r w:rsidRPr="00A96B0F">
        <w:rPr>
          <w:b/>
          <w:color w:val="2158A9" w:themeColor="accent2"/>
          <w:sz w:val="22"/>
        </w:rPr>
        <w:t>Copyright Notice</w:t>
      </w:r>
    </w:p>
    <w:p w14:paraId="1906F601" w14:textId="77777777" w:rsidR="000E2E7C" w:rsidRDefault="000E2E7C" w:rsidP="000E2E7C">
      <w:r w:rsidRPr="001540CB">
        <w:t>With the exception of the Commonwealth Coat of Arms, this work is licensed under a Creative Commons Attribution 4.0 International license (CC BY 4.0)</w:t>
      </w:r>
      <w:r>
        <w:t xml:space="preserve"> (</w:t>
      </w:r>
      <w:hyperlink r:id="rId46" w:history="1">
        <w:r w:rsidRPr="000E2E7C">
          <w:rPr>
            <w:rStyle w:val="Hyperlink"/>
            <w:color w:val="2158A9" w:themeColor="accent2"/>
          </w:rPr>
          <w:t>https://creativecommons.org/licenses/by/4.0/</w:t>
        </w:r>
      </w:hyperlink>
      <w:r>
        <w:t>)</w:t>
      </w:r>
    </w:p>
    <w:p w14:paraId="3B1845B4" w14:textId="77777777" w:rsidR="000E2E7C" w:rsidRDefault="000E2E7C" w:rsidP="000E2E7C">
      <w:pPr>
        <w:spacing w:before="240"/>
      </w:pPr>
      <w:r>
        <w:rPr>
          <w:noProof/>
        </w:rPr>
        <w:drawing>
          <wp:inline distT="0" distB="0" distL="0" distR="0" wp14:anchorId="038AC522" wp14:editId="7DB954CE">
            <wp:extent cx="771146" cy="307849"/>
            <wp:effectExtent l="0" t="0" r="0" b="0"/>
            <wp:docPr id="14" name="Picture 14" descr="Copyright logo" title="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2D36CCDA" w14:textId="77777777" w:rsidR="000E2E7C" w:rsidRPr="00A96B0F" w:rsidRDefault="000E2E7C" w:rsidP="000E2E7C">
      <w:pPr>
        <w:spacing w:before="240" w:after="120"/>
        <w:outlineLvl w:val="1"/>
        <w:rPr>
          <w:b/>
          <w:color w:val="2158A9" w:themeColor="accent2"/>
          <w:sz w:val="22"/>
        </w:rPr>
      </w:pPr>
      <w:r w:rsidRPr="00A96B0F">
        <w:rPr>
          <w:b/>
          <w:color w:val="2158A9" w:themeColor="accent2"/>
          <w:sz w:val="22"/>
        </w:rPr>
        <w:t>Third party copyright</w:t>
      </w:r>
    </w:p>
    <w:p w14:paraId="2A5DA575" w14:textId="77777777" w:rsidR="000E2E7C" w:rsidRDefault="000E2E7C" w:rsidP="000E2E7C">
      <w:r>
        <w:t>Wherever a third party holds copyright in this material, the copyright remains with that party. Their permission may be required to use the material. Please contact them directly.</w:t>
      </w:r>
    </w:p>
    <w:p w14:paraId="65A1404F" w14:textId="77777777" w:rsidR="000E2E7C" w:rsidRPr="00A96B0F" w:rsidRDefault="000E2E7C" w:rsidP="000E2E7C">
      <w:pPr>
        <w:spacing w:before="240" w:after="120"/>
        <w:outlineLvl w:val="1"/>
        <w:rPr>
          <w:b/>
          <w:color w:val="2158A9" w:themeColor="accent2"/>
          <w:sz w:val="22"/>
        </w:rPr>
      </w:pPr>
      <w:r w:rsidRPr="00A96B0F">
        <w:rPr>
          <w:b/>
          <w:color w:val="2158A9" w:themeColor="accent2"/>
          <w:sz w:val="22"/>
        </w:rPr>
        <w:t>Attribution</w:t>
      </w:r>
    </w:p>
    <w:p w14:paraId="762D097D" w14:textId="77777777" w:rsidR="000E2E7C" w:rsidRDefault="000E2E7C" w:rsidP="000E2E7C">
      <w:r>
        <w:t xml:space="preserve">This publication should be attributed as follows: </w:t>
      </w:r>
    </w:p>
    <w:p w14:paraId="38D1E4BD" w14:textId="6FCB3A55" w:rsidR="000E2E7C" w:rsidRDefault="000E2E7C" w:rsidP="000E2E7C">
      <w:r>
        <w:t xml:space="preserve">© Commonwealth of Australia, Department of the Prime Minister and Cabinet, </w:t>
      </w:r>
      <w:r>
        <w:rPr>
          <w:i/>
        </w:rPr>
        <w:t>Empowered to switch.</w:t>
      </w:r>
    </w:p>
    <w:p w14:paraId="674108E4" w14:textId="77777777" w:rsidR="000E2E7C" w:rsidRPr="00A96B0F" w:rsidRDefault="000E2E7C" w:rsidP="000E2E7C">
      <w:pPr>
        <w:spacing w:before="240" w:after="120"/>
        <w:outlineLvl w:val="1"/>
        <w:rPr>
          <w:b/>
          <w:color w:val="2158A9" w:themeColor="accent2"/>
          <w:sz w:val="22"/>
        </w:rPr>
      </w:pPr>
      <w:r w:rsidRPr="00A96B0F">
        <w:rPr>
          <w:b/>
          <w:color w:val="2158A9" w:themeColor="accent2"/>
          <w:sz w:val="22"/>
        </w:rPr>
        <w:t>Use of the Coat of Arms</w:t>
      </w:r>
    </w:p>
    <w:p w14:paraId="3AB424C6" w14:textId="63381303" w:rsidR="00C32523" w:rsidRPr="000E2E7C" w:rsidRDefault="000E2E7C" w:rsidP="000E2E7C">
      <w:pPr>
        <w:rPr>
          <w:rFonts w:cstheme="minorHAnsi"/>
          <w:color w:val="2158A9" w:themeColor="accent2"/>
          <w:szCs w:val="20"/>
        </w:rPr>
      </w:pPr>
      <w:r w:rsidRPr="00514D8C">
        <w:rPr>
          <w:rFonts w:cstheme="minorHAnsi"/>
          <w:szCs w:val="20"/>
        </w:rPr>
        <w:t xml:space="preserve">The terms under which the Coat of Arms can be used are detailed on the following website: </w:t>
      </w:r>
      <w:hyperlink r:id="rId48" w:history="1">
        <w:r w:rsidRPr="000E2E7C">
          <w:rPr>
            <w:rStyle w:val="Hyperlink"/>
            <w:rFonts w:cstheme="minorHAnsi"/>
            <w:color w:val="2158A9" w:themeColor="accent2"/>
            <w:szCs w:val="20"/>
            <w:lang w:val="en-US"/>
          </w:rPr>
          <w:t>https://pmc.gov.au/cca</w:t>
        </w:r>
      </w:hyperlink>
      <w:bookmarkEnd w:id="72"/>
    </w:p>
    <w:p w14:paraId="00E73D61" w14:textId="77777777" w:rsidR="00B73918" w:rsidRPr="002D7458" w:rsidRDefault="00B73918" w:rsidP="002D7458">
      <w:pPr>
        <w:sectPr w:rsidR="00B73918" w:rsidRPr="002D7458" w:rsidSect="007E2AA2">
          <w:headerReference w:type="even" r:id="rId49"/>
          <w:headerReference w:type="default" r:id="rId50"/>
          <w:footerReference w:type="default" r:id="rId51"/>
          <w:headerReference w:type="first" r:id="rId52"/>
          <w:type w:val="continuous"/>
          <w:pgSz w:w="11906" w:h="16838" w:code="9"/>
          <w:pgMar w:top="2041" w:right="2381" w:bottom="1247" w:left="1247" w:header="720" w:footer="851" w:gutter="0"/>
          <w:cols w:space="708"/>
          <w:docGrid w:linePitch="360"/>
        </w:sectPr>
      </w:pPr>
    </w:p>
    <w:p w14:paraId="254D55EA" w14:textId="5E074A6E" w:rsidR="00D10FA1" w:rsidRDefault="00B24A7A" w:rsidP="00E320C4">
      <w:pPr>
        <w:ind w:left="-378"/>
      </w:pPr>
      <w:r>
        <w:rPr>
          <w:noProof/>
        </w:rPr>
        <w:lastRenderedPageBreak/>
        <w:drawing>
          <wp:inline distT="0" distB="0" distL="0" distR="0" wp14:anchorId="58BF41B0" wp14:editId="62C5CBF0">
            <wp:extent cx="2526352" cy="3496063"/>
            <wp:effectExtent l="0" t="0" r="7620" b="0"/>
            <wp:docPr id="9" name="Picture 9" descr="Australian Government. 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ack2.png"/>
                    <pic:cNvPicPr/>
                  </pic:nvPicPr>
                  <pic:blipFill>
                    <a:blip r:embed="rId53">
                      <a:extLst>
                        <a:ext uri="{28A0092B-C50C-407E-A947-70E740481C1C}">
                          <a14:useLocalDpi xmlns:a14="http://schemas.microsoft.com/office/drawing/2010/main" val="0"/>
                        </a:ext>
                      </a:extLst>
                    </a:blip>
                    <a:stretch>
                      <a:fillRect/>
                    </a:stretch>
                  </pic:blipFill>
                  <pic:spPr>
                    <a:xfrm>
                      <a:off x="0" y="0"/>
                      <a:ext cx="2526352" cy="3496063"/>
                    </a:xfrm>
                    <a:prstGeom prst="rect">
                      <a:avLst/>
                    </a:prstGeom>
                  </pic:spPr>
                </pic:pic>
              </a:graphicData>
            </a:graphic>
          </wp:inline>
        </w:drawing>
      </w:r>
    </w:p>
    <w:p w14:paraId="4DE43B0E" w14:textId="77777777" w:rsidR="00E95CB7" w:rsidRPr="00EA15B8" w:rsidRDefault="00E95CB7" w:rsidP="00E95CB7">
      <w:pPr>
        <w:pStyle w:val="BackPageH1"/>
        <w:spacing w:after="3600"/>
      </w:pPr>
      <w:r w:rsidRPr="00EA15B8">
        <w:t xml:space="preserve">Behavioural Economics Team </w:t>
      </w:r>
      <w:r w:rsidRPr="00EA15B8">
        <w:br/>
        <w:t>of the Australian Government</w:t>
      </w:r>
    </w:p>
    <w:p w14:paraId="47BA6AD7" w14:textId="77777777" w:rsidR="00E95CB7" w:rsidRPr="00EA15B8" w:rsidRDefault="00E95CB7" w:rsidP="00E95CB7">
      <w:pPr>
        <w:pStyle w:val="BackPageH2"/>
      </w:pPr>
      <w:r w:rsidRPr="00EA15B8">
        <w:t xml:space="preserve">General enquiries </w:t>
      </w:r>
      <w:hyperlink r:id="rId54" w:history="1">
        <w:r w:rsidRPr="006B3E6A">
          <w:rPr>
            <w:rStyle w:val="Hyperlink"/>
            <w:color w:val="2158A9" w:themeColor="accent2"/>
          </w:rPr>
          <w:t>beta@pmc.gov.au</w:t>
        </w:r>
      </w:hyperlink>
    </w:p>
    <w:p w14:paraId="55A1A361" w14:textId="77777777" w:rsidR="00E95CB7" w:rsidRPr="00EA15B8" w:rsidRDefault="00E95CB7" w:rsidP="00E95CB7">
      <w:pPr>
        <w:pStyle w:val="BackPageH2"/>
      </w:pPr>
      <w:r w:rsidRPr="00EA15B8">
        <w:t xml:space="preserve">Media enquiries </w:t>
      </w:r>
      <w:hyperlink r:id="rId55" w:history="1">
        <w:r w:rsidRPr="006B3E6A">
          <w:rPr>
            <w:rStyle w:val="Hyperlink"/>
            <w:color w:val="2158A9" w:themeColor="accent2"/>
          </w:rPr>
          <w:t>media@pmc.gov.au</w:t>
        </w:r>
      </w:hyperlink>
    </w:p>
    <w:p w14:paraId="3505A1F2" w14:textId="77777777" w:rsidR="00E95CB7" w:rsidRDefault="00E95CB7" w:rsidP="00E95CB7">
      <w:pPr>
        <w:pStyle w:val="BackPageH2"/>
        <w:rPr>
          <w:rStyle w:val="Hyperlink"/>
        </w:rPr>
      </w:pPr>
      <w:r w:rsidRPr="00EA15B8">
        <w:t xml:space="preserve">Find out more </w:t>
      </w:r>
      <w:hyperlink r:id="rId56" w:history="1">
        <w:r w:rsidRPr="006B3E6A">
          <w:rPr>
            <w:rStyle w:val="Hyperlink"/>
            <w:color w:val="2158A9" w:themeColor="accent2"/>
          </w:rPr>
          <w:t>www.pmc.gov.au/beta</w:t>
        </w:r>
      </w:hyperlink>
    </w:p>
    <w:p w14:paraId="3422955C" w14:textId="6FF43D46" w:rsidR="00E95CB7" w:rsidRPr="006B3E6A" w:rsidRDefault="00E95CB7" w:rsidP="00E95CB7">
      <w:pPr>
        <w:pStyle w:val="BackPageH2"/>
        <w:rPr>
          <w:rStyle w:val="Hyperlink"/>
          <w:color w:val="2158A9" w:themeColor="accent2"/>
        </w:rPr>
      </w:pPr>
      <w:r>
        <w:rPr>
          <w:rStyle w:val="Hyperlink"/>
        </w:rPr>
        <w:fldChar w:fldCharType="begin"/>
      </w:r>
      <w:r>
        <w:rPr>
          <w:rStyle w:val="Hyperlink"/>
        </w:rPr>
        <w:instrText xml:space="preserve"> HYPERLINK "https://youropinion.au1.qualtrics.com/jfe/form/SV_3KTVLrC3vE1cqp0?document=empowered" </w:instrText>
      </w:r>
      <w:r>
        <w:rPr>
          <w:rStyle w:val="Hyperlink"/>
        </w:rPr>
        <w:fldChar w:fldCharType="separate"/>
      </w:r>
      <w:r w:rsidRPr="006B3E6A">
        <w:rPr>
          <w:rStyle w:val="Hyperlink"/>
          <w:color w:val="2158A9" w:themeColor="accent2"/>
        </w:rPr>
        <w:t>Tell us how you’re using this report</w:t>
      </w:r>
    </w:p>
    <w:p w14:paraId="30F7CFBE" w14:textId="30691E06" w:rsidR="00037F3D" w:rsidRPr="00E95CB7" w:rsidRDefault="00E95CB7" w:rsidP="00E95CB7">
      <w:pPr>
        <w:pStyle w:val="BackPageH2"/>
        <w:rPr>
          <w:color w:val="6496E0" w:themeColor="accent2" w:themeTint="99"/>
          <w:u w:val="single"/>
        </w:rPr>
      </w:pPr>
      <w:r w:rsidRPr="00E95CB7">
        <w:rPr>
          <w:rStyle w:val="Hyperlink"/>
          <w:noProof/>
        </w:rPr>
        <w:drawing>
          <wp:inline distT="0" distB="0" distL="0" distR="0" wp14:anchorId="0871C349" wp14:editId="587BC2A9">
            <wp:extent cx="1090160" cy="1090160"/>
            <wp:effectExtent l="0" t="0" r="0" b="0"/>
            <wp:docPr id="1" name="Picture 1" descr="Picture of QR code to tell us how you're using thi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3403\Downloads\qrcode_youropinion.au1.qualtrics.com.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090160" cy="1090160"/>
                    </a:xfrm>
                    <a:prstGeom prst="rect">
                      <a:avLst/>
                    </a:prstGeom>
                    <a:noFill/>
                    <a:ln>
                      <a:noFill/>
                    </a:ln>
                  </pic:spPr>
                </pic:pic>
              </a:graphicData>
            </a:graphic>
          </wp:inline>
        </w:drawing>
      </w:r>
      <w:r>
        <w:rPr>
          <w:rStyle w:val="Hyperlink"/>
        </w:rPr>
        <w:fldChar w:fldCharType="end"/>
      </w:r>
    </w:p>
    <w:sectPr w:rsidR="00037F3D" w:rsidRPr="00E95CB7" w:rsidSect="00F202CA">
      <w:headerReference w:type="even" r:id="rId57"/>
      <w:headerReference w:type="default" r:id="rId58"/>
      <w:footerReference w:type="default" r:id="rId59"/>
      <w:headerReference w:type="first" r:id="rId60"/>
      <w:pgSz w:w="11906" w:h="16838" w:code="9"/>
      <w:pgMar w:top="720" w:right="2381" w:bottom="1247" w:left="1247"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417EC2" w14:textId="77777777" w:rsidR="00CA79E1" w:rsidRDefault="00CA79E1">
      <w:r>
        <w:separator/>
      </w:r>
    </w:p>
  </w:endnote>
  <w:endnote w:type="continuationSeparator" w:id="0">
    <w:p w14:paraId="38B18E6F" w14:textId="77777777" w:rsidR="00CA79E1" w:rsidRDefault="00CA79E1">
      <w:r>
        <w:continuationSeparator/>
      </w:r>
    </w:p>
  </w:endnote>
  <w:endnote w:type="continuationNotice" w:id="1">
    <w:p w14:paraId="5C7054F8" w14:textId="77777777" w:rsidR="00CA79E1" w:rsidRDefault="00CA79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5000785B" w:usb2="00000000"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47DA3" w14:textId="37A4B686" w:rsidR="00CA79E1" w:rsidRDefault="00CA79E1" w:rsidP="00841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96313" w14:textId="77777777" w:rsidR="00CA79E1" w:rsidRDefault="00CA79E1" w:rsidP="00A00EEB">
    <w:pPr>
      <w:pStyle w:val="Footer"/>
    </w:pPr>
  </w:p>
  <w:p w14:paraId="6DAAC34A" w14:textId="4823C69B" w:rsidR="00CA79E1" w:rsidRDefault="00CA79E1" w:rsidP="00A00EEB">
    <w:pPr>
      <w:pStyle w:val="Footer"/>
    </w:pPr>
    <w:r w:rsidRPr="003F31E6">
      <w:rPr>
        <w:noProof/>
      </w:rPr>
      <mc:AlternateContent>
        <mc:Choice Requires="wps">
          <w:drawing>
            <wp:anchor distT="0" distB="0" distL="114300" distR="114300" simplePos="0" relativeHeight="251658240" behindDoc="1" locked="0" layoutInCell="1" allowOverlap="1" wp14:anchorId="2EB225D9" wp14:editId="756D7EF9">
              <wp:simplePos x="0" y="0"/>
              <wp:positionH relativeFrom="page">
                <wp:posOffset>0</wp:posOffset>
              </wp:positionH>
              <wp:positionV relativeFrom="page">
                <wp:posOffset>0</wp:posOffset>
              </wp:positionV>
              <wp:extent cx="7560000" cy="10692000"/>
              <wp:effectExtent l="0" t="0" r="3175" b="0"/>
              <wp:wrapNone/>
              <wp:docPr id="22" name="Rectangle 22" descr="White background"/>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7A545" id="Rectangle 22" o:spid="_x0000_s1026" alt="White background" style="position:absolute;margin-left:0;margin-top:0;width:595.3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" fillcolor="#f2f2f2 [3052]" stroked="f" strokeweight="2pt">
              <w10:wrap anchorx="page" anchory="page"/>
            </v:rect>
          </w:pict>
        </mc:Fallback>
      </mc:AlternateContent>
    </w:r>
    <w:r w:rsidRPr="00D91DE4">
      <w:t>Behavioural Economics Te</w:t>
    </w:r>
    <w:r>
      <w:t>am of the Australian Government</w:t>
    </w:r>
    <w:r>
      <w:tab/>
    </w:r>
    <w:r w:rsidRPr="00D91DE4">
      <w:fldChar w:fldCharType="begin"/>
    </w:r>
    <w:r w:rsidRPr="00D91DE4">
      <w:instrText xml:space="preserve"> PAGE   \* MERGEFORMAT </w:instrText>
    </w:r>
    <w:r w:rsidRPr="00D91DE4">
      <w:fldChar w:fldCharType="separate"/>
    </w:r>
    <w:r w:rsidR="00D26AAB">
      <w:rPr>
        <w:noProof/>
      </w:rPr>
      <w:t>1</w:t>
    </w:r>
    <w:r w:rsidRPr="00D91DE4">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747F1" w14:textId="48FCBDCF" w:rsidR="00CA79E1" w:rsidRPr="008253C4" w:rsidRDefault="00CA79E1" w:rsidP="00345348">
    <w:pPr>
      <w:pStyle w:val="Footer"/>
      <w:rPr>
        <w:color w:val="FFFFFF" w:themeColor="background1"/>
      </w:rPr>
    </w:pPr>
    <w:r w:rsidRPr="008253C4">
      <w:rPr>
        <w:color w:val="FFFFFF" w:themeColor="background1"/>
      </w:rPr>
      <w:t xml:space="preserve">Behavioural Economics Team of the Australian Government </w:t>
    </w:r>
    <w:r w:rsidRPr="008253C4">
      <w:rPr>
        <w:color w:val="FFFFFF" w:themeColor="background1"/>
      </w:rPr>
      <w:tab/>
    </w:r>
    <w:r w:rsidRPr="008253C4">
      <w:rPr>
        <w:color w:val="FFFFFF" w:themeColor="background1"/>
      </w:rPr>
      <w:fldChar w:fldCharType="begin"/>
    </w:r>
    <w:r w:rsidRPr="008253C4">
      <w:rPr>
        <w:color w:val="FFFFFF" w:themeColor="background1"/>
      </w:rPr>
      <w:instrText xml:space="preserve"> PAGE   \* MERGEFORMAT </w:instrText>
    </w:r>
    <w:r w:rsidRPr="008253C4">
      <w:rPr>
        <w:color w:val="FFFFFF" w:themeColor="background1"/>
      </w:rPr>
      <w:fldChar w:fldCharType="separate"/>
    </w:r>
    <w:r w:rsidR="00D26AAB">
      <w:rPr>
        <w:noProof/>
        <w:color w:val="FFFFFF" w:themeColor="background1"/>
      </w:rPr>
      <w:t>3</w:t>
    </w:r>
    <w:r w:rsidRPr="008253C4">
      <w:rPr>
        <w:noProof/>
        <w:color w:val="FFFFFF" w:themeColor="background1"/>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36A06" w14:textId="77777777" w:rsidR="00CA79E1" w:rsidRDefault="00CA79E1" w:rsidP="00A00EEB">
    <w:pPr>
      <w:pStyle w:val="Footer"/>
    </w:pPr>
  </w:p>
  <w:p w14:paraId="2C174312" w14:textId="73CD4184" w:rsidR="00CA79E1" w:rsidRDefault="00CA79E1"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D26AAB">
      <w:rPr>
        <w:noProof/>
      </w:rPr>
      <w:t>20</w:t>
    </w:r>
    <w:r w:rsidRPr="00D91DE4">
      <w:rPr>
        <w:noProof/>
      </w:rPr>
      <w:fldChar w:fldCharType="end"/>
    </w:r>
  </w:p>
  <w:p w14:paraId="26C3FF03" w14:textId="7BEB41DB" w:rsidR="00CA79E1" w:rsidRDefault="00CA79E1"/>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CFEF4" w14:textId="77777777" w:rsidR="00CA79E1" w:rsidRPr="00F202CA" w:rsidRDefault="00CA79E1" w:rsidP="00F202CA">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F5AE90" w14:textId="77777777" w:rsidR="00CA79E1" w:rsidRDefault="00CA79E1">
      <w:r>
        <w:separator/>
      </w:r>
    </w:p>
  </w:footnote>
  <w:footnote w:type="continuationSeparator" w:id="0">
    <w:p w14:paraId="6B88B834" w14:textId="77777777" w:rsidR="00CA79E1" w:rsidRDefault="00CA79E1">
      <w:r>
        <w:continuationSeparator/>
      </w:r>
    </w:p>
  </w:footnote>
  <w:footnote w:type="continuationNotice" w:id="1">
    <w:p w14:paraId="2C61135E" w14:textId="77777777" w:rsidR="00CA79E1" w:rsidRDefault="00CA79E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35CD9" w14:textId="62644197" w:rsidR="00CA79E1" w:rsidRDefault="00CA79E1" w:rsidP="00330274">
    <w:pPr>
      <w:pStyle w:val="Header"/>
      <w:tabs>
        <w:tab w:val="clear" w:pos="10319"/>
        <w:tab w:val="left" w:pos="803"/>
      </w:tabs>
      <w:ind w:right="-24"/>
    </w:pPr>
    <w:r>
      <w:rPr>
        <w:noProof/>
      </w:rPr>
      <w:drawing>
        <wp:anchor distT="0" distB="0" distL="114300" distR="114300" simplePos="0" relativeHeight="251658241" behindDoc="1" locked="0" layoutInCell="1" allowOverlap="1" wp14:anchorId="51228E59" wp14:editId="3F1C30CC">
          <wp:simplePos x="0" y="0"/>
          <wp:positionH relativeFrom="page">
            <wp:posOffset>162</wp:posOffset>
          </wp:positionH>
          <wp:positionV relativeFrom="page">
            <wp:posOffset>-1905</wp:posOffset>
          </wp:positionV>
          <wp:extent cx="7563600" cy="10690735"/>
          <wp:effectExtent l="0" t="0" r="0" b="0"/>
          <wp:wrapNone/>
          <wp:docPr id="40" name="Picture 40" descr="Australian Government Department of the Prime Minister and Cabinet. 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073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574BD" w14:textId="5F8CC7E7" w:rsidR="00CA79E1" w:rsidRDefault="00CA79E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94B78" w14:textId="3A738FCE" w:rsidR="00CA79E1" w:rsidRDefault="00CA79E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9DE46" w14:textId="7E60B3D7" w:rsidR="00CA79E1" w:rsidRPr="00F202CA" w:rsidRDefault="00CA79E1" w:rsidP="00F202C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58729" w14:textId="2D308BE5" w:rsidR="00CA79E1" w:rsidRDefault="00CA79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3F566" w14:textId="7EC99A1C" w:rsidR="00CA79E1" w:rsidRDefault="00CA79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66640" w14:textId="172A164A" w:rsidR="00CA79E1" w:rsidRDefault="00CA79E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BE650E" w14:textId="3B35173F" w:rsidR="00CA79E1" w:rsidRDefault="00CA79E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49019" w14:textId="2AB318AD" w:rsidR="00CA79E1" w:rsidRDefault="00CA79E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AAE24" w14:textId="33C6753F" w:rsidR="00CA79E1" w:rsidRPr="004909C3" w:rsidRDefault="00CA79E1" w:rsidP="008253C4">
    <w:pPr>
      <w:pStyle w:val="Header"/>
      <w:rPr>
        <w:color w:val="FFFFFF" w:themeColor="background1"/>
      </w:rPr>
    </w:pPr>
    <w:r>
      <w:rPr>
        <w:color w:val="FFFFFF" w:themeColor="background1"/>
      </w:rPr>
      <w:t>Empowered to switch</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3FB91" w14:textId="44A5E0EF" w:rsidR="00CA79E1" w:rsidRDefault="00CA79E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4B6A9" w14:textId="36DDD6D7" w:rsidR="00CA79E1" w:rsidRDefault="00CA79E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9F204" w14:textId="7787BB7C" w:rsidR="00CA79E1" w:rsidRDefault="00CA79E1">
    <w:pPr>
      <w:pStyle w:val="Header"/>
    </w:pPr>
    <w:r>
      <w:t>Empowered to switch</w:t>
    </w:r>
  </w:p>
  <w:p w14:paraId="355BBBA3" w14:textId="4E24FC2E" w:rsidR="00CA79E1" w:rsidRDefault="00CA79E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B357A"/>
    <w:multiLevelType w:val="hybridMultilevel"/>
    <w:tmpl w:val="6A0850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B96787"/>
    <w:multiLevelType w:val="hybridMultilevel"/>
    <w:tmpl w:val="E144A59E"/>
    <w:lvl w:ilvl="0" w:tplc="0C09000F">
      <w:start w:val="1"/>
      <w:numFmt w:val="decimal"/>
      <w:lvlText w:val="%1."/>
      <w:lvlJc w:val="left"/>
      <w:pPr>
        <w:ind w:left="9084" w:hanging="360"/>
      </w:pPr>
      <w:rPr>
        <w:rFonts w:hint="default"/>
      </w:rPr>
    </w:lvl>
    <w:lvl w:ilvl="1" w:tplc="0C090019">
      <w:start w:val="1"/>
      <w:numFmt w:val="lowerLetter"/>
      <w:lvlText w:val="%2."/>
      <w:lvlJc w:val="left"/>
      <w:pPr>
        <w:ind w:left="9804" w:hanging="360"/>
      </w:pPr>
    </w:lvl>
    <w:lvl w:ilvl="2" w:tplc="0C09001B" w:tentative="1">
      <w:start w:val="1"/>
      <w:numFmt w:val="lowerRoman"/>
      <w:lvlText w:val="%3."/>
      <w:lvlJc w:val="right"/>
      <w:pPr>
        <w:ind w:left="10524" w:hanging="180"/>
      </w:pPr>
    </w:lvl>
    <w:lvl w:ilvl="3" w:tplc="0C09000F" w:tentative="1">
      <w:start w:val="1"/>
      <w:numFmt w:val="decimal"/>
      <w:lvlText w:val="%4."/>
      <w:lvlJc w:val="left"/>
      <w:pPr>
        <w:ind w:left="11244" w:hanging="360"/>
      </w:pPr>
    </w:lvl>
    <w:lvl w:ilvl="4" w:tplc="0C090019" w:tentative="1">
      <w:start w:val="1"/>
      <w:numFmt w:val="lowerLetter"/>
      <w:lvlText w:val="%5."/>
      <w:lvlJc w:val="left"/>
      <w:pPr>
        <w:ind w:left="11964" w:hanging="360"/>
      </w:pPr>
    </w:lvl>
    <w:lvl w:ilvl="5" w:tplc="0C09001B" w:tentative="1">
      <w:start w:val="1"/>
      <w:numFmt w:val="lowerRoman"/>
      <w:lvlText w:val="%6."/>
      <w:lvlJc w:val="right"/>
      <w:pPr>
        <w:ind w:left="12684" w:hanging="180"/>
      </w:pPr>
    </w:lvl>
    <w:lvl w:ilvl="6" w:tplc="0C09000F" w:tentative="1">
      <w:start w:val="1"/>
      <w:numFmt w:val="decimal"/>
      <w:lvlText w:val="%7."/>
      <w:lvlJc w:val="left"/>
      <w:pPr>
        <w:ind w:left="13404" w:hanging="360"/>
      </w:pPr>
    </w:lvl>
    <w:lvl w:ilvl="7" w:tplc="0C090019" w:tentative="1">
      <w:start w:val="1"/>
      <w:numFmt w:val="lowerLetter"/>
      <w:lvlText w:val="%8."/>
      <w:lvlJc w:val="left"/>
      <w:pPr>
        <w:ind w:left="14124" w:hanging="360"/>
      </w:pPr>
    </w:lvl>
    <w:lvl w:ilvl="8" w:tplc="0C09001B" w:tentative="1">
      <w:start w:val="1"/>
      <w:numFmt w:val="lowerRoman"/>
      <w:lvlText w:val="%9."/>
      <w:lvlJc w:val="right"/>
      <w:pPr>
        <w:ind w:left="14844" w:hanging="180"/>
      </w:pPr>
    </w:lvl>
  </w:abstractNum>
  <w:abstractNum w:abstractNumId="2" w15:restartNumberingAfterBreak="0">
    <w:nsid w:val="0A2F507E"/>
    <w:multiLevelType w:val="hybridMultilevel"/>
    <w:tmpl w:val="7D5EF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80047A"/>
    <w:multiLevelType w:val="hybridMultilevel"/>
    <w:tmpl w:val="F9E8C594"/>
    <w:lvl w:ilvl="0" w:tplc="0C09000B">
      <w:start w:val="1"/>
      <w:numFmt w:val="bullet"/>
      <w:lvlText w:val=""/>
      <w:lvlJc w:val="left"/>
      <w:pPr>
        <w:ind w:left="780" w:hanging="360"/>
      </w:pPr>
      <w:rPr>
        <w:rFonts w:ascii="Wingdings" w:hAnsi="Wingdings"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 w15:restartNumberingAfterBreak="0">
    <w:nsid w:val="136B1E2A"/>
    <w:multiLevelType w:val="multilevel"/>
    <w:tmpl w:val="ED0EBB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46647A5"/>
    <w:multiLevelType w:val="hybridMultilevel"/>
    <w:tmpl w:val="DEF288E6"/>
    <w:lvl w:ilvl="0" w:tplc="81EA6BD2">
      <w:start w:val="25"/>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CA4EDF"/>
    <w:multiLevelType w:val="hybridMultilevel"/>
    <w:tmpl w:val="7DAA6AD2"/>
    <w:lvl w:ilvl="0" w:tplc="3FF2A0A6">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BF02C3"/>
    <w:multiLevelType w:val="hybridMultilevel"/>
    <w:tmpl w:val="65C4A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461FE5"/>
    <w:multiLevelType w:val="hybridMultilevel"/>
    <w:tmpl w:val="17081296"/>
    <w:lvl w:ilvl="0" w:tplc="87FC2FB0">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6F2019"/>
    <w:multiLevelType w:val="hybridMultilevel"/>
    <w:tmpl w:val="3DB4A7EC"/>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BEC6C41"/>
    <w:multiLevelType w:val="hybridMultilevel"/>
    <w:tmpl w:val="8A0428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9B1310"/>
    <w:multiLevelType w:val="multilevel"/>
    <w:tmpl w:val="2444D12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20AB6DBD"/>
    <w:multiLevelType w:val="multilevel"/>
    <w:tmpl w:val="6EEE078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212B1750"/>
    <w:multiLevelType w:val="hybridMultilevel"/>
    <w:tmpl w:val="1A7C6D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2B00506"/>
    <w:multiLevelType w:val="hybridMultilevel"/>
    <w:tmpl w:val="C6D6A1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46A3667"/>
    <w:multiLevelType w:val="hybridMultilevel"/>
    <w:tmpl w:val="6080920A"/>
    <w:lvl w:ilvl="0" w:tplc="580C23F2">
      <w:start w:val="1"/>
      <w:numFmt w:val="decimal"/>
      <w:pStyle w:val="HeadingTable"/>
      <w:lvlText w:val="Table %1."/>
      <w:lvlJc w:val="left"/>
      <w:pPr>
        <w:ind w:left="360" w:hanging="360"/>
      </w:pPr>
      <w:rPr>
        <w:rFonts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4C70F53"/>
    <w:multiLevelType w:val="hybridMultilevel"/>
    <w:tmpl w:val="4796BB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9305AC8"/>
    <w:multiLevelType w:val="hybridMultilevel"/>
    <w:tmpl w:val="D076C3B4"/>
    <w:lvl w:ilvl="0" w:tplc="7DCED05C">
      <w:start w:val="1"/>
      <w:numFmt w:val="bullet"/>
      <w:pStyle w:val="EmphasisPane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A3333D2"/>
    <w:multiLevelType w:val="hybridMultilevel"/>
    <w:tmpl w:val="8966B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B5F18D2"/>
    <w:multiLevelType w:val="multilevel"/>
    <w:tmpl w:val="AA6C95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2C3A5F11"/>
    <w:multiLevelType w:val="hybridMultilevel"/>
    <w:tmpl w:val="94D07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C92069F"/>
    <w:multiLevelType w:val="multilevel"/>
    <w:tmpl w:val="28FC9A1E"/>
    <w:lvl w:ilvl="0">
      <w:start w:val="1"/>
      <w:numFmt w:val="bullet"/>
      <w:lvlText w:val="•"/>
      <w:lvlJc w:val="left"/>
      <w:pPr>
        <w:ind w:left="360" w:hanging="360"/>
      </w:pPr>
      <w:rPr>
        <w:rFonts w:ascii="Helvetica" w:hAnsi="Helvetica" w:hint="default"/>
      </w:rPr>
    </w:lvl>
    <w:lvl w:ilvl="1">
      <w:start w:val="1"/>
      <w:numFmt w:val="bullet"/>
      <w:pStyle w:val="ListBullet2"/>
      <w:lvlText w:val="–"/>
      <w:lvlJc w:val="left"/>
      <w:pPr>
        <w:ind w:left="720" w:hanging="360"/>
      </w:pPr>
      <w:rPr>
        <w:rFonts w:ascii="Helvetica" w:hAnsi="Helvetica" w:hint="default"/>
      </w:rPr>
    </w:lvl>
    <w:lvl w:ilvl="2">
      <w:start w:val="1"/>
      <w:numFmt w:val="bullet"/>
      <w:pStyle w:val="ListBullet3"/>
      <w:lvlText w:val="•"/>
      <w:lvlJc w:val="left"/>
      <w:pPr>
        <w:ind w:left="1080" w:hanging="360"/>
      </w:pPr>
      <w:rPr>
        <w:rFonts w:ascii="Helvetica" w:hAnsi="Helvetica"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2E257CEE"/>
    <w:multiLevelType w:val="multilevel"/>
    <w:tmpl w:val="2E6066F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2ED310CF"/>
    <w:multiLevelType w:val="multilevel"/>
    <w:tmpl w:val="042C7BA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2ED8447E"/>
    <w:multiLevelType w:val="hybridMultilevel"/>
    <w:tmpl w:val="B8DED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F3E1B96"/>
    <w:multiLevelType w:val="hybridMultilevel"/>
    <w:tmpl w:val="E0A00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3B01711"/>
    <w:multiLevelType w:val="hybridMultilevel"/>
    <w:tmpl w:val="20CC7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53C0B9F"/>
    <w:multiLevelType w:val="hybridMultilevel"/>
    <w:tmpl w:val="F2309C2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8" w15:restartNumberingAfterBreak="0">
    <w:nsid w:val="36087F50"/>
    <w:multiLevelType w:val="multilevel"/>
    <w:tmpl w:val="3D2081FC"/>
    <w:lvl w:ilvl="0">
      <w:numFmt w:val="decimal"/>
      <w:pStyle w:val="AppendixHeading"/>
      <w:suff w:val="nothing"/>
      <w:lvlText w:val="Appendix %1 - "/>
      <w:lvlJc w:val="left"/>
      <w:pPr>
        <w:ind w:left="1134" w:hanging="1134"/>
      </w:pPr>
      <w:rPr>
        <w:rFonts w:ascii="Helvetica" w:hAnsi="Helvetica" w:hint="default"/>
        <w:b/>
        <w:i w:val="0"/>
        <w:color w:val="ABDBF6"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pStyle w:val="Heading6"/>
      <w:lvlText w:val="%6)"/>
      <w:lvlJc w:val="left"/>
      <w:pPr>
        <w:ind w:left="1872" w:hanging="432"/>
      </w:pPr>
      <w:rPr>
        <w:rFonts w:hint="default"/>
      </w:rPr>
    </w:lvl>
    <w:lvl w:ilvl="6">
      <w:start w:val="1"/>
      <w:numFmt w:val="lowerRoman"/>
      <w:pStyle w:val="Heading7"/>
      <w:lvlText w:val="%7)"/>
      <w:lvlJc w:val="right"/>
      <w:pPr>
        <w:ind w:left="2016" w:hanging="288"/>
      </w:pPr>
      <w:rPr>
        <w:rFonts w:hint="default"/>
      </w:rPr>
    </w:lvl>
    <w:lvl w:ilvl="7">
      <w:start w:val="1"/>
      <w:numFmt w:val="lowerLetter"/>
      <w:pStyle w:val="Heading8"/>
      <w:lvlText w:val="%8."/>
      <w:lvlJc w:val="left"/>
      <w:pPr>
        <w:ind w:left="2160" w:hanging="432"/>
      </w:pPr>
      <w:rPr>
        <w:rFonts w:hint="default"/>
      </w:rPr>
    </w:lvl>
    <w:lvl w:ilvl="8">
      <w:start w:val="1"/>
      <w:numFmt w:val="lowerRoman"/>
      <w:pStyle w:val="Heading9"/>
      <w:lvlText w:val="%9."/>
      <w:lvlJc w:val="right"/>
      <w:pPr>
        <w:ind w:left="2304" w:hanging="144"/>
      </w:pPr>
      <w:rPr>
        <w:rFonts w:hint="default"/>
      </w:rPr>
    </w:lvl>
  </w:abstractNum>
  <w:abstractNum w:abstractNumId="29" w15:restartNumberingAfterBreak="0">
    <w:nsid w:val="39E70DDF"/>
    <w:multiLevelType w:val="hybridMultilevel"/>
    <w:tmpl w:val="B6DC86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B04553E"/>
    <w:multiLevelType w:val="multilevel"/>
    <w:tmpl w:val="F40C028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3C5B2692"/>
    <w:multiLevelType w:val="hybridMultilevel"/>
    <w:tmpl w:val="DAEC1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C8C03CA"/>
    <w:multiLevelType w:val="multilevel"/>
    <w:tmpl w:val="2C4EEFB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41300B56"/>
    <w:multiLevelType w:val="hybridMultilevel"/>
    <w:tmpl w:val="1AC2C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23C2865"/>
    <w:multiLevelType w:val="hybridMultilevel"/>
    <w:tmpl w:val="327C190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2433E38"/>
    <w:multiLevelType w:val="hybridMultilevel"/>
    <w:tmpl w:val="494C5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36A7891"/>
    <w:multiLevelType w:val="multilevel"/>
    <w:tmpl w:val="29482E1C"/>
    <w:lvl w:ilvl="0">
      <w:start w:val="1"/>
      <w:numFmt w:val="decimal"/>
      <w:pStyle w:val="FigureHeading"/>
      <w:lvlText w:val="Figure %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439268D2"/>
    <w:multiLevelType w:val="hybridMultilevel"/>
    <w:tmpl w:val="6C4052A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440B1DAB"/>
    <w:multiLevelType w:val="hybridMultilevel"/>
    <w:tmpl w:val="DDC0B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9017CDF"/>
    <w:multiLevelType w:val="multilevel"/>
    <w:tmpl w:val="772C30E6"/>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498A76FC"/>
    <w:multiLevelType w:val="hybridMultilevel"/>
    <w:tmpl w:val="D5140B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BE14219"/>
    <w:multiLevelType w:val="hybridMultilevel"/>
    <w:tmpl w:val="10D8B160"/>
    <w:lvl w:ilvl="0" w:tplc="0C090001">
      <w:start w:val="1"/>
      <w:numFmt w:val="bullet"/>
      <w:lvlText w:val=""/>
      <w:lvlJc w:val="left"/>
      <w:pPr>
        <w:ind w:left="6480" w:hanging="360"/>
      </w:pPr>
      <w:rPr>
        <w:rFonts w:ascii="Symbol" w:hAnsi="Symbol" w:hint="default"/>
      </w:rPr>
    </w:lvl>
    <w:lvl w:ilvl="1" w:tplc="0C090003" w:tentative="1">
      <w:start w:val="1"/>
      <w:numFmt w:val="bullet"/>
      <w:lvlText w:val="o"/>
      <w:lvlJc w:val="left"/>
      <w:pPr>
        <w:ind w:left="7200" w:hanging="360"/>
      </w:pPr>
      <w:rPr>
        <w:rFonts w:ascii="Courier New" w:hAnsi="Courier New" w:cs="Courier New" w:hint="default"/>
      </w:rPr>
    </w:lvl>
    <w:lvl w:ilvl="2" w:tplc="0C090005" w:tentative="1">
      <w:start w:val="1"/>
      <w:numFmt w:val="bullet"/>
      <w:lvlText w:val=""/>
      <w:lvlJc w:val="left"/>
      <w:pPr>
        <w:ind w:left="7920" w:hanging="360"/>
      </w:pPr>
      <w:rPr>
        <w:rFonts w:ascii="Wingdings" w:hAnsi="Wingdings" w:hint="default"/>
      </w:rPr>
    </w:lvl>
    <w:lvl w:ilvl="3" w:tplc="0C090001" w:tentative="1">
      <w:start w:val="1"/>
      <w:numFmt w:val="bullet"/>
      <w:lvlText w:val=""/>
      <w:lvlJc w:val="left"/>
      <w:pPr>
        <w:ind w:left="8640" w:hanging="360"/>
      </w:pPr>
      <w:rPr>
        <w:rFonts w:ascii="Symbol" w:hAnsi="Symbol" w:hint="default"/>
      </w:rPr>
    </w:lvl>
    <w:lvl w:ilvl="4" w:tplc="0C090003" w:tentative="1">
      <w:start w:val="1"/>
      <w:numFmt w:val="bullet"/>
      <w:lvlText w:val="o"/>
      <w:lvlJc w:val="left"/>
      <w:pPr>
        <w:ind w:left="9360" w:hanging="360"/>
      </w:pPr>
      <w:rPr>
        <w:rFonts w:ascii="Courier New" w:hAnsi="Courier New" w:cs="Courier New" w:hint="default"/>
      </w:rPr>
    </w:lvl>
    <w:lvl w:ilvl="5" w:tplc="0C090005" w:tentative="1">
      <w:start w:val="1"/>
      <w:numFmt w:val="bullet"/>
      <w:lvlText w:val=""/>
      <w:lvlJc w:val="left"/>
      <w:pPr>
        <w:ind w:left="10080" w:hanging="360"/>
      </w:pPr>
      <w:rPr>
        <w:rFonts w:ascii="Wingdings" w:hAnsi="Wingdings" w:hint="default"/>
      </w:rPr>
    </w:lvl>
    <w:lvl w:ilvl="6" w:tplc="0C090001" w:tentative="1">
      <w:start w:val="1"/>
      <w:numFmt w:val="bullet"/>
      <w:lvlText w:val=""/>
      <w:lvlJc w:val="left"/>
      <w:pPr>
        <w:ind w:left="10800" w:hanging="360"/>
      </w:pPr>
      <w:rPr>
        <w:rFonts w:ascii="Symbol" w:hAnsi="Symbol" w:hint="default"/>
      </w:rPr>
    </w:lvl>
    <w:lvl w:ilvl="7" w:tplc="0C090003" w:tentative="1">
      <w:start w:val="1"/>
      <w:numFmt w:val="bullet"/>
      <w:lvlText w:val="o"/>
      <w:lvlJc w:val="left"/>
      <w:pPr>
        <w:ind w:left="11520" w:hanging="360"/>
      </w:pPr>
      <w:rPr>
        <w:rFonts w:ascii="Courier New" w:hAnsi="Courier New" w:cs="Courier New" w:hint="default"/>
      </w:rPr>
    </w:lvl>
    <w:lvl w:ilvl="8" w:tplc="0C090005" w:tentative="1">
      <w:start w:val="1"/>
      <w:numFmt w:val="bullet"/>
      <w:lvlText w:val=""/>
      <w:lvlJc w:val="left"/>
      <w:pPr>
        <w:ind w:left="12240" w:hanging="360"/>
      </w:pPr>
      <w:rPr>
        <w:rFonts w:ascii="Wingdings" w:hAnsi="Wingdings" w:hint="default"/>
      </w:rPr>
    </w:lvl>
  </w:abstractNum>
  <w:abstractNum w:abstractNumId="42" w15:restartNumberingAfterBreak="0">
    <w:nsid w:val="4CB864B0"/>
    <w:multiLevelType w:val="multilevel"/>
    <w:tmpl w:val="EF30BBBA"/>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4D5C7CCD"/>
    <w:multiLevelType w:val="hybridMultilevel"/>
    <w:tmpl w:val="1AA47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004685C"/>
    <w:multiLevelType w:val="hybridMultilevel"/>
    <w:tmpl w:val="98ECF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7A64AE7"/>
    <w:multiLevelType w:val="hybridMultilevel"/>
    <w:tmpl w:val="7E82B2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85F0F28"/>
    <w:multiLevelType w:val="hybridMultilevel"/>
    <w:tmpl w:val="3228793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A9C6C6B"/>
    <w:multiLevelType w:val="multilevel"/>
    <w:tmpl w:val="3258E068"/>
    <w:lvl w:ilvl="0">
      <w:start w:val="1"/>
      <w:numFmt w:val="decimal"/>
      <w:pStyle w:val="ListNumber"/>
      <w:lvlText w:val="%1"/>
      <w:lvlJc w:val="left"/>
      <w:pPr>
        <w:ind w:left="360" w:hanging="360"/>
      </w:pPr>
      <w:rPr>
        <w:rFonts w:hint="default"/>
      </w:rPr>
    </w:lvl>
    <w:lvl w:ilvl="1">
      <w:start w:val="1"/>
      <w:numFmt w:val="upp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48" w15:restartNumberingAfterBreak="0">
    <w:nsid w:val="5AB2322A"/>
    <w:multiLevelType w:val="hybridMultilevel"/>
    <w:tmpl w:val="7CBA8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BA4604F"/>
    <w:multiLevelType w:val="hybridMultilevel"/>
    <w:tmpl w:val="FD84433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5CF74AE1"/>
    <w:multiLevelType w:val="hybridMultilevel"/>
    <w:tmpl w:val="A6B617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10F456C"/>
    <w:multiLevelType w:val="hybridMultilevel"/>
    <w:tmpl w:val="72688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8857964"/>
    <w:multiLevelType w:val="hybridMultilevel"/>
    <w:tmpl w:val="08CA9E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6B5F797B"/>
    <w:multiLevelType w:val="hybridMultilevel"/>
    <w:tmpl w:val="6ACEF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C2473E0"/>
    <w:multiLevelType w:val="hybridMultilevel"/>
    <w:tmpl w:val="77E61C24"/>
    <w:lvl w:ilvl="0" w:tplc="0430F800">
      <w:start w:val="3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6D465D0D"/>
    <w:multiLevelType w:val="hybridMultilevel"/>
    <w:tmpl w:val="E9AAA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EB55D73"/>
    <w:multiLevelType w:val="hybridMultilevel"/>
    <w:tmpl w:val="8B1C3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ED35DD3"/>
    <w:multiLevelType w:val="multilevel"/>
    <w:tmpl w:val="716CDA6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15:restartNumberingAfterBreak="0">
    <w:nsid w:val="70A41FF6"/>
    <w:multiLevelType w:val="hybridMultilevel"/>
    <w:tmpl w:val="8EF24D5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9" w15:restartNumberingAfterBreak="0">
    <w:nsid w:val="725C7A76"/>
    <w:multiLevelType w:val="multilevel"/>
    <w:tmpl w:val="8B3C16EA"/>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15:restartNumberingAfterBreak="0">
    <w:nsid w:val="72741599"/>
    <w:multiLevelType w:val="hybridMultilevel"/>
    <w:tmpl w:val="69E86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4F52E34"/>
    <w:multiLevelType w:val="hybridMultilevel"/>
    <w:tmpl w:val="1124E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5E21F90"/>
    <w:multiLevelType w:val="hybridMultilevel"/>
    <w:tmpl w:val="45983F3A"/>
    <w:lvl w:ilvl="0" w:tplc="4BAC64EC">
      <w:start w:val="6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9726815"/>
    <w:multiLevelType w:val="hybridMultilevel"/>
    <w:tmpl w:val="2222C46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7A863A1F"/>
    <w:multiLevelType w:val="hybridMultilevel"/>
    <w:tmpl w:val="A86CA0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D655584"/>
    <w:multiLevelType w:val="hybridMultilevel"/>
    <w:tmpl w:val="EF98372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6" w15:restartNumberingAfterBreak="0">
    <w:nsid w:val="7D9C0C29"/>
    <w:multiLevelType w:val="hybridMultilevel"/>
    <w:tmpl w:val="787C93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1"/>
  </w:num>
  <w:num w:numId="2">
    <w:abstractNumId w:val="47"/>
  </w:num>
  <w:num w:numId="3">
    <w:abstractNumId w:val="36"/>
  </w:num>
  <w:num w:numId="4">
    <w:abstractNumId w:val="28"/>
  </w:num>
  <w:num w:numId="5">
    <w:abstractNumId w:val="15"/>
  </w:num>
  <w:num w:numId="6">
    <w:abstractNumId w:val="17"/>
  </w:num>
  <w:num w:numId="7">
    <w:abstractNumId w:val="8"/>
  </w:num>
  <w:num w:numId="8">
    <w:abstractNumId w:val="64"/>
  </w:num>
  <w:num w:numId="9">
    <w:abstractNumId w:val="26"/>
  </w:num>
  <w:num w:numId="10">
    <w:abstractNumId w:val="56"/>
  </w:num>
  <w:num w:numId="11">
    <w:abstractNumId w:val="35"/>
  </w:num>
  <w:num w:numId="12">
    <w:abstractNumId w:val="2"/>
  </w:num>
  <w:num w:numId="13">
    <w:abstractNumId w:val="45"/>
  </w:num>
  <w:num w:numId="14">
    <w:abstractNumId w:val="50"/>
  </w:num>
  <w:num w:numId="15">
    <w:abstractNumId w:val="1"/>
  </w:num>
  <w:num w:numId="16">
    <w:abstractNumId w:val="25"/>
  </w:num>
  <w:num w:numId="17">
    <w:abstractNumId w:val="38"/>
  </w:num>
  <w:num w:numId="18">
    <w:abstractNumId w:val="53"/>
  </w:num>
  <w:num w:numId="19">
    <w:abstractNumId w:val="14"/>
  </w:num>
  <w:num w:numId="20">
    <w:abstractNumId w:val="9"/>
  </w:num>
  <w:num w:numId="21">
    <w:abstractNumId w:val="33"/>
  </w:num>
  <w:num w:numId="22">
    <w:abstractNumId w:val="65"/>
  </w:num>
  <w:num w:numId="23">
    <w:abstractNumId w:val="54"/>
  </w:num>
  <w:num w:numId="24">
    <w:abstractNumId w:val="48"/>
  </w:num>
  <w:num w:numId="25">
    <w:abstractNumId w:val="46"/>
  </w:num>
  <w:num w:numId="26">
    <w:abstractNumId w:val="3"/>
  </w:num>
  <w:num w:numId="27">
    <w:abstractNumId w:val="41"/>
  </w:num>
  <w:num w:numId="28">
    <w:abstractNumId w:val="29"/>
  </w:num>
  <w:num w:numId="29">
    <w:abstractNumId w:val="60"/>
  </w:num>
  <w:num w:numId="30">
    <w:abstractNumId w:val="63"/>
  </w:num>
  <w:num w:numId="31">
    <w:abstractNumId w:val="52"/>
  </w:num>
  <w:num w:numId="32">
    <w:abstractNumId w:val="43"/>
  </w:num>
  <w:num w:numId="33">
    <w:abstractNumId w:val="24"/>
  </w:num>
  <w:num w:numId="34">
    <w:abstractNumId w:val="7"/>
  </w:num>
  <w:num w:numId="35">
    <w:abstractNumId w:val="20"/>
  </w:num>
  <w:num w:numId="36">
    <w:abstractNumId w:val="10"/>
  </w:num>
  <w:num w:numId="37">
    <w:abstractNumId w:val="61"/>
  </w:num>
  <w:num w:numId="38">
    <w:abstractNumId w:val="13"/>
  </w:num>
  <w:num w:numId="39">
    <w:abstractNumId w:val="49"/>
  </w:num>
  <w:num w:numId="40">
    <w:abstractNumId w:val="37"/>
  </w:num>
  <w:num w:numId="41">
    <w:abstractNumId w:val="55"/>
  </w:num>
  <w:num w:numId="42">
    <w:abstractNumId w:val="34"/>
  </w:num>
  <w:num w:numId="43">
    <w:abstractNumId w:val="58"/>
  </w:num>
  <w:num w:numId="44">
    <w:abstractNumId w:val="31"/>
  </w:num>
  <w:num w:numId="45">
    <w:abstractNumId w:val="18"/>
  </w:num>
  <w:num w:numId="46">
    <w:abstractNumId w:val="62"/>
  </w:num>
  <w:num w:numId="47">
    <w:abstractNumId w:val="5"/>
  </w:num>
  <w:num w:numId="48">
    <w:abstractNumId w:val="27"/>
  </w:num>
  <w:num w:numId="49">
    <w:abstractNumId w:val="44"/>
  </w:num>
  <w:num w:numId="5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6"/>
  </w:num>
  <w:num w:numId="65">
    <w:abstractNumId w:val="16"/>
  </w:num>
  <w:num w:numId="66">
    <w:abstractNumId w:val="51"/>
  </w:num>
  <w:num w:numId="67">
    <w:abstractNumId w:val="6"/>
  </w:num>
  <w:num w:numId="68">
    <w:abstractNumId w:val="40"/>
  </w:num>
  <w:num w:numId="69">
    <w:abstractNumId w:val="0"/>
  </w:num>
  <w:num w:numId="70">
    <w:abstractNumId w:val="47"/>
    <w:lvlOverride w:ilvl="0">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removeDateAndTim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characterSpacingControl w:val="doNotCompress"/>
  <w:hdrShapeDefaults>
    <o:shapedefaults v:ext="edit" spidmax="675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BBA"/>
    <w:rsid w:val="00001E75"/>
    <w:rsid w:val="00002FC3"/>
    <w:rsid w:val="000041BC"/>
    <w:rsid w:val="00005713"/>
    <w:rsid w:val="00005785"/>
    <w:rsid w:val="0000617C"/>
    <w:rsid w:val="00006876"/>
    <w:rsid w:val="0000715D"/>
    <w:rsid w:val="000079AD"/>
    <w:rsid w:val="00007D1F"/>
    <w:rsid w:val="00010D84"/>
    <w:rsid w:val="00010F15"/>
    <w:rsid w:val="000116ED"/>
    <w:rsid w:val="00011CE3"/>
    <w:rsid w:val="00011FC0"/>
    <w:rsid w:val="000126B6"/>
    <w:rsid w:val="000130F7"/>
    <w:rsid w:val="000131D0"/>
    <w:rsid w:val="00013817"/>
    <w:rsid w:val="00014E18"/>
    <w:rsid w:val="000150F6"/>
    <w:rsid w:val="000154B4"/>
    <w:rsid w:val="0001595D"/>
    <w:rsid w:val="00016256"/>
    <w:rsid w:val="000176B5"/>
    <w:rsid w:val="0001771B"/>
    <w:rsid w:val="000179DF"/>
    <w:rsid w:val="0002060E"/>
    <w:rsid w:val="00022E9C"/>
    <w:rsid w:val="000249CC"/>
    <w:rsid w:val="00024EF0"/>
    <w:rsid w:val="00025631"/>
    <w:rsid w:val="00027B26"/>
    <w:rsid w:val="000303AD"/>
    <w:rsid w:val="000305B3"/>
    <w:rsid w:val="00030705"/>
    <w:rsid w:val="00032861"/>
    <w:rsid w:val="00032B77"/>
    <w:rsid w:val="00033BCE"/>
    <w:rsid w:val="00034EBD"/>
    <w:rsid w:val="000350CA"/>
    <w:rsid w:val="00037F3D"/>
    <w:rsid w:val="00040BAE"/>
    <w:rsid w:val="00042160"/>
    <w:rsid w:val="00042285"/>
    <w:rsid w:val="00042619"/>
    <w:rsid w:val="00043256"/>
    <w:rsid w:val="00045A89"/>
    <w:rsid w:val="0004635E"/>
    <w:rsid w:val="00046F8E"/>
    <w:rsid w:val="00047261"/>
    <w:rsid w:val="00047524"/>
    <w:rsid w:val="0005040E"/>
    <w:rsid w:val="0005087D"/>
    <w:rsid w:val="00050F9E"/>
    <w:rsid w:val="0005109B"/>
    <w:rsid w:val="00051761"/>
    <w:rsid w:val="00051D98"/>
    <w:rsid w:val="00052C16"/>
    <w:rsid w:val="0005403C"/>
    <w:rsid w:val="000547EF"/>
    <w:rsid w:val="00054EFF"/>
    <w:rsid w:val="00056004"/>
    <w:rsid w:val="00057CFE"/>
    <w:rsid w:val="0006075A"/>
    <w:rsid w:val="00060CE2"/>
    <w:rsid w:val="00061C84"/>
    <w:rsid w:val="00061DE3"/>
    <w:rsid w:val="00062484"/>
    <w:rsid w:val="00063129"/>
    <w:rsid w:val="0006312D"/>
    <w:rsid w:val="000636C7"/>
    <w:rsid w:val="0006489E"/>
    <w:rsid w:val="00064EE9"/>
    <w:rsid w:val="00065022"/>
    <w:rsid w:val="00065088"/>
    <w:rsid w:val="00065911"/>
    <w:rsid w:val="00065A5E"/>
    <w:rsid w:val="000667BE"/>
    <w:rsid w:val="00066A44"/>
    <w:rsid w:val="00067041"/>
    <w:rsid w:val="00067EB1"/>
    <w:rsid w:val="00070681"/>
    <w:rsid w:val="00070885"/>
    <w:rsid w:val="0007097B"/>
    <w:rsid w:val="00070F67"/>
    <w:rsid w:val="000723ED"/>
    <w:rsid w:val="00072DA5"/>
    <w:rsid w:val="0007311D"/>
    <w:rsid w:val="0007504E"/>
    <w:rsid w:val="00075E45"/>
    <w:rsid w:val="000764C7"/>
    <w:rsid w:val="00076A72"/>
    <w:rsid w:val="000807CA"/>
    <w:rsid w:val="00080A09"/>
    <w:rsid w:val="00081366"/>
    <w:rsid w:val="0008174B"/>
    <w:rsid w:val="00081CEB"/>
    <w:rsid w:val="00082C85"/>
    <w:rsid w:val="00083082"/>
    <w:rsid w:val="000834CD"/>
    <w:rsid w:val="00083F36"/>
    <w:rsid w:val="00086D9F"/>
    <w:rsid w:val="000872FA"/>
    <w:rsid w:val="00087B2C"/>
    <w:rsid w:val="00087D4E"/>
    <w:rsid w:val="00087DBD"/>
    <w:rsid w:val="00090718"/>
    <w:rsid w:val="00091172"/>
    <w:rsid w:val="00091B4E"/>
    <w:rsid w:val="00091CD7"/>
    <w:rsid w:val="00092955"/>
    <w:rsid w:val="00092D03"/>
    <w:rsid w:val="00093612"/>
    <w:rsid w:val="00093DD5"/>
    <w:rsid w:val="000942E2"/>
    <w:rsid w:val="00094D4F"/>
    <w:rsid w:val="00095DE6"/>
    <w:rsid w:val="000964D4"/>
    <w:rsid w:val="00097FEE"/>
    <w:rsid w:val="000A03DD"/>
    <w:rsid w:val="000A1193"/>
    <w:rsid w:val="000A1A09"/>
    <w:rsid w:val="000A1B0D"/>
    <w:rsid w:val="000A32F3"/>
    <w:rsid w:val="000A36B5"/>
    <w:rsid w:val="000A47A8"/>
    <w:rsid w:val="000A47D3"/>
    <w:rsid w:val="000A48B2"/>
    <w:rsid w:val="000A4C19"/>
    <w:rsid w:val="000A5E86"/>
    <w:rsid w:val="000A70F3"/>
    <w:rsid w:val="000A73FB"/>
    <w:rsid w:val="000B000F"/>
    <w:rsid w:val="000B0129"/>
    <w:rsid w:val="000B15B5"/>
    <w:rsid w:val="000B218A"/>
    <w:rsid w:val="000B2233"/>
    <w:rsid w:val="000B226D"/>
    <w:rsid w:val="000B2372"/>
    <w:rsid w:val="000B285D"/>
    <w:rsid w:val="000B2FFA"/>
    <w:rsid w:val="000B39C7"/>
    <w:rsid w:val="000B5831"/>
    <w:rsid w:val="000B7BEB"/>
    <w:rsid w:val="000B7E9A"/>
    <w:rsid w:val="000C014D"/>
    <w:rsid w:val="000C29B4"/>
    <w:rsid w:val="000C2DD3"/>
    <w:rsid w:val="000C34C2"/>
    <w:rsid w:val="000C3643"/>
    <w:rsid w:val="000C49B2"/>
    <w:rsid w:val="000C5CD8"/>
    <w:rsid w:val="000C62F6"/>
    <w:rsid w:val="000C7A69"/>
    <w:rsid w:val="000D0547"/>
    <w:rsid w:val="000D1158"/>
    <w:rsid w:val="000D1880"/>
    <w:rsid w:val="000D1AA0"/>
    <w:rsid w:val="000D21CA"/>
    <w:rsid w:val="000D2DCC"/>
    <w:rsid w:val="000D4703"/>
    <w:rsid w:val="000D5633"/>
    <w:rsid w:val="000D57EE"/>
    <w:rsid w:val="000D60D7"/>
    <w:rsid w:val="000E12D4"/>
    <w:rsid w:val="000E2E7C"/>
    <w:rsid w:val="000E34C3"/>
    <w:rsid w:val="000E39EF"/>
    <w:rsid w:val="000E4F2F"/>
    <w:rsid w:val="000E51CE"/>
    <w:rsid w:val="000E620E"/>
    <w:rsid w:val="000E630F"/>
    <w:rsid w:val="000E71ED"/>
    <w:rsid w:val="000F2063"/>
    <w:rsid w:val="000F2222"/>
    <w:rsid w:val="000F2548"/>
    <w:rsid w:val="000F3103"/>
    <w:rsid w:val="000F3759"/>
    <w:rsid w:val="000F3D28"/>
    <w:rsid w:val="000F5166"/>
    <w:rsid w:val="000F6385"/>
    <w:rsid w:val="000F63C4"/>
    <w:rsid w:val="000F64BC"/>
    <w:rsid w:val="000F7463"/>
    <w:rsid w:val="000F762E"/>
    <w:rsid w:val="000F7FD9"/>
    <w:rsid w:val="00100200"/>
    <w:rsid w:val="001007AB"/>
    <w:rsid w:val="00100C99"/>
    <w:rsid w:val="0010161A"/>
    <w:rsid w:val="0010263D"/>
    <w:rsid w:val="00102824"/>
    <w:rsid w:val="0010300A"/>
    <w:rsid w:val="001031E6"/>
    <w:rsid w:val="00103DF8"/>
    <w:rsid w:val="0010425B"/>
    <w:rsid w:val="00104425"/>
    <w:rsid w:val="001060C0"/>
    <w:rsid w:val="0010635B"/>
    <w:rsid w:val="00110AEE"/>
    <w:rsid w:val="00112236"/>
    <w:rsid w:val="001131F0"/>
    <w:rsid w:val="00113254"/>
    <w:rsid w:val="001137F9"/>
    <w:rsid w:val="001139C7"/>
    <w:rsid w:val="001144F1"/>
    <w:rsid w:val="00114EBC"/>
    <w:rsid w:val="00116CD0"/>
    <w:rsid w:val="00116E27"/>
    <w:rsid w:val="0011743D"/>
    <w:rsid w:val="001202BF"/>
    <w:rsid w:val="0012073F"/>
    <w:rsid w:val="00122B05"/>
    <w:rsid w:val="00122C10"/>
    <w:rsid w:val="0012396E"/>
    <w:rsid w:val="001239B3"/>
    <w:rsid w:val="00124123"/>
    <w:rsid w:val="0012427E"/>
    <w:rsid w:val="00124725"/>
    <w:rsid w:val="001247E0"/>
    <w:rsid w:val="001252F6"/>
    <w:rsid w:val="001256EC"/>
    <w:rsid w:val="001256EF"/>
    <w:rsid w:val="001258AB"/>
    <w:rsid w:val="001262F0"/>
    <w:rsid w:val="00126750"/>
    <w:rsid w:val="001271A1"/>
    <w:rsid w:val="00131C0F"/>
    <w:rsid w:val="00131C57"/>
    <w:rsid w:val="001320E6"/>
    <w:rsid w:val="001325BF"/>
    <w:rsid w:val="00132F0D"/>
    <w:rsid w:val="001330E6"/>
    <w:rsid w:val="00133713"/>
    <w:rsid w:val="00133A4A"/>
    <w:rsid w:val="00135A39"/>
    <w:rsid w:val="00135B7E"/>
    <w:rsid w:val="00137717"/>
    <w:rsid w:val="00137D5E"/>
    <w:rsid w:val="00137FDB"/>
    <w:rsid w:val="00140890"/>
    <w:rsid w:val="001408AC"/>
    <w:rsid w:val="00140FC9"/>
    <w:rsid w:val="001412A0"/>
    <w:rsid w:val="001413C5"/>
    <w:rsid w:val="001421B7"/>
    <w:rsid w:val="0014231B"/>
    <w:rsid w:val="00142956"/>
    <w:rsid w:val="00142D10"/>
    <w:rsid w:val="0014312E"/>
    <w:rsid w:val="001432B0"/>
    <w:rsid w:val="001434F6"/>
    <w:rsid w:val="00144868"/>
    <w:rsid w:val="001452BC"/>
    <w:rsid w:val="00145EF1"/>
    <w:rsid w:val="00145F8B"/>
    <w:rsid w:val="0014664B"/>
    <w:rsid w:val="001472DD"/>
    <w:rsid w:val="00150D2A"/>
    <w:rsid w:val="00150E25"/>
    <w:rsid w:val="00150EA9"/>
    <w:rsid w:val="001512BB"/>
    <w:rsid w:val="00151650"/>
    <w:rsid w:val="001540CB"/>
    <w:rsid w:val="00155968"/>
    <w:rsid w:val="00155A6F"/>
    <w:rsid w:val="00155B98"/>
    <w:rsid w:val="00157001"/>
    <w:rsid w:val="00157709"/>
    <w:rsid w:val="00160B66"/>
    <w:rsid w:val="00160E91"/>
    <w:rsid w:val="00163433"/>
    <w:rsid w:val="00164614"/>
    <w:rsid w:val="00165626"/>
    <w:rsid w:val="00166272"/>
    <w:rsid w:val="001671D2"/>
    <w:rsid w:val="00167BDD"/>
    <w:rsid w:val="00167CF4"/>
    <w:rsid w:val="0017042C"/>
    <w:rsid w:val="001709EF"/>
    <w:rsid w:val="00170BE9"/>
    <w:rsid w:val="001712A8"/>
    <w:rsid w:val="0017147C"/>
    <w:rsid w:val="0017194E"/>
    <w:rsid w:val="0017249B"/>
    <w:rsid w:val="001727A4"/>
    <w:rsid w:val="00176148"/>
    <w:rsid w:val="001769F0"/>
    <w:rsid w:val="001775B5"/>
    <w:rsid w:val="00177EC4"/>
    <w:rsid w:val="001808F7"/>
    <w:rsid w:val="00181533"/>
    <w:rsid w:val="00182371"/>
    <w:rsid w:val="001824C8"/>
    <w:rsid w:val="00182698"/>
    <w:rsid w:val="00182852"/>
    <w:rsid w:val="00183186"/>
    <w:rsid w:val="001833C8"/>
    <w:rsid w:val="00184895"/>
    <w:rsid w:val="001864FD"/>
    <w:rsid w:val="00186554"/>
    <w:rsid w:val="0019139B"/>
    <w:rsid w:val="00191A5D"/>
    <w:rsid w:val="001920C7"/>
    <w:rsid w:val="001927C7"/>
    <w:rsid w:val="0019358E"/>
    <w:rsid w:val="001936A7"/>
    <w:rsid w:val="001943DD"/>
    <w:rsid w:val="00195757"/>
    <w:rsid w:val="001959C4"/>
    <w:rsid w:val="0019678A"/>
    <w:rsid w:val="00196BAC"/>
    <w:rsid w:val="001A009A"/>
    <w:rsid w:val="001A0744"/>
    <w:rsid w:val="001A0A5E"/>
    <w:rsid w:val="001A0BF0"/>
    <w:rsid w:val="001A0F0E"/>
    <w:rsid w:val="001A13F6"/>
    <w:rsid w:val="001A1517"/>
    <w:rsid w:val="001A2D78"/>
    <w:rsid w:val="001A451B"/>
    <w:rsid w:val="001A55B0"/>
    <w:rsid w:val="001A61C4"/>
    <w:rsid w:val="001A7249"/>
    <w:rsid w:val="001A785C"/>
    <w:rsid w:val="001B02AC"/>
    <w:rsid w:val="001B1013"/>
    <w:rsid w:val="001B1048"/>
    <w:rsid w:val="001B1EA0"/>
    <w:rsid w:val="001B33AF"/>
    <w:rsid w:val="001B366A"/>
    <w:rsid w:val="001B36AC"/>
    <w:rsid w:val="001B385A"/>
    <w:rsid w:val="001B3904"/>
    <w:rsid w:val="001B3AEC"/>
    <w:rsid w:val="001B3E8D"/>
    <w:rsid w:val="001B45A7"/>
    <w:rsid w:val="001B5218"/>
    <w:rsid w:val="001B5259"/>
    <w:rsid w:val="001B53B8"/>
    <w:rsid w:val="001B5C30"/>
    <w:rsid w:val="001B60D4"/>
    <w:rsid w:val="001B6A13"/>
    <w:rsid w:val="001B6F28"/>
    <w:rsid w:val="001C12DB"/>
    <w:rsid w:val="001C1B71"/>
    <w:rsid w:val="001C2E1E"/>
    <w:rsid w:val="001C32CF"/>
    <w:rsid w:val="001C35D0"/>
    <w:rsid w:val="001C35DA"/>
    <w:rsid w:val="001C38BA"/>
    <w:rsid w:val="001C49AA"/>
    <w:rsid w:val="001C4C50"/>
    <w:rsid w:val="001C4F4F"/>
    <w:rsid w:val="001C69F7"/>
    <w:rsid w:val="001C6BA1"/>
    <w:rsid w:val="001C6F22"/>
    <w:rsid w:val="001D141C"/>
    <w:rsid w:val="001D1CB4"/>
    <w:rsid w:val="001D2904"/>
    <w:rsid w:val="001D38E8"/>
    <w:rsid w:val="001D57B3"/>
    <w:rsid w:val="001D652D"/>
    <w:rsid w:val="001D65A0"/>
    <w:rsid w:val="001D693F"/>
    <w:rsid w:val="001D6EDF"/>
    <w:rsid w:val="001D6F9E"/>
    <w:rsid w:val="001D7117"/>
    <w:rsid w:val="001E0511"/>
    <w:rsid w:val="001E0555"/>
    <w:rsid w:val="001E064C"/>
    <w:rsid w:val="001E1784"/>
    <w:rsid w:val="001E1812"/>
    <w:rsid w:val="001E2E58"/>
    <w:rsid w:val="001E3158"/>
    <w:rsid w:val="001E3835"/>
    <w:rsid w:val="001E38FB"/>
    <w:rsid w:val="001E52C2"/>
    <w:rsid w:val="001E5743"/>
    <w:rsid w:val="001E6357"/>
    <w:rsid w:val="001E6A27"/>
    <w:rsid w:val="001F0BE1"/>
    <w:rsid w:val="001F101A"/>
    <w:rsid w:val="001F1B85"/>
    <w:rsid w:val="001F24EF"/>
    <w:rsid w:val="001F2534"/>
    <w:rsid w:val="001F4477"/>
    <w:rsid w:val="001F56C7"/>
    <w:rsid w:val="00201BB3"/>
    <w:rsid w:val="00201BF7"/>
    <w:rsid w:val="00201BF9"/>
    <w:rsid w:val="0020241D"/>
    <w:rsid w:val="00203039"/>
    <w:rsid w:val="00203A42"/>
    <w:rsid w:val="00204724"/>
    <w:rsid w:val="00204B17"/>
    <w:rsid w:val="0020639A"/>
    <w:rsid w:val="002069D2"/>
    <w:rsid w:val="00210154"/>
    <w:rsid w:val="002105B9"/>
    <w:rsid w:val="002111E1"/>
    <w:rsid w:val="00211DA2"/>
    <w:rsid w:val="00213210"/>
    <w:rsid w:val="00213683"/>
    <w:rsid w:val="00213693"/>
    <w:rsid w:val="00215137"/>
    <w:rsid w:val="00215479"/>
    <w:rsid w:val="00215CCB"/>
    <w:rsid w:val="00215EED"/>
    <w:rsid w:val="002168AC"/>
    <w:rsid w:val="00216CF5"/>
    <w:rsid w:val="00216EEB"/>
    <w:rsid w:val="0022037B"/>
    <w:rsid w:val="00222C8D"/>
    <w:rsid w:val="002249D5"/>
    <w:rsid w:val="002256A8"/>
    <w:rsid w:val="00225A61"/>
    <w:rsid w:val="00225C59"/>
    <w:rsid w:val="00226D96"/>
    <w:rsid w:val="002276B0"/>
    <w:rsid w:val="0022799F"/>
    <w:rsid w:val="00230261"/>
    <w:rsid w:val="00230B89"/>
    <w:rsid w:val="00230E6B"/>
    <w:rsid w:val="00231518"/>
    <w:rsid w:val="00231D16"/>
    <w:rsid w:val="002320BC"/>
    <w:rsid w:val="002328CC"/>
    <w:rsid w:val="00232B97"/>
    <w:rsid w:val="00233077"/>
    <w:rsid w:val="00233543"/>
    <w:rsid w:val="00233A11"/>
    <w:rsid w:val="0023523A"/>
    <w:rsid w:val="00235DEB"/>
    <w:rsid w:val="0023757C"/>
    <w:rsid w:val="00237C47"/>
    <w:rsid w:val="002402E4"/>
    <w:rsid w:val="00240FA6"/>
    <w:rsid w:val="002421A0"/>
    <w:rsid w:val="00242B98"/>
    <w:rsid w:val="002445A1"/>
    <w:rsid w:val="00244F7C"/>
    <w:rsid w:val="0024560E"/>
    <w:rsid w:val="00246FE6"/>
    <w:rsid w:val="002470E3"/>
    <w:rsid w:val="00247D97"/>
    <w:rsid w:val="00250949"/>
    <w:rsid w:val="00251500"/>
    <w:rsid w:val="00251695"/>
    <w:rsid w:val="0025207D"/>
    <w:rsid w:val="00252C49"/>
    <w:rsid w:val="002535AE"/>
    <w:rsid w:val="0025381D"/>
    <w:rsid w:val="00254DE9"/>
    <w:rsid w:val="00256652"/>
    <w:rsid w:val="0025747F"/>
    <w:rsid w:val="00257513"/>
    <w:rsid w:val="00257A66"/>
    <w:rsid w:val="002602FC"/>
    <w:rsid w:val="002615D3"/>
    <w:rsid w:val="0026268A"/>
    <w:rsid w:val="00262845"/>
    <w:rsid w:val="0026332D"/>
    <w:rsid w:val="00263335"/>
    <w:rsid w:val="002633C3"/>
    <w:rsid w:val="0026391A"/>
    <w:rsid w:val="00263FEC"/>
    <w:rsid w:val="00265941"/>
    <w:rsid w:val="002661D3"/>
    <w:rsid w:val="002672F1"/>
    <w:rsid w:val="00267BBB"/>
    <w:rsid w:val="0027039E"/>
    <w:rsid w:val="00271414"/>
    <w:rsid w:val="00271922"/>
    <w:rsid w:val="00273412"/>
    <w:rsid w:val="0027373F"/>
    <w:rsid w:val="00274ACF"/>
    <w:rsid w:val="002756BA"/>
    <w:rsid w:val="00277388"/>
    <w:rsid w:val="00277421"/>
    <w:rsid w:val="00277C8F"/>
    <w:rsid w:val="0028159B"/>
    <w:rsid w:val="00281E86"/>
    <w:rsid w:val="00282671"/>
    <w:rsid w:val="00282861"/>
    <w:rsid w:val="002843E2"/>
    <w:rsid w:val="0028685E"/>
    <w:rsid w:val="0028724F"/>
    <w:rsid w:val="002876D5"/>
    <w:rsid w:val="00287BAA"/>
    <w:rsid w:val="00290827"/>
    <w:rsid w:val="0029180D"/>
    <w:rsid w:val="00293489"/>
    <w:rsid w:val="00293CEA"/>
    <w:rsid w:val="00294F29"/>
    <w:rsid w:val="00295887"/>
    <w:rsid w:val="00295B30"/>
    <w:rsid w:val="00296F5E"/>
    <w:rsid w:val="00297A8D"/>
    <w:rsid w:val="002A01E5"/>
    <w:rsid w:val="002A2D7C"/>
    <w:rsid w:val="002A30F0"/>
    <w:rsid w:val="002A38A4"/>
    <w:rsid w:val="002A51A9"/>
    <w:rsid w:val="002A5AEC"/>
    <w:rsid w:val="002A6DF5"/>
    <w:rsid w:val="002B1550"/>
    <w:rsid w:val="002B2858"/>
    <w:rsid w:val="002B50E6"/>
    <w:rsid w:val="002B6406"/>
    <w:rsid w:val="002B6809"/>
    <w:rsid w:val="002B6A79"/>
    <w:rsid w:val="002C024B"/>
    <w:rsid w:val="002C2014"/>
    <w:rsid w:val="002C3771"/>
    <w:rsid w:val="002C4231"/>
    <w:rsid w:val="002C44DD"/>
    <w:rsid w:val="002C5943"/>
    <w:rsid w:val="002C5BAA"/>
    <w:rsid w:val="002C7080"/>
    <w:rsid w:val="002C76BF"/>
    <w:rsid w:val="002C7EA0"/>
    <w:rsid w:val="002D00B0"/>
    <w:rsid w:val="002D2364"/>
    <w:rsid w:val="002D2E16"/>
    <w:rsid w:val="002D6050"/>
    <w:rsid w:val="002D6E3E"/>
    <w:rsid w:val="002D7458"/>
    <w:rsid w:val="002D75C7"/>
    <w:rsid w:val="002E0C66"/>
    <w:rsid w:val="002E1FC6"/>
    <w:rsid w:val="002E21D6"/>
    <w:rsid w:val="002E355B"/>
    <w:rsid w:val="002E45F0"/>
    <w:rsid w:val="002E477D"/>
    <w:rsid w:val="002E7778"/>
    <w:rsid w:val="002E7AD2"/>
    <w:rsid w:val="002F2B79"/>
    <w:rsid w:val="002F4CD7"/>
    <w:rsid w:val="002F5683"/>
    <w:rsid w:val="002F6221"/>
    <w:rsid w:val="002F680D"/>
    <w:rsid w:val="002F6BD2"/>
    <w:rsid w:val="00300F75"/>
    <w:rsid w:val="00300F81"/>
    <w:rsid w:val="00304011"/>
    <w:rsid w:val="00304B3E"/>
    <w:rsid w:val="00304D97"/>
    <w:rsid w:val="0030669C"/>
    <w:rsid w:val="00306C63"/>
    <w:rsid w:val="003114E4"/>
    <w:rsid w:val="00311662"/>
    <w:rsid w:val="0031180A"/>
    <w:rsid w:val="003122C7"/>
    <w:rsid w:val="0031246D"/>
    <w:rsid w:val="00313127"/>
    <w:rsid w:val="00313304"/>
    <w:rsid w:val="003155F4"/>
    <w:rsid w:val="003158EE"/>
    <w:rsid w:val="003167F4"/>
    <w:rsid w:val="00320309"/>
    <w:rsid w:val="00320803"/>
    <w:rsid w:val="003213A1"/>
    <w:rsid w:val="00321D1E"/>
    <w:rsid w:val="00323611"/>
    <w:rsid w:val="003248E9"/>
    <w:rsid w:val="00324FDC"/>
    <w:rsid w:val="0032530E"/>
    <w:rsid w:val="00325A61"/>
    <w:rsid w:val="00325EC4"/>
    <w:rsid w:val="00326976"/>
    <w:rsid w:val="00326B01"/>
    <w:rsid w:val="003274D8"/>
    <w:rsid w:val="003279E4"/>
    <w:rsid w:val="00330274"/>
    <w:rsid w:val="00330C59"/>
    <w:rsid w:val="003311D7"/>
    <w:rsid w:val="00332B8B"/>
    <w:rsid w:val="0033319B"/>
    <w:rsid w:val="0033411F"/>
    <w:rsid w:val="003346AB"/>
    <w:rsid w:val="0033521E"/>
    <w:rsid w:val="003364C7"/>
    <w:rsid w:val="00337405"/>
    <w:rsid w:val="00337CA2"/>
    <w:rsid w:val="003402FB"/>
    <w:rsid w:val="003404A4"/>
    <w:rsid w:val="00340D0A"/>
    <w:rsid w:val="003418E4"/>
    <w:rsid w:val="003420B5"/>
    <w:rsid w:val="00342A98"/>
    <w:rsid w:val="00343179"/>
    <w:rsid w:val="00343783"/>
    <w:rsid w:val="00345348"/>
    <w:rsid w:val="0034603E"/>
    <w:rsid w:val="00346843"/>
    <w:rsid w:val="00346ECF"/>
    <w:rsid w:val="00347104"/>
    <w:rsid w:val="00347800"/>
    <w:rsid w:val="00347B06"/>
    <w:rsid w:val="00350852"/>
    <w:rsid w:val="0035094B"/>
    <w:rsid w:val="0035096E"/>
    <w:rsid w:val="00350FC0"/>
    <w:rsid w:val="0035129C"/>
    <w:rsid w:val="003519F1"/>
    <w:rsid w:val="0035219F"/>
    <w:rsid w:val="0035267F"/>
    <w:rsid w:val="00353B7F"/>
    <w:rsid w:val="00354857"/>
    <w:rsid w:val="00355481"/>
    <w:rsid w:val="0035596F"/>
    <w:rsid w:val="00355D01"/>
    <w:rsid w:val="00355DE5"/>
    <w:rsid w:val="003566B0"/>
    <w:rsid w:val="00357E47"/>
    <w:rsid w:val="003603C9"/>
    <w:rsid w:val="00360B81"/>
    <w:rsid w:val="00361CC4"/>
    <w:rsid w:val="00361EA6"/>
    <w:rsid w:val="00362F18"/>
    <w:rsid w:val="003630EA"/>
    <w:rsid w:val="00363C9F"/>
    <w:rsid w:val="00366283"/>
    <w:rsid w:val="00366D24"/>
    <w:rsid w:val="0036777E"/>
    <w:rsid w:val="003678BB"/>
    <w:rsid w:val="00367CFB"/>
    <w:rsid w:val="003701FA"/>
    <w:rsid w:val="0037271A"/>
    <w:rsid w:val="00372A26"/>
    <w:rsid w:val="00372CD9"/>
    <w:rsid w:val="00372EC7"/>
    <w:rsid w:val="003733DE"/>
    <w:rsid w:val="0037443C"/>
    <w:rsid w:val="0037484C"/>
    <w:rsid w:val="003749CD"/>
    <w:rsid w:val="00374A6C"/>
    <w:rsid w:val="00377401"/>
    <w:rsid w:val="0038045A"/>
    <w:rsid w:val="003816C8"/>
    <w:rsid w:val="0038192C"/>
    <w:rsid w:val="00382260"/>
    <w:rsid w:val="00382718"/>
    <w:rsid w:val="00382B3B"/>
    <w:rsid w:val="00382E7C"/>
    <w:rsid w:val="00384B20"/>
    <w:rsid w:val="00385ED2"/>
    <w:rsid w:val="003866D6"/>
    <w:rsid w:val="0038714A"/>
    <w:rsid w:val="003917EB"/>
    <w:rsid w:val="00391F86"/>
    <w:rsid w:val="003923FB"/>
    <w:rsid w:val="00393056"/>
    <w:rsid w:val="003931C7"/>
    <w:rsid w:val="00393F00"/>
    <w:rsid w:val="003945C0"/>
    <w:rsid w:val="00396910"/>
    <w:rsid w:val="00397ADB"/>
    <w:rsid w:val="003A015D"/>
    <w:rsid w:val="003A25A7"/>
    <w:rsid w:val="003A2965"/>
    <w:rsid w:val="003A421F"/>
    <w:rsid w:val="003A4FBB"/>
    <w:rsid w:val="003A519C"/>
    <w:rsid w:val="003A6EB9"/>
    <w:rsid w:val="003A7115"/>
    <w:rsid w:val="003B1300"/>
    <w:rsid w:val="003B21AD"/>
    <w:rsid w:val="003B28CC"/>
    <w:rsid w:val="003B2FDA"/>
    <w:rsid w:val="003B425B"/>
    <w:rsid w:val="003B499C"/>
    <w:rsid w:val="003B4C40"/>
    <w:rsid w:val="003B4EE0"/>
    <w:rsid w:val="003B52CE"/>
    <w:rsid w:val="003B535C"/>
    <w:rsid w:val="003B5971"/>
    <w:rsid w:val="003B5CBC"/>
    <w:rsid w:val="003B5F0C"/>
    <w:rsid w:val="003B6B4C"/>
    <w:rsid w:val="003B75E3"/>
    <w:rsid w:val="003B7A38"/>
    <w:rsid w:val="003C088C"/>
    <w:rsid w:val="003C0C0F"/>
    <w:rsid w:val="003C2120"/>
    <w:rsid w:val="003C2175"/>
    <w:rsid w:val="003C2EB1"/>
    <w:rsid w:val="003C47C0"/>
    <w:rsid w:val="003C4BB1"/>
    <w:rsid w:val="003C63A3"/>
    <w:rsid w:val="003C7220"/>
    <w:rsid w:val="003D030E"/>
    <w:rsid w:val="003D040D"/>
    <w:rsid w:val="003D1F49"/>
    <w:rsid w:val="003D2061"/>
    <w:rsid w:val="003D40B8"/>
    <w:rsid w:val="003D485F"/>
    <w:rsid w:val="003D543B"/>
    <w:rsid w:val="003D6AE7"/>
    <w:rsid w:val="003D7E3D"/>
    <w:rsid w:val="003E02C5"/>
    <w:rsid w:val="003E1FE3"/>
    <w:rsid w:val="003E24F1"/>
    <w:rsid w:val="003E25DA"/>
    <w:rsid w:val="003E2CB9"/>
    <w:rsid w:val="003E2F4E"/>
    <w:rsid w:val="003E32A7"/>
    <w:rsid w:val="003E396D"/>
    <w:rsid w:val="003E5791"/>
    <w:rsid w:val="003E6102"/>
    <w:rsid w:val="003E71DA"/>
    <w:rsid w:val="003E74AE"/>
    <w:rsid w:val="003E77C5"/>
    <w:rsid w:val="003F1A33"/>
    <w:rsid w:val="003F1DA0"/>
    <w:rsid w:val="003F27A6"/>
    <w:rsid w:val="003F3072"/>
    <w:rsid w:val="003F31E6"/>
    <w:rsid w:val="003F359B"/>
    <w:rsid w:val="003F41C1"/>
    <w:rsid w:val="003F7FFE"/>
    <w:rsid w:val="004004C3"/>
    <w:rsid w:val="00400A8C"/>
    <w:rsid w:val="00401057"/>
    <w:rsid w:val="004013B1"/>
    <w:rsid w:val="0040207C"/>
    <w:rsid w:val="004024E4"/>
    <w:rsid w:val="0040300E"/>
    <w:rsid w:val="00403E8F"/>
    <w:rsid w:val="00405347"/>
    <w:rsid w:val="004061B4"/>
    <w:rsid w:val="00406289"/>
    <w:rsid w:val="00406578"/>
    <w:rsid w:val="00406CC5"/>
    <w:rsid w:val="00406EB5"/>
    <w:rsid w:val="00406F91"/>
    <w:rsid w:val="004074EF"/>
    <w:rsid w:val="004078CC"/>
    <w:rsid w:val="00407BF1"/>
    <w:rsid w:val="004102C3"/>
    <w:rsid w:val="00410932"/>
    <w:rsid w:val="00411B46"/>
    <w:rsid w:val="00412917"/>
    <w:rsid w:val="00412DFF"/>
    <w:rsid w:val="00412FB1"/>
    <w:rsid w:val="0041307C"/>
    <w:rsid w:val="00413699"/>
    <w:rsid w:val="00413BCF"/>
    <w:rsid w:val="004165CA"/>
    <w:rsid w:val="004167B4"/>
    <w:rsid w:val="004167BC"/>
    <w:rsid w:val="00416D8E"/>
    <w:rsid w:val="0042032D"/>
    <w:rsid w:val="00420DCC"/>
    <w:rsid w:val="00420FB1"/>
    <w:rsid w:val="004225DC"/>
    <w:rsid w:val="00423A41"/>
    <w:rsid w:val="00425FBA"/>
    <w:rsid w:val="00427C7D"/>
    <w:rsid w:val="00430D7E"/>
    <w:rsid w:val="00432332"/>
    <w:rsid w:val="00432368"/>
    <w:rsid w:val="0043290A"/>
    <w:rsid w:val="00433B04"/>
    <w:rsid w:val="00436B53"/>
    <w:rsid w:val="00436EB2"/>
    <w:rsid w:val="00436F73"/>
    <w:rsid w:val="0043784D"/>
    <w:rsid w:val="00440256"/>
    <w:rsid w:val="00440908"/>
    <w:rsid w:val="00440E22"/>
    <w:rsid w:val="004433FC"/>
    <w:rsid w:val="0044547D"/>
    <w:rsid w:val="00446A1F"/>
    <w:rsid w:val="00446DF4"/>
    <w:rsid w:val="00446F93"/>
    <w:rsid w:val="00447220"/>
    <w:rsid w:val="0045050B"/>
    <w:rsid w:val="00450D26"/>
    <w:rsid w:val="00451A74"/>
    <w:rsid w:val="004533A1"/>
    <w:rsid w:val="004552AB"/>
    <w:rsid w:val="004553FF"/>
    <w:rsid w:val="0045622C"/>
    <w:rsid w:val="0045665F"/>
    <w:rsid w:val="00456A29"/>
    <w:rsid w:val="00460A15"/>
    <w:rsid w:val="00460A1D"/>
    <w:rsid w:val="00464882"/>
    <w:rsid w:val="00464B51"/>
    <w:rsid w:val="00464FB1"/>
    <w:rsid w:val="00466320"/>
    <w:rsid w:val="00467185"/>
    <w:rsid w:val="00467736"/>
    <w:rsid w:val="00467970"/>
    <w:rsid w:val="0047050C"/>
    <w:rsid w:val="00472272"/>
    <w:rsid w:val="00472A45"/>
    <w:rsid w:val="00473540"/>
    <w:rsid w:val="00473930"/>
    <w:rsid w:val="00474D25"/>
    <w:rsid w:val="004750DB"/>
    <w:rsid w:val="004750FB"/>
    <w:rsid w:val="0047572F"/>
    <w:rsid w:val="00475E9E"/>
    <w:rsid w:val="0047649C"/>
    <w:rsid w:val="004771F1"/>
    <w:rsid w:val="004800C2"/>
    <w:rsid w:val="00480464"/>
    <w:rsid w:val="00480807"/>
    <w:rsid w:val="00480851"/>
    <w:rsid w:val="00480F21"/>
    <w:rsid w:val="0048108E"/>
    <w:rsid w:val="00481389"/>
    <w:rsid w:val="004821BA"/>
    <w:rsid w:val="004822D6"/>
    <w:rsid w:val="00482835"/>
    <w:rsid w:val="004828D2"/>
    <w:rsid w:val="0048537F"/>
    <w:rsid w:val="00486339"/>
    <w:rsid w:val="004874E5"/>
    <w:rsid w:val="00487885"/>
    <w:rsid w:val="0049053D"/>
    <w:rsid w:val="004909C3"/>
    <w:rsid w:val="00490A65"/>
    <w:rsid w:val="0049116C"/>
    <w:rsid w:val="00491968"/>
    <w:rsid w:val="00492CD5"/>
    <w:rsid w:val="004930C9"/>
    <w:rsid w:val="0049366C"/>
    <w:rsid w:val="00493EAC"/>
    <w:rsid w:val="00493F62"/>
    <w:rsid w:val="00494832"/>
    <w:rsid w:val="004957C2"/>
    <w:rsid w:val="00495AF1"/>
    <w:rsid w:val="00497A89"/>
    <w:rsid w:val="004A0852"/>
    <w:rsid w:val="004A3EBC"/>
    <w:rsid w:val="004A4A75"/>
    <w:rsid w:val="004A4CED"/>
    <w:rsid w:val="004A4D74"/>
    <w:rsid w:val="004A6BE6"/>
    <w:rsid w:val="004B047F"/>
    <w:rsid w:val="004B075F"/>
    <w:rsid w:val="004B0828"/>
    <w:rsid w:val="004B0D8E"/>
    <w:rsid w:val="004B2614"/>
    <w:rsid w:val="004B2C71"/>
    <w:rsid w:val="004B3304"/>
    <w:rsid w:val="004B3729"/>
    <w:rsid w:val="004B39DC"/>
    <w:rsid w:val="004B3DF1"/>
    <w:rsid w:val="004B42F4"/>
    <w:rsid w:val="004B4A86"/>
    <w:rsid w:val="004B4BC0"/>
    <w:rsid w:val="004B5555"/>
    <w:rsid w:val="004B58CB"/>
    <w:rsid w:val="004B6AAC"/>
    <w:rsid w:val="004B7E63"/>
    <w:rsid w:val="004C011C"/>
    <w:rsid w:val="004C0484"/>
    <w:rsid w:val="004C089F"/>
    <w:rsid w:val="004C0D89"/>
    <w:rsid w:val="004C1E32"/>
    <w:rsid w:val="004C259B"/>
    <w:rsid w:val="004C661A"/>
    <w:rsid w:val="004C777E"/>
    <w:rsid w:val="004C7C9F"/>
    <w:rsid w:val="004D0605"/>
    <w:rsid w:val="004D0C54"/>
    <w:rsid w:val="004D16A4"/>
    <w:rsid w:val="004D2A11"/>
    <w:rsid w:val="004E4E6F"/>
    <w:rsid w:val="004E574E"/>
    <w:rsid w:val="004E6682"/>
    <w:rsid w:val="004E6D8A"/>
    <w:rsid w:val="004E7F16"/>
    <w:rsid w:val="004F01FF"/>
    <w:rsid w:val="004F0411"/>
    <w:rsid w:val="004F10C1"/>
    <w:rsid w:val="004F15EF"/>
    <w:rsid w:val="004F174D"/>
    <w:rsid w:val="004F1D2C"/>
    <w:rsid w:val="004F22FE"/>
    <w:rsid w:val="004F3CDC"/>
    <w:rsid w:val="004F4E37"/>
    <w:rsid w:val="004F70CF"/>
    <w:rsid w:val="004F774D"/>
    <w:rsid w:val="005002FC"/>
    <w:rsid w:val="00500816"/>
    <w:rsid w:val="00500AAC"/>
    <w:rsid w:val="00500CB6"/>
    <w:rsid w:val="005013B0"/>
    <w:rsid w:val="005015E4"/>
    <w:rsid w:val="005017A6"/>
    <w:rsid w:val="0050291D"/>
    <w:rsid w:val="00504580"/>
    <w:rsid w:val="00504CBD"/>
    <w:rsid w:val="005064CD"/>
    <w:rsid w:val="00506C00"/>
    <w:rsid w:val="0050783B"/>
    <w:rsid w:val="00511016"/>
    <w:rsid w:val="00511548"/>
    <w:rsid w:val="00512046"/>
    <w:rsid w:val="005146FC"/>
    <w:rsid w:val="00514D8C"/>
    <w:rsid w:val="005159B3"/>
    <w:rsid w:val="00515E61"/>
    <w:rsid w:val="00517A18"/>
    <w:rsid w:val="00520558"/>
    <w:rsid w:val="00520CD7"/>
    <w:rsid w:val="00522AF9"/>
    <w:rsid w:val="00522C03"/>
    <w:rsid w:val="00523110"/>
    <w:rsid w:val="00525EA4"/>
    <w:rsid w:val="00526242"/>
    <w:rsid w:val="00526448"/>
    <w:rsid w:val="005276B7"/>
    <w:rsid w:val="00527793"/>
    <w:rsid w:val="0052791F"/>
    <w:rsid w:val="00530803"/>
    <w:rsid w:val="00530B23"/>
    <w:rsid w:val="00532CFF"/>
    <w:rsid w:val="005332D2"/>
    <w:rsid w:val="00534D3D"/>
    <w:rsid w:val="00534E0A"/>
    <w:rsid w:val="00535629"/>
    <w:rsid w:val="00536880"/>
    <w:rsid w:val="0053759C"/>
    <w:rsid w:val="00537CEC"/>
    <w:rsid w:val="00540AD0"/>
    <w:rsid w:val="005433E0"/>
    <w:rsid w:val="0054357A"/>
    <w:rsid w:val="00543A76"/>
    <w:rsid w:val="00545C64"/>
    <w:rsid w:val="00545F37"/>
    <w:rsid w:val="005469BD"/>
    <w:rsid w:val="00547738"/>
    <w:rsid w:val="005522F3"/>
    <w:rsid w:val="005523D1"/>
    <w:rsid w:val="00552BCA"/>
    <w:rsid w:val="00552BEF"/>
    <w:rsid w:val="005535A2"/>
    <w:rsid w:val="0055401F"/>
    <w:rsid w:val="00554A1D"/>
    <w:rsid w:val="00554BDA"/>
    <w:rsid w:val="0055532E"/>
    <w:rsid w:val="005554DA"/>
    <w:rsid w:val="00555659"/>
    <w:rsid w:val="00555BC3"/>
    <w:rsid w:val="005565C9"/>
    <w:rsid w:val="00557C8E"/>
    <w:rsid w:val="00561B2B"/>
    <w:rsid w:val="00561BC5"/>
    <w:rsid w:val="00562594"/>
    <w:rsid w:val="005626C5"/>
    <w:rsid w:val="00562812"/>
    <w:rsid w:val="0056357E"/>
    <w:rsid w:val="00564698"/>
    <w:rsid w:val="00564952"/>
    <w:rsid w:val="0056497A"/>
    <w:rsid w:val="0056645F"/>
    <w:rsid w:val="00567785"/>
    <w:rsid w:val="00567A00"/>
    <w:rsid w:val="00571AB1"/>
    <w:rsid w:val="00573797"/>
    <w:rsid w:val="0057449B"/>
    <w:rsid w:val="005748C4"/>
    <w:rsid w:val="0057508E"/>
    <w:rsid w:val="00575265"/>
    <w:rsid w:val="00576C81"/>
    <w:rsid w:val="00577C28"/>
    <w:rsid w:val="00577E1C"/>
    <w:rsid w:val="00580DB1"/>
    <w:rsid w:val="005814AC"/>
    <w:rsid w:val="00584676"/>
    <w:rsid w:val="00584923"/>
    <w:rsid w:val="00585387"/>
    <w:rsid w:val="005854B7"/>
    <w:rsid w:val="00585708"/>
    <w:rsid w:val="00587AB1"/>
    <w:rsid w:val="0059070B"/>
    <w:rsid w:val="00591345"/>
    <w:rsid w:val="00591A01"/>
    <w:rsid w:val="0059283C"/>
    <w:rsid w:val="00592E52"/>
    <w:rsid w:val="00595082"/>
    <w:rsid w:val="00596824"/>
    <w:rsid w:val="00596C3F"/>
    <w:rsid w:val="0059705C"/>
    <w:rsid w:val="00597CA0"/>
    <w:rsid w:val="005A0D95"/>
    <w:rsid w:val="005A1190"/>
    <w:rsid w:val="005A224B"/>
    <w:rsid w:val="005A2741"/>
    <w:rsid w:val="005A3AAF"/>
    <w:rsid w:val="005A3D04"/>
    <w:rsid w:val="005A443F"/>
    <w:rsid w:val="005A502C"/>
    <w:rsid w:val="005A5EAE"/>
    <w:rsid w:val="005A68E9"/>
    <w:rsid w:val="005A6CED"/>
    <w:rsid w:val="005A6E7E"/>
    <w:rsid w:val="005B1225"/>
    <w:rsid w:val="005B17D8"/>
    <w:rsid w:val="005B1B1A"/>
    <w:rsid w:val="005B1D82"/>
    <w:rsid w:val="005B23AD"/>
    <w:rsid w:val="005B4077"/>
    <w:rsid w:val="005B5837"/>
    <w:rsid w:val="005B5EA4"/>
    <w:rsid w:val="005B65E5"/>
    <w:rsid w:val="005C1B55"/>
    <w:rsid w:val="005C28B0"/>
    <w:rsid w:val="005C2983"/>
    <w:rsid w:val="005C2F01"/>
    <w:rsid w:val="005C3C15"/>
    <w:rsid w:val="005C4CE9"/>
    <w:rsid w:val="005C5435"/>
    <w:rsid w:val="005C5F3C"/>
    <w:rsid w:val="005D01BE"/>
    <w:rsid w:val="005D103B"/>
    <w:rsid w:val="005D1177"/>
    <w:rsid w:val="005D19EA"/>
    <w:rsid w:val="005D1AE3"/>
    <w:rsid w:val="005D1D13"/>
    <w:rsid w:val="005D254A"/>
    <w:rsid w:val="005D34E7"/>
    <w:rsid w:val="005D5460"/>
    <w:rsid w:val="005D551E"/>
    <w:rsid w:val="005D6499"/>
    <w:rsid w:val="005D73F8"/>
    <w:rsid w:val="005E08CD"/>
    <w:rsid w:val="005E0908"/>
    <w:rsid w:val="005E2A89"/>
    <w:rsid w:val="005E366D"/>
    <w:rsid w:val="005E37E8"/>
    <w:rsid w:val="005E3B81"/>
    <w:rsid w:val="005E6179"/>
    <w:rsid w:val="005E74C5"/>
    <w:rsid w:val="005E7FC4"/>
    <w:rsid w:val="005F1501"/>
    <w:rsid w:val="005F219D"/>
    <w:rsid w:val="005F2437"/>
    <w:rsid w:val="005F2BC3"/>
    <w:rsid w:val="005F318A"/>
    <w:rsid w:val="005F32BE"/>
    <w:rsid w:val="005F3560"/>
    <w:rsid w:val="005F4903"/>
    <w:rsid w:val="005F59E3"/>
    <w:rsid w:val="005F69A0"/>
    <w:rsid w:val="005F6BDA"/>
    <w:rsid w:val="005F7189"/>
    <w:rsid w:val="005F76F4"/>
    <w:rsid w:val="005F7710"/>
    <w:rsid w:val="005F7DBB"/>
    <w:rsid w:val="006004F7"/>
    <w:rsid w:val="00602A0A"/>
    <w:rsid w:val="00603261"/>
    <w:rsid w:val="00605133"/>
    <w:rsid w:val="006073E2"/>
    <w:rsid w:val="00607597"/>
    <w:rsid w:val="00610B1D"/>
    <w:rsid w:val="00610F93"/>
    <w:rsid w:val="006127CC"/>
    <w:rsid w:val="00613C4F"/>
    <w:rsid w:val="00614661"/>
    <w:rsid w:val="00615D24"/>
    <w:rsid w:val="006174CD"/>
    <w:rsid w:val="00620CA8"/>
    <w:rsid w:val="00621647"/>
    <w:rsid w:val="00624159"/>
    <w:rsid w:val="006243C6"/>
    <w:rsid w:val="006273BC"/>
    <w:rsid w:val="006274AF"/>
    <w:rsid w:val="00630529"/>
    <w:rsid w:val="006308AB"/>
    <w:rsid w:val="00630A08"/>
    <w:rsid w:val="00632009"/>
    <w:rsid w:val="00632D70"/>
    <w:rsid w:val="00633CF1"/>
    <w:rsid w:val="00634272"/>
    <w:rsid w:val="00635A6C"/>
    <w:rsid w:val="00635CD2"/>
    <w:rsid w:val="00637008"/>
    <w:rsid w:val="00637091"/>
    <w:rsid w:val="006371B9"/>
    <w:rsid w:val="00637FBA"/>
    <w:rsid w:val="006403BC"/>
    <w:rsid w:val="00642839"/>
    <w:rsid w:val="006428E0"/>
    <w:rsid w:val="00643652"/>
    <w:rsid w:val="006441C4"/>
    <w:rsid w:val="00644238"/>
    <w:rsid w:val="00645185"/>
    <w:rsid w:val="006457F8"/>
    <w:rsid w:val="00645CCB"/>
    <w:rsid w:val="0064700E"/>
    <w:rsid w:val="006472A3"/>
    <w:rsid w:val="006474E0"/>
    <w:rsid w:val="00647550"/>
    <w:rsid w:val="0064761A"/>
    <w:rsid w:val="006478CB"/>
    <w:rsid w:val="00650B88"/>
    <w:rsid w:val="00650E2C"/>
    <w:rsid w:val="00651EFF"/>
    <w:rsid w:val="006523FE"/>
    <w:rsid w:val="0065263E"/>
    <w:rsid w:val="00652C58"/>
    <w:rsid w:val="006530EF"/>
    <w:rsid w:val="006554DD"/>
    <w:rsid w:val="006557EC"/>
    <w:rsid w:val="00656CAF"/>
    <w:rsid w:val="00656E1E"/>
    <w:rsid w:val="00660951"/>
    <w:rsid w:val="006618D3"/>
    <w:rsid w:val="00661DD6"/>
    <w:rsid w:val="006636E2"/>
    <w:rsid w:val="00664511"/>
    <w:rsid w:val="00664C4E"/>
    <w:rsid w:val="00664CD8"/>
    <w:rsid w:val="00665502"/>
    <w:rsid w:val="0066581F"/>
    <w:rsid w:val="00665C9E"/>
    <w:rsid w:val="006661B1"/>
    <w:rsid w:val="00666273"/>
    <w:rsid w:val="00667FA9"/>
    <w:rsid w:val="006700AF"/>
    <w:rsid w:val="0067233D"/>
    <w:rsid w:val="00672B2E"/>
    <w:rsid w:val="00672C3F"/>
    <w:rsid w:val="00673B42"/>
    <w:rsid w:val="006745AE"/>
    <w:rsid w:val="00676870"/>
    <w:rsid w:val="00676AF3"/>
    <w:rsid w:val="00676F7D"/>
    <w:rsid w:val="00677895"/>
    <w:rsid w:val="00677BEF"/>
    <w:rsid w:val="006814A3"/>
    <w:rsid w:val="006827ED"/>
    <w:rsid w:val="00682AFC"/>
    <w:rsid w:val="00683344"/>
    <w:rsid w:val="0068479D"/>
    <w:rsid w:val="00684FC9"/>
    <w:rsid w:val="00685427"/>
    <w:rsid w:val="00685A7C"/>
    <w:rsid w:val="0069072B"/>
    <w:rsid w:val="0069174B"/>
    <w:rsid w:val="00693340"/>
    <w:rsid w:val="00694994"/>
    <w:rsid w:val="006953FA"/>
    <w:rsid w:val="006A04C7"/>
    <w:rsid w:val="006A0E8D"/>
    <w:rsid w:val="006A4287"/>
    <w:rsid w:val="006A65C0"/>
    <w:rsid w:val="006A6FBA"/>
    <w:rsid w:val="006B05E3"/>
    <w:rsid w:val="006B09BC"/>
    <w:rsid w:val="006B0A61"/>
    <w:rsid w:val="006B0EE3"/>
    <w:rsid w:val="006B2ACA"/>
    <w:rsid w:val="006B3E6A"/>
    <w:rsid w:val="006B4A44"/>
    <w:rsid w:val="006B5DBC"/>
    <w:rsid w:val="006B6D5D"/>
    <w:rsid w:val="006B7902"/>
    <w:rsid w:val="006B7979"/>
    <w:rsid w:val="006B7B5A"/>
    <w:rsid w:val="006C0801"/>
    <w:rsid w:val="006C0C2C"/>
    <w:rsid w:val="006C1EAA"/>
    <w:rsid w:val="006C216F"/>
    <w:rsid w:val="006C39FE"/>
    <w:rsid w:val="006C3D11"/>
    <w:rsid w:val="006C45D4"/>
    <w:rsid w:val="006C4A83"/>
    <w:rsid w:val="006C568F"/>
    <w:rsid w:val="006C56DA"/>
    <w:rsid w:val="006C570F"/>
    <w:rsid w:val="006C6C13"/>
    <w:rsid w:val="006D11BD"/>
    <w:rsid w:val="006D2042"/>
    <w:rsid w:val="006D2069"/>
    <w:rsid w:val="006D66E3"/>
    <w:rsid w:val="006D71A4"/>
    <w:rsid w:val="006D75BA"/>
    <w:rsid w:val="006D7855"/>
    <w:rsid w:val="006E010C"/>
    <w:rsid w:val="006E0780"/>
    <w:rsid w:val="006E1003"/>
    <w:rsid w:val="006E16BF"/>
    <w:rsid w:val="006E18F0"/>
    <w:rsid w:val="006E2C89"/>
    <w:rsid w:val="006E3092"/>
    <w:rsid w:val="006E38AF"/>
    <w:rsid w:val="006E3BC5"/>
    <w:rsid w:val="006E3BEA"/>
    <w:rsid w:val="006E4F93"/>
    <w:rsid w:val="006E5016"/>
    <w:rsid w:val="006E7E2B"/>
    <w:rsid w:val="006E7F4D"/>
    <w:rsid w:val="006F0EA4"/>
    <w:rsid w:val="006F10FE"/>
    <w:rsid w:val="006F1174"/>
    <w:rsid w:val="006F22E4"/>
    <w:rsid w:val="006F5465"/>
    <w:rsid w:val="006F569A"/>
    <w:rsid w:val="00700135"/>
    <w:rsid w:val="007010DA"/>
    <w:rsid w:val="0070212F"/>
    <w:rsid w:val="007023AB"/>
    <w:rsid w:val="007034D5"/>
    <w:rsid w:val="00704A9A"/>
    <w:rsid w:val="00704C40"/>
    <w:rsid w:val="00705180"/>
    <w:rsid w:val="007059C2"/>
    <w:rsid w:val="00705D90"/>
    <w:rsid w:val="00706917"/>
    <w:rsid w:val="00710A39"/>
    <w:rsid w:val="00710D80"/>
    <w:rsid w:val="00711397"/>
    <w:rsid w:val="00711605"/>
    <w:rsid w:val="00711DF6"/>
    <w:rsid w:val="00712CE6"/>
    <w:rsid w:val="00713211"/>
    <w:rsid w:val="00713459"/>
    <w:rsid w:val="00714289"/>
    <w:rsid w:val="00716FBC"/>
    <w:rsid w:val="00717090"/>
    <w:rsid w:val="00720535"/>
    <w:rsid w:val="00720739"/>
    <w:rsid w:val="007217E8"/>
    <w:rsid w:val="0072253E"/>
    <w:rsid w:val="00723E1F"/>
    <w:rsid w:val="00724258"/>
    <w:rsid w:val="0072443D"/>
    <w:rsid w:val="007247E5"/>
    <w:rsid w:val="007248B7"/>
    <w:rsid w:val="007254CA"/>
    <w:rsid w:val="007267D2"/>
    <w:rsid w:val="00730CF8"/>
    <w:rsid w:val="00731A64"/>
    <w:rsid w:val="00731A90"/>
    <w:rsid w:val="00732608"/>
    <w:rsid w:val="00732C32"/>
    <w:rsid w:val="00733251"/>
    <w:rsid w:val="0073375B"/>
    <w:rsid w:val="00733958"/>
    <w:rsid w:val="00734083"/>
    <w:rsid w:val="007347E7"/>
    <w:rsid w:val="00735305"/>
    <w:rsid w:val="007354C1"/>
    <w:rsid w:val="00736233"/>
    <w:rsid w:val="00736DCA"/>
    <w:rsid w:val="007377E3"/>
    <w:rsid w:val="007406AB"/>
    <w:rsid w:val="007407FC"/>
    <w:rsid w:val="0074083B"/>
    <w:rsid w:val="00740A69"/>
    <w:rsid w:val="00740BDB"/>
    <w:rsid w:val="00740E4B"/>
    <w:rsid w:val="00741D65"/>
    <w:rsid w:val="0074323B"/>
    <w:rsid w:val="007444A1"/>
    <w:rsid w:val="00745C47"/>
    <w:rsid w:val="00745E49"/>
    <w:rsid w:val="00747FBF"/>
    <w:rsid w:val="0075003D"/>
    <w:rsid w:val="00750087"/>
    <w:rsid w:val="00751C98"/>
    <w:rsid w:val="00751D97"/>
    <w:rsid w:val="00752C55"/>
    <w:rsid w:val="00753608"/>
    <w:rsid w:val="007542CE"/>
    <w:rsid w:val="00755650"/>
    <w:rsid w:val="007562D4"/>
    <w:rsid w:val="007573FA"/>
    <w:rsid w:val="00757EF9"/>
    <w:rsid w:val="00757F95"/>
    <w:rsid w:val="007601B0"/>
    <w:rsid w:val="00760C85"/>
    <w:rsid w:val="00761029"/>
    <w:rsid w:val="00761DBF"/>
    <w:rsid w:val="00761FCF"/>
    <w:rsid w:val="00762424"/>
    <w:rsid w:val="007629B8"/>
    <w:rsid w:val="00762AA5"/>
    <w:rsid w:val="0076320E"/>
    <w:rsid w:val="00764D5B"/>
    <w:rsid w:val="007650AC"/>
    <w:rsid w:val="007653F2"/>
    <w:rsid w:val="00765503"/>
    <w:rsid w:val="00766C93"/>
    <w:rsid w:val="0076709E"/>
    <w:rsid w:val="007672CC"/>
    <w:rsid w:val="00767B7E"/>
    <w:rsid w:val="007705E9"/>
    <w:rsid w:val="00771856"/>
    <w:rsid w:val="00771D7D"/>
    <w:rsid w:val="007727C4"/>
    <w:rsid w:val="0077450A"/>
    <w:rsid w:val="007745B7"/>
    <w:rsid w:val="0077460B"/>
    <w:rsid w:val="007750C8"/>
    <w:rsid w:val="00776538"/>
    <w:rsid w:val="00776886"/>
    <w:rsid w:val="0077714E"/>
    <w:rsid w:val="007802BD"/>
    <w:rsid w:val="007802BE"/>
    <w:rsid w:val="00780481"/>
    <w:rsid w:val="00780EEF"/>
    <w:rsid w:val="0078134C"/>
    <w:rsid w:val="00781C47"/>
    <w:rsid w:val="00782189"/>
    <w:rsid w:val="007837C7"/>
    <w:rsid w:val="00784B44"/>
    <w:rsid w:val="00785465"/>
    <w:rsid w:val="00787656"/>
    <w:rsid w:val="007904E7"/>
    <w:rsid w:val="00790C7F"/>
    <w:rsid w:val="00790FC8"/>
    <w:rsid w:val="00791767"/>
    <w:rsid w:val="00791C82"/>
    <w:rsid w:val="0079268A"/>
    <w:rsid w:val="0079303A"/>
    <w:rsid w:val="0079367E"/>
    <w:rsid w:val="00793A43"/>
    <w:rsid w:val="00793FD9"/>
    <w:rsid w:val="00794859"/>
    <w:rsid w:val="00794D51"/>
    <w:rsid w:val="00795EA4"/>
    <w:rsid w:val="00796157"/>
    <w:rsid w:val="00797C88"/>
    <w:rsid w:val="007A0EF1"/>
    <w:rsid w:val="007A1013"/>
    <w:rsid w:val="007A1DE4"/>
    <w:rsid w:val="007A21D4"/>
    <w:rsid w:val="007A235B"/>
    <w:rsid w:val="007A4CA9"/>
    <w:rsid w:val="007A60B4"/>
    <w:rsid w:val="007A7D19"/>
    <w:rsid w:val="007A7EC2"/>
    <w:rsid w:val="007B042D"/>
    <w:rsid w:val="007B05BB"/>
    <w:rsid w:val="007B0B1A"/>
    <w:rsid w:val="007B220F"/>
    <w:rsid w:val="007B25D6"/>
    <w:rsid w:val="007B3DEA"/>
    <w:rsid w:val="007B5566"/>
    <w:rsid w:val="007B5FD5"/>
    <w:rsid w:val="007B6E0A"/>
    <w:rsid w:val="007B764C"/>
    <w:rsid w:val="007C0542"/>
    <w:rsid w:val="007C0F7B"/>
    <w:rsid w:val="007C118A"/>
    <w:rsid w:val="007C2007"/>
    <w:rsid w:val="007C4AA7"/>
    <w:rsid w:val="007C636F"/>
    <w:rsid w:val="007C6C73"/>
    <w:rsid w:val="007C7899"/>
    <w:rsid w:val="007C7D71"/>
    <w:rsid w:val="007D01E4"/>
    <w:rsid w:val="007D0FC7"/>
    <w:rsid w:val="007D16C2"/>
    <w:rsid w:val="007D39EB"/>
    <w:rsid w:val="007D3ECB"/>
    <w:rsid w:val="007D4512"/>
    <w:rsid w:val="007D5834"/>
    <w:rsid w:val="007D605C"/>
    <w:rsid w:val="007E03B2"/>
    <w:rsid w:val="007E2AA2"/>
    <w:rsid w:val="007E3D24"/>
    <w:rsid w:val="007E4F74"/>
    <w:rsid w:val="007E5010"/>
    <w:rsid w:val="007E7319"/>
    <w:rsid w:val="007E74E1"/>
    <w:rsid w:val="007E77A8"/>
    <w:rsid w:val="007E7909"/>
    <w:rsid w:val="007E7D85"/>
    <w:rsid w:val="007F20BC"/>
    <w:rsid w:val="007F24BF"/>
    <w:rsid w:val="007F26DF"/>
    <w:rsid w:val="007F45FE"/>
    <w:rsid w:val="007F491C"/>
    <w:rsid w:val="007F5919"/>
    <w:rsid w:val="007F760F"/>
    <w:rsid w:val="00800486"/>
    <w:rsid w:val="00800D07"/>
    <w:rsid w:val="00800F02"/>
    <w:rsid w:val="00801B90"/>
    <w:rsid w:val="008025F3"/>
    <w:rsid w:val="00803BF8"/>
    <w:rsid w:val="00803E7E"/>
    <w:rsid w:val="00804D3D"/>
    <w:rsid w:val="008061C9"/>
    <w:rsid w:val="008066D8"/>
    <w:rsid w:val="008074BB"/>
    <w:rsid w:val="00807F7B"/>
    <w:rsid w:val="00810A3B"/>
    <w:rsid w:val="00811A18"/>
    <w:rsid w:val="008121AF"/>
    <w:rsid w:val="00812E18"/>
    <w:rsid w:val="00813711"/>
    <w:rsid w:val="0081584B"/>
    <w:rsid w:val="00815DC8"/>
    <w:rsid w:val="008177CA"/>
    <w:rsid w:val="008179B6"/>
    <w:rsid w:val="00817B57"/>
    <w:rsid w:val="0082001D"/>
    <w:rsid w:val="00820F60"/>
    <w:rsid w:val="00821646"/>
    <w:rsid w:val="00821E64"/>
    <w:rsid w:val="00821EDD"/>
    <w:rsid w:val="008223E9"/>
    <w:rsid w:val="00822A24"/>
    <w:rsid w:val="008234BA"/>
    <w:rsid w:val="00824242"/>
    <w:rsid w:val="00824959"/>
    <w:rsid w:val="008253C4"/>
    <w:rsid w:val="008263C2"/>
    <w:rsid w:val="008307DB"/>
    <w:rsid w:val="00831A7E"/>
    <w:rsid w:val="0083233A"/>
    <w:rsid w:val="00833398"/>
    <w:rsid w:val="00834FCB"/>
    <w:rsid w:val="0083562E"/>
    <w:rsid w:val="008356B2"/>
    <w:rsid w:val="008356F9"/>
    <w:rsid w:val="00835BF5"/>
    <w:rsid w:val="00835D9D"/>
    <w:rsid w:val="00835FC9"/>
    <w:rsid w:val="008368F8"/>
    <w:rsid w:val="00836F28"/>
    <w:rsid w:val="008370E3"/>
    <w:rsid w:val="008412AC"/>
    <w:rsid w:val="008418FA"/>
    <w:rsid w:val="008425E5"/>
    <w:rsid w:val="00842959"/>
    <w:rsid w:val="00843390"/>
    <w:rsid w:val="00843C98"/>
    <w:rsid w:val="00845B31"/>
    <w:rsid w:val="0084645A"/>
    <w:rsid w:val="00847E3D"/>
    <w:rsid w:val="00851D9C"/>
    <w:rsid w:val="0085235A"/>
    <w:rsid w:val="00852790"/>
    <w:rsid w:val="00852F69"/>
    <w:rsid w:val="008533E3"/>
    <w:rsid w:val="00853F8F"/>
    <w:rsid w:val="00854138"/>
    <w:rsid w:val="00854410"/>
    <w:rsid w:val="008544DF"/>
    <w:rsid w:val="00855FD7"/>
    <w:rsid w:val="008566A5"/>
    <w:rsid w:val="008602B6"/>
    <w:rsid w:val="00860AAD"/>
    <w:rsid w:val="00861AA6"/>
    <w:rsid w:val="008642BD"/>
    <w:rsid w:val="00866421"/>
    <w:rsid w:val="00866E40"/>
    <w:rsid w:val="008708F3"/>
    <w:rsid w:val="0087104E"/>
    <w:rsid w:val="00871354"/>
    <w:rsid w:val="00871E7A"/>
    <w:rsid w:val="00872EDE"/>
    <w:rsid w:val="008734AE"/>
    <w:rsid w:val="00873611"/>
    <w:rsid w:val="00873C8F"/>
    <w:rsid w:val="008745FE"/>
    <w:rsid w:val="00874FB3"/>
    <w:rsid w:val="0087538D"/>
    <w:rsid w:val="00876012"/>
    <w:rsid w:val="0087684D"/>
    <w:rsid w:val="00877F7C"/>
    <w:rsid w:val="00880BE3"/>
    <w:rsid w:val="00880D5A"/>
    <w:rsid w:val="00881359"/>
    <w:rsid w:val="00882093"/>
    <w:rsid w:val="00882588"/>
    <w:rsid w:val="00882743"/>
    <w:rsid w:val="008843E3"/>
    <w:rsid w:val="00884ADE"/>
    <w:rsid w:val="008856CF"/>
    <w:rsid w:val="00885864"/>
    <w:rsid w:val="0088606E"/>
    <w:rsid w:val="00887014"/>
    <w:rsid w:val="00887B92"/>
    <w:rsid w:val="008901EB"/>
    <w:rsid w:val="00890298"/>
    <w:rsid w:val="00890A1D"/>
    <w:rsid w:val="008911F4"/>
    <w:rsid w:val="008927F3"/>
    <w:rsid w:val="0089383B"/>
    <w:rsid w:val="00893E2B"/>
    <w:rsid w:val="00893FA8"/>
    <w:rsid w:val="00894323"/>
    <w:rsid w:val="0089534B"/>
    <w:rsid w:val="0089616F"/>
    <w:rsid w:val="00896E17"/>
    <w:rsid w:val="00896F9B"/>
    <w:rsid w:val="008A0232"/>
    <w:rsid w:val="008A321A"/>
    <w:rsid w:val="008A4CE3"/>
    <w:rsid w:val="008A4EA0"/>
    <w:rsid w:val="008A5882"/>
    <w:rsid w:val="008A5FEA"/>
    <w:rsid w:val="008A60E5"/>
    <w:rsid w:val="008A6E73"/>
    <w:rsid w:val="008B0470"/>
    <w:rsid w:val="008B05E7"/>
    <w:rsid w:val="008B06C5"/>
    <w:rsid w:val="008B08B2"/>
    <w:rsid w:val="008B12F3"/>
    <w:rsid w:val="008B164E"/>
    <w:rsid w:val="008B1AC6"/>
    <w:rsid w:val="008B428A"/>
    <w:rsid w:val="008B46D1"/>
    <w:rsid w:val="008B4923"/>
    <w:rsid w:val="008B4F06"/>
    <w:rsid w:val="008B502A"/>
    <w:rsid w:val="008B57D8"/>
    <w:rsid w:val="008B65CF"/>
    <w:rsid w:val="008B6AF2"/>
    <w:rsid w:val="008B6F75"/>
    <w:rsid w:val="008B73F7"/>
    <w:rsid w:val="008B75C0"/>
    <w:rsid w:val="008B7A65"/>
    <w:rsid w:val="008B7C57"/>
    <w:rsid w:val="008C0500"/>
    <w:rsid w:val="008C1219"/>
    <w:rsid w:val="008C123E"/>
    <w:rsid w:val="008C137D"/>
    <w:rsid w:val="008C1E4C"/>
    <w:rsid w:val="008C209F"/>
    <w:rsid w:val="008C22DD"/>
    <w:rsid w:val="008C3DFD"/>
    <w:rsid w:val="008C3E28"/>
    <w:rsid w:val="008C3ED0"/>
    <w:rsid w:val="008C4203"/>
    <w:rsid w:val="008C48EE"/>
    <w:rsid w:val="008C5DA5"/>
    <w:rsid w:val="008C5E94"/>
    <w:rsid w:val="008C5EFF"/>
    <w:rsid w:val="008D196A"/>
    <w:rsid w:val="008D27BC"/>
    <w:rsid w:val="008D2912"/>
    <w:rsid w:val="008D294A"/>
    <w:rsid w:val="008D30D5"/>
    <w:rsid w:val="008D4013"/>
    <w:rsid w:val="008D46C4"/>
    <w:rsid w:val="008D4A2E"/>
    <w:rsid w:val="008D551E"/>
    <w:rsid w:val="008D59FD"/>
    <w:rsid w:val="008E0A38"/>
    <w:rsid w:val="008E1BE1"/>
    <w:rsid w:val="008E3DBA"/>
    <w:rsid w:val="008E3EF2"/>
    <w:rsid w:val="008E51C9"/>
    <w:rsid w:val="008E5BEB"/>
    <w:rsid w:val="008E6306"/>
    <w:rsid w:val="008E7639"/>
    <w:rsid w:val="008F0135"/>
    <w:rsid w:val="008F0A5C"/>
    <w:rsid w:val="008F1055"/>
    <w:rsid w:val="008F1AB9"/>
    <w:rsid w:val="008F3942"/>
    <w:rsid w:val="008F3F6A"/>
    <w:rsid w:val="008F457B"/>
    <w:rsid w:val="008F50E4"/>
    <w:rsid w:val="008F6355"/>
    <w:rsid w:val="008F68F7"/>
    <w:rsid w:val="008F6FBD"/>
    <w:rsid w:val="009005A6"/>
    <w:rsid w:val="009006CF"/>
    <w:rsid w:val="00900C71"/>
    <w:rsid w:val="00900E29"/>
    <w:rsid w:val="0090132E"/>
    <w:rsid w:val="00901E9F"/>
    <w:rsid w:val="009029B0"/>
    <w:rsid w:val="00902A04"/>
    <w:rsid w:val="00902A1C"/>
    <w:rsid w:val="009037B6"/>
    <w:rsid w:val="00903FA1"/>
    <w:rsid w:val="009063F3"/>
    <w:rsid w:val="00906CBE"/>
    <w:rsid w:val="00907E42"/>
    <w:rsid w:val="00910024"/>
    <w:rsid w:val="00910384"/>
    <w:rsid w:val="00913C22"/>
    <w:rsid w:val="00914B0C"/>
    <w:rsid w:val="00914FC4"/>
    <w:rsid w:val="0091558B"/>
    <w:rsid w:val="0091643D"/>
    <w:rsid w:val="00916E33"/>
    <w:rsid w:val="009175A6"/>
    <w:rsid w:val="00917C8C"/>
    <w:rsid w:val="00917D59"/>
    <w:rsid w:val="00917F7B"/>
    <w:rsid w:val="0092033E"/>
    <w:rsid w:val="0092093B"/>
    <w:rsid w:val="00921352"/>
    <w:rsid w:val="00922C00"/>
    <w:rsid w:val="009263DD"/>
    <w:rsid w:val="00930072"/>
    <w:rsid w:val="00930669"/>
    <w:rsid w:val="00932C33"/>
    <w:rsid w:val="00936B90"/>
    <w:rsid w:val="00937C63"/>
    <w:rsid w:val="009401B7"/>
    <w:rsid w:val="0094054B"/>
    <w:rsid w:val="00941347"/>
    <w:rsid w:val="00942536"/>
    <w:rsid w:val="009427A1"/>
    <w:rsid w:val="00942FFE"/>
    <w:rsid w:val="009434A7"/>
    <w:rsid w:val="00944EFF"/>
    <w:rsid w:val="00945C8B"/>
    <w:rsid w:val="00945D72"/>
    <w:rsid w:val="009476C9"/>
    <w:rsid w:val="00947BD4"/>
    <w:rsid w:val="009544EA"/>
    <w:rsid w:val="009551E0"/>
    <w:rsid w:val="00955DC1"/>
    <w:rsid w:val="0095654E"/>
    <w:rsid w:val="00956F3C"/>
    <w:rsid w:val="0096041F"/>
    <w:rsid w:val="0096054C"/>
    <w:rsid w:val="00960CFB"/>
    <w:rsid w:val="00961AEC"/>
    <w:rsid w:val="00964434"/>
    <w:rsid w:val="00965C1E"/>
    <w:rsid w:val="00965F8E"/>
    <w:rsid w:val="0096631C"/>
    <w:rsid w:val="00966BB8"/>
    <w:rsid w:val="009670E3"/>
    <w:rsid w:val="00967673"/>
    <w:rsid w:val="00970678"/>
    <w:rsid w:val="009712FB"/>
    <w:rsid w:val="00971C34"/>
    <w:rsid w:val="009722CC"/>
    <w:rsid w:val="00972488"/>
    <w:rsid w:val="009725CF"/>
    <w:rsid w:val="009726D0"/>
    <w:rsid w:val="00973606"/>
    <w:rsid w:val="00973B23"/>
    <w:rsid w:val="0097421D"/>
    <w:rsid w:val="00976117"/>
    <w:rsid w:val="00976A23"/>
    <w:rsid w:val="0097749C"/>
    <w:rsid w:val="00977D51"/>
    <w:rsid w:val="009800BC"/>
    <w:rsid w:val="00980575"/>
    <w:rsid w:val="009816F6"/>
    <w:rsid w:val="009820EC"/>
    <w:rsid w:val="00983D92"/>
    <w:rsid w:val="009843BA"/>
    <w:rsid w:val="0098456D"/>
    <w:rsid w:val="009852DF"/>
    <w:rsid w:val="009900F0"/>
    <w:rsid w:val="009903C9"/>
    <w:rsid w:val="00990B9B"/>
    <w:rsid w:val="00991370"/>
    <w:rsid w:val="00991769"/>
    <w:rsid w:val="00991ACA"/>
    <w:rsid w:val="009928B5"/>
    <w:rsid w:val="00993236"/>
    <w:rsid w:val="00993D8C"/>
    <w:rsid w:val="00994E3D"/>
    <w:rsid w:val="0099651C"/>
    <w:rsid w:val="009968CD"/>
    <w:rsid w:val="009A0523"/>
    <w:rsid w:val="009A0E72"/>
    <w:rsid w:val="009A1772"/>
    <w:rsid w:val="009A2384"/>
    <w:rsid w:val="009A297E"/>
    <w:rsid w:val="009A504D"/>
    <w:rsid w:val="009A5779"/>
    <w:rsid w:val="009A6127"/>
    <w:rsid w:val="009A706D"/>
    <w:rsid w:val="009B005D"/>
    <w:rsid w:val="009B0CC1"/>
    <w:rsid w:val="009B12B9"/>
    <w:rsid w:val="009B2C7D"/>
    <w:rsid w:val="009B36D8"/>
    <w:rsid w:val="009B55D4"/>
    <w:rsid w:val="009B69F0"/>
    <w:rsid w:val="009B6A30"/>
    <w:rsid w:val="009B713C"/>
    <w:rsid w:val="009C0F18"/>
    <w:rsid w:val="009C12C6"/>
    <w:rsid w:val="009C19D4"/>
    <w:rsid w:val="009C2555"/>
    <w:rsid w:val="009C2858"/>
    <w:rsid w:val="009C2DA6"/>
    <w:rsid w:val="009C3BFA"/>
    <w:rsid w:val="009C498D"/>
    <w:rsid w:val="009C5233"/>
    <w:rsid w:val="009C5B4F"/>
    <w:rsid w:val="009C62AA"/>
    <w:rsid w:val="009C64E2"/>
    <w:rsid w:val="009C671E"/>
    <w:rsid w:val="009C705A"/>
    <w:rsid w:val="009C766B"/>
    <w:rsid w:val="009C7778"/>
    <w:rsid w:val="009C7E97"/>
    <w:rsid w:val="009C7EE6"/>
    <w:rsid w:val="009D06AE"/>
    <w:rsid w:val="009D09E2"/>
    <w:rsid w:val="009D1E42"/>
    <w:rsid w:val="009D2205"/>
    <w:rsid w:val="009D282B"/>
    <w:rsid w:val="009D3E61"/>
    <w:rsid w:val="009D4D02"/>
    <w:rsid w:val="009D5C90"/>
    <w:rsid w:val="009D6DDD"/>
    <w:rsid w:val="009D7148"/>
    <w:rsid w:val="009D76D9"/>
    <w:rsid w:val="009E01D3"/>
    <w:rsid w:val="009E02FD"/>
    <w:rsid w:val="009E1145"/>
    <w:rsid w:val="009E22E8"/>
    <w:rsid w:val="009E268B"/>
    <w:rsid w:val="009E34FA"/>
    <w:rsid w:val="009E4C74"/>
    <w:rsid w:val="009E4D4A"/>
    <w:rsid w:val="009E56CC"/>
    <w:rsid w:val="009E59F1"/>
    <w:rsid w:val="009E5D5D"/>
    <w:rsid w:val="009E62B6"/>
    <w:rsid w:val="009E73E6"/>
    <w:rsid w:val="009F06C4"/>
    <w:rsid w:val="009F0A1A"/>
    <w:rsid w:val="009F0EA5"/>
    <w:rsid w:val="009F26CA"/>
    <w:rsid w:val="009F2CF2"/>
    <w:rsid w:val="009F35DA"/>
    <w:rsid w:val="009F3684"/>
    <w:rsid w:val="009F3C0D"/>
    <w:rsid w:val="009F4034"/>
    <w:rsid w:val="009F43D0"/>
    <w:rsid w:val="009F44DF"/>
    <w:rsid w:val="009F55CD"/>
    <w:rsid w:val="009F72C7"/>
    <w:rsid w:val="00A000F0"/>
    <w:rsid w:val="00A00568"/>
    <w:rsid w:val="00A00884"/>
    <w:rsid w:val="00A00EEB"/>
    <w:rsid w:val="00A01366"/>
    <w:rsid w:val="00A020CE"/>
    <w:rsid w:val="00A02F62"/>
    <w:rsid w:val="00A02FA3"/>
    <w:rsid w:val="00A030C3"/>
    <w:rsid w:val="00A0420F"/>
    <w:rsid w:val="00A04531"/>
    <w:rsid w:val="00A04803"/>
    <w:rsid w:val="00A05A6B"/>
    <w:rsid w:val="00A061DB"/>
    <w:rsid w:val="00A06EBF"/>
    <w:rsid w:val="00A10147"/>
    <w:rsid w:val="00A10EDE"/>
    <w:rsid w:val="00A112B4"/>
    <w:rsid w:val="00A11331"/>
    <w:rsid w:val="00A12348"/>
    <w:rsid w:val="00A131E6"/>
    <w:rsid w:val="00A13843"/>
    <w:rsid w:val="00A13852"/>
    <w:rsid w:val="00A146A5"/>
    <w:rsid w:val="00A151A7"/>
    <w:rsid w:val="00A1552C"/>
    <w:rsid w:val="00A15BD9"/>
    <w:rsid w:val="00A16446"/>
    <w:rsid w:val="00A16615"/>
    <w:rsid w:val="00A17466"/>
    <w:rsid w:val="00A204B3"/>
    <w:rsid w:val="00A20576"/>
    <w:rsid w:val="00A21593"/>
    <w:rsid w:val="00A221F7"/>
    <w:rsid w:val="00A2227F"/>
    <w:rsid w:val="00A2232F"/>
    <w:rsid w:val="00A22C21"/>
    <w:rsid w:val="00A23412"/>
    <w:rsid w:val="00A23575"/>
    <w:rsid w:val="00A2457B"/>
    <w:rsid w:val="00A24AFA"/>
    <w:rsid w:val="00A25212"/>
    <w:rsid w:val="00A257A4"/>
    <w:rsid w:val="00A25CA2"/>
    <w:rsid w:val="00A2604E"/>
    <w:rsid w:val="00A27D3B"/>
    <w:rsid w:val="00A31CCE"/>
    <w:rsid w:val="00A33C95"/>
    <w:rsid w:val="00A34540"/>
    <w:rsid w:val="00A34809"/>
    <w:rsid w:val="00A34818"/>
    <w:rsid w:val="00A34FF3"/>
    <w:rsid w:val="00A35351"/>
    <w:rsid w:val="00A361C7"/>
    <w:rsid w:val="00A36723"/>
    <w:rsid w:val="00A378DE"/>
    <w:rsid w:val="00A37F35"/>
    <w:rsid w:val="00A404E2"/>
    <w:rsid w:val="00A40612"/>
    <w:rsid w:val="00A411CC"/>
    <w:rsid w:val="00A418A5"/>
    <w:rsid w:val="00A43140"/>
    <w:rsid w:val="00A4344F"/>
    <w:rsid w:val="00A44C7B"/>
    <w:rsid w:val="00A46DF5"/>
    <w:rsid w:val="00A5149A"/>
    <w:rsid w:val="00A5182F"/>
    <w:rsid w:val="00A528A1"/>
    <w:rsid w:val="00A53650"/>
    <w:rsid w:val="00A53E51"/>
    <w:rsid w:val="00A56F51"/>
    <w:rsid w:val="00A57183"/>
    <w:rsid w:val="00A5777A"/>
    <w:rsid w:val="00A57D75"/>
    <w:rsid w:val="00A6060A"/>
    <w:rsid w:val="00A60693"/>
    <w:rsid w:val="00A60D77"/>
    <w:rsid w:val="00A6196D"/>
    <w:rsid w:val="00A619C0"/>
    <w:rsid w:val="00A61ADF"/>
    <w:rsid w:val="00A61CEC"/>
    <w:rsid w:val="00A62012"/>
    <w:rsid w:val="00A624CB"/>
    <w:rsid w:val="00A62599"/>
    <w:rsid w:val="00A6261F"/>
    <w:rsid w:val="00A62AC0"/>
    <w:rsid w:val="00A631A5"/>
    <w:rsid w:val="00A6323E"/>
    <w:rsid w:val="00A63589"/>
    <w:rsid w:val="00A63B08"/>
    <w:rsid w:val="00A6431C"/>
    <w:rsid w:val="00A64EB4"/>
    <w:rsid w:val="00A66268"/>
    <w:rsid w:val="00A66E75"/>
    <w:rsid w:val="00A67F52"/>
    <w:rsid w:val="00A70FEA"/>
    <w:rsid w:val="00A71440"/>
    <w:rsid w:val="00A72A9C"/>
    <w:rsid w:val="00A74FE6"/>
    <w:rsid w:val="00A75118"/>
    <w:rsid w:val="00A761A1"/>
    <w:rsid w:val="00A76BD2"/>
    <w:rsid w:val="00A775E8"/>
    <w:rsid w:val="00A7774B"/>
    <w:rsid w:val="00A80068"/>
    <w:rsid w:val="00A8267D"/>
    <w:rsid w:val="00A82C37"/>
    <w:rsid w:val="00A82E14"/>
    <w:rsid w:val="00A83012"/>
    <w:rsid w:val="00A83FBA"/>
    <w:rsid w:val="00A845A7"/>
    <w:rsid w:val="00A85862"/>
    <w:rsid w:val="00A85F13"/>
    <w:rsid w:val="00A86589"/>
    <w:rsid w:val="00A8688E"/>
    <w:rsid w:val="00A86CFE"/>
    <w:rsid w:val="00A8722B"/>
    <w:rsid w:val="00A8742C"/>
    <w:rsid w:val="00A901E9"/>
    <w:rsid w:val="00A90B42"/>
    <w:rsid w:val="00A917B6"/>
    <w:rsid w:val="00A91831"/>
    <w:rsid w:val="00A91B3B"/>
    <w:rsid w:val="00A92C31"/>
    <w:rsid w:val="00A93B4F"/>
    <w:rsid w:val="00A93B88"/>
    <w:rsid w:val="00A94F7A"/>
    <w:rsid w:val="00A95324"/>
    <w:rsid w:val="00A95A46"/>
    <w:rsid w:val="00A95D3B"/>
    <w:rsid w:val="00A96B0F"/>
    <w:rsid w:val="00A97341"/>
    <w:rsid w:val="00A97B8C"/>
    <w:rsid w:val="00AA0081"/>
    <w:rsid w:val="00AA05D6"/>
    <w:rsid w:val="00AA18B3"/>
    <w:rsid w:val="00AA299C"/>
    <w:rsid w:val="00AA4280"/>
    <w:rsid w:val="00AA4D7B"/>
    <w:rsid w:val="00AA4E4D"/>
    <w:rsid w:val="00AA5E38"/>
    <w:rsid w:val="00AB09ED"/>
    <w:rsid w:val="00AB21D8"/>
    <w:rsid w:val="00AB2DFA"/>
    <w:rsid w:val="00AB361A"/>
    <w:rsid w:val="00AB3DC0"/>
    <w:rsid w:val="00AB3F3A"/>
    <w:rsid w:val="00AB4CBB"/>
    <w:rsid w:val="00AB4FF0"/>
    <w:rsid w:val="00AB518D"/>
    <w:rsid w:val="00AB5C1B"/>
    <w:rsid w:val="00AB7549"/>
    <w:rsid w:val="00AB7FE9"/>
    <w:rsid w:val="00AC063F"/>
    <w:rsid w:val="00AC0870"/>
    <w:rsid w:val="00AC125E"/>
    <w:rsid w:val="00AC3E43"/>
    <w:rsid w:val="00AC45DF"/>
    <w:rsid w:val="00AC474D"/>
    <w:rsid w:val="00AC4DFD"/>
    <w:rsid w:val="00AC4F47"/>
    <w:rsid w:val="00AC5663"/>
    <w:rsid w:val="00AC58FD"/>
    <w:rsid w:val="00AC5BB9"/>
    <w:rsid w:val="00AC73B3"/>
    <w:rsid w:val="00AC7469"/>
    <w:rsid w:val="00AD0F6D"/>
    <w:rsid w:val="00AD1156"/>
    <w:rsid w:val="00AD1166"/>
    <w:rsid w:val="00AD19D2"/>
    <w:rsid w:val="00AD1A96"/>
    <w:rsid w:val="00AD1CAD"/>
    <w:rsid w:val="00AD235A"/>
    <w:rsid w:val="00AD3042"/>
    <w:rsid w:val="00AD4A92"/>
    <w:rsid w:val="00AD4A9A"/>
    <w:rsid w:val="00AD63F2"/>
    <w:rsid w:val="00AD698D"/>
    <w:rsid w:val="00AD793A"/>
    <w:rsid w:val="00AE0120"/>
    <w:rsid w:val="00AE0622"/>
    <w:rsid w:val="00AE0725"/>
    <w:rsid w:val="00AE2177"/>
    <w:rsid w:val="00AE2997"/>
    <w:rsid w:val="00AE3038"/>
    <w:rsid w:val="00AE3D4A"/>
    <w:rsid w:val="00AE5956"/>
    <w:rsid w:val="00AE619F"/>
    <w:rsid w:val="00AE631C"/>
    <w:rsid w:val="00AE6970"/>
    <w:rsid w:val="00AE7A88"/>
    <w:rsid w:val="00AF060F"/>
    <w:rsid w:val="00AF13D2"/>
    <w:rsid w:val="00AF2A56"/>
    <w:rsid w:val="00AF45B0"/>
    <w:rsid w:val="00AF51D1"/>
    <w:rsid w:val="00AF6321"/>
    <w:rsid w:val="00AF63AB"/>
    <w:rsid w:val="00B00988"/>
    <w:rsid w:val="00B01784"/>
    <w:rsid w:val="00B01B33"/>
    <w:rsid w:val="00B03292"/>
    <w:rsid w:val="00B036E6"/>
    <w:rsid w:val="00B0388B"/>
    <w:rsid w:val="00B03BEE"/>
    <w:rsid w:val="00B04608"/>
    <w:rsid w:val="00B04FFC"/>
    <w:rsid w:val="00B0517E"/>
    <w:rsid w:val="00B05CEF"/>
    <w:rsid w:val="00B06DB0"/>
    <w:rsid w:val="00B11314"/>
    <w:rsid w:val="00B113E3"/>
    <w:rsid w:val="00B1156A"/>
    <w:rsid w:val="00B11CF4"/>
    <w:rsid w:val="00B136A3"/>
    <w:rsid w:val="00B138E3"/>
    <w:rsid w:val="00B13FB5"/>
    <w:rsid w:val="00B14898"/>
    <w:rsid w:val="00B15326"/>
    <w:rsid w:val="00B161B3"/>
    <w:rsid w:val="00B16B74"/>
    <w:rsid w:val="00B17249"/>
    <w:rsid w:val="00B178FA"/>
    <w:rsid w:val="00B17C5B"/>
    <w:rsid w:val="00B17D8E"/>
    <w:rsid w:val="00B207C3"/>
    <w:rsid w:val="00B21443"/>
    <w:rsid w:val="00B21798"/>
    <w:rsid w:val="00B21827"/>
    <w:rsid w:val="00B21893"/>
    <w:rsid w:val="00B21963"/>
    <w:rsid w:val="00B21A79"/>
    <w:rsid w:val="00B22468"/>
    <w:rsid w:val="00B229FD"/>
    <w:rsid w:val="00B22B90"/>
    <w:rsid w:val="00B23267"/>
    <w:rsid w:val="00B23906"/>
    <w:rsid w:val="00B23BBC"/>
    <w:rsid w:val="00B23F96"/>
    <w:rsid w:val="00B247CA"/>
    <w:rsid w:val="00B24A7A"/>
    <w:rsid w:val="00B257BF"/>
    <w:rsid w:val="00B26E7D"/>
    <w:rsid w:val="00B27149"/>
    <w:rsid w:val="00B27B7A"/>
    <w:rsid w:val="00B30AB2"/>
    <w:rsid w:val="00B3279A"/>
    <w:rsid w:val="00B33C11"/>
    <w:rsid w:val="00B34527"/>
    <w:rsid w:val="00B34BB7"/>
    <w:rsid w:val="00B35B4D"/>
    <w:rsid w:val="00B35BFC"/>
    <w:rsid w:val="00B35C9E"/>
    <w:rsid w:val="00B362F0"/>
    <w:rsid w:val="00B36652"/>
    <w:rsid w:val="00B4177C"/>
    <w:rsid w:val="00B425AB"/>
    <w:rsid w:val="00B42B94"/>
    <w:rsid w:val="00B43417"/>
    <w:rsid w:val="00B44D8F"/>
    <w:rsid w:val="00B45279"/>
    <w:rsid w:val="00B45F70"/>
    <w:rsid w:val="00B47090"/>
    <w:rsid w:val="00B4794A"/>
    <w:rsid w:val="00B47B38"/>
    <w:rsid w:val="00B50372"/>
    <w:rsid w:val="00B50396"/>
    <w:rsid w:val="00B532D1"/>
    <w:rsid w:val="00B5409F"/>
    <w:rsid w:val="00B55D64"/>
    <w:rsid w:val="00B57925"/>
    <w:rsid w:val="00B601BB"/>
    <w:rsid w:val="00B602A5"/>
    <w:rsid w:val="00B61832"/>
    <w:rsid w:val="00B61CC9"/>
    <w:rsid w:val="00B61E3E"/>
    <w:rsid w:val="00B642EF"/>
    <w:rsid w:val="00B6432A"/>
    <w:rsid w:val="00B64E42"/>
    <w:rsid w:val="00B65875"/>
    <w:rsid w:val="00B67A79"/>
    <w:rsid w:val="00B67AF6"/>
    <w:rsid w:val="00B70227"/>
    <w:rsid w:val="00B7066E"/>
    <w:rsid w:val="00B70852"/>
    <w:rsid w:val="00B71874"/>
    <w:rsid w:val="00B71AF6"/>
    <w:rsid w:val="00B722AE"/>
    <w:rsid w:val="00B72335"/>
    <w:rsid w:val="00B72D62"/>
    <w:rsid w:val="00B73918"/>
    <w:rsid w:val="00B75824"/>
    <w:rsid w:val="00B75A2D"/>
    <w:rsid w:val="00B75BB5"/>
    <w:rsid w:val="00B7605D"/>
    <w:rsid w:val="00B767AF"/>
    <w:rsid w:val="00B7719C"/>
    <w:rsid w:val="00B77216"/>
    <w:rsid w:val="00B777EA"/>
    <w:rsid w:val="00B77926"/>
    <w:rsid w:val="00B77ECF"/>
    <w:rsid w:val="00B80511"/>
    <w:rsid w:val="00B80798"/>
    <w:rsid w:val="00B80876"/>
    <w:rsid w:val="00B80AF4"/>
    <w:rsid w:val="00B8262D"/>
    <w:rsid w:val="00B826A5"/>
    <w:rsid w:val="00B82C3C"/>
    <w:rsid w:val="00B82DE6"/>
    <w:rsid w:val="00B830D1"/>
    <w:rsid w:val="00B831CD"/>
    <w:rsid w:val="00B846F6"/>
    <w:rsid w:val="00B85329"/>
    <w:rsid w:val="00B85446"/>
    <w:rsid w:val="00B855DF"/>
    <w:rsid w:val="00B85C0F"/>
    <w:rsid w:val="00B8701A"/>
    <w:rsid w:val="00B91B73"/>
    <w:rsid w:val="00B91B9D"/>
    <w:rsid w:val="00B92650"/>
    <w:rsid w:val="00B92934"/>
    <w:rsid w:val="00B96460"/>
    <w:rsid w:val="00B965B5"/>
    <w:rsid w:val="00B96CE8"/>
    <w:rsid w:val="00B9734A"/>
    <w:rsid w:val="00B977C4"/>
    <w:rsid w:val="00B97BCF"/>
    <w:rsid w:val="00BA1B71"/>
    <w:rsid w:val="00BA2598"/>
    <w:rsid w:val="00BA3176"/>
    <w:rsid w:val="00BA43AE"/>
    <w:rsid w:val="00BA5E20"/>
    <w:rsid w:val="00BA607C"/>
    <w:rsid w:val="00BA60E5"/>
    <w:rsid w:val="00BA656F"/>
    <w:rsid w:val="00BA6734"/>
    <w:rsid w:val="00BA6B0C"/>
    <w:rsid w:val="00BB06ED"/>
    <w:rsid w:val="00BB132C"/>
    <w:rsid w:val="00BB3E2A"/>
    <w:rsid w:val="00BB48A7"/>
    <w:rsid w:val="00BB4C26"/>
    <w:rsid w:val="00BB6545"/>
    <w:rsid w:val="00BB7121"/>
    <w:rsid w:val="00BB7982"/>
    <w:rsid w:val="00BC0479"/>
    <w:rsid w:val="00BC163F"/>
    <w:rsid w:val="00BC1651"/>
    <w:rsid w:val="00BC16F5"/>
    <w:rsid w:val="00BC18FF"/>
    <w:rsid w:val="00BC287D"/>
    <w:rsid w:val="00BC2A38"/>
    <w:rsid w:val="00BC2E82"/>
    <w:rsid w:val="00BC4315"/>
    <w:rsid w:val="00BC44C5"/>
    <w:rsid w:val="00BC46EB"/>
    <w:rsid w:val="00BC57FE"/>
    <w:rsid w:val="00BC643B"/>
    <w:rsid w:val="00BD0246"/>
    <w:rsid w:val="00BD2A41"/>
    <w:rsid w:val="00BD32E5"/>
    <w:rsid w:val="00BD36C4"/>
    <w:rsid w:val="00BD39DA"/>
    <w:rsid w:val="00BD4164"/>
    <w:rsid w:val="00BD4443"/>
    <w:rsid w:val="00BD457D"/>
    <w:rsid w:val="00BD48FC"/>
    <w:rsid w:val="00BD4BC6"/>
    <w:rsid w:val="00BD69C8"/>
    <w:rsid w:val="00BD6C11"/>
    <w:rsid w:val="00BD6E1A"/>
    <w:rsid w:val="00BD70BF"/>
    <w:rsid w:val="00BD79DE"/>
    <w:rsid w:val="00BE0BBA"/>
    <w:rsid w:val="00BE1095"/>
    <w:rsid w:val="00BE150A"/>
    <w:rsid w:val="00BE339B"/>
    <w:rsid w:val="00BE35DC"/>
    <w:rsid w:val="00BE4E27"/>
    <w:rsid w:val="00BE5412"/>
    <w:rsid w:val="00BE6767"/>
    <w:rsid w:val="00BE67AB"/>
    <w:rsid w:val="00BE686C"/>
    <w:rsid w:val="00BE6AAF"/>
    <w:rsid w:val="00BE7019"/>
    <w:rsid w:val="00BE78EC"/>
    <w:rsid w:val="00BF0598"/>
    <w:rsid w:val="00BF0DDC"/>
    <w:rsid w:val="00BF1EB9"/>
    <w:rsid w:val="00BF4200"/>
    <w:rsid w:val="00BF44F8"/>
    <w:rsid w:val="00BF46EE"/>
    <w:rsid w:val="00BF5522"/>
    <w:rsid w:val="00BF5AA3"/>
    <w:rsid w:val="00BF646E"/>
    <w:rsid w:val="00C013A4"/>
    <w:rsid w:val="00C02AB5"/>
    <w:rsid w:val="00C04C1A"/>
    <w:rsid w:val="00C05333"/>
    <w:rsid w:val="00C05E81"/>
    <w:rsid w:val="00C0613C"/>
    <w:rsid w:val="00C063C1"/>
    <w:rsid w:val="00C06520"/>
    <w:rsid w:val="00C0683F"/>
    <w:rsid w:val="00C10D05"/>
    <w:rsid w:val="00C11601"/>
    <w:rsid w:val="00C13970"/>
    <w:rsid w:val="00C13DF9"/>
    <w:rsid w:val="00C14FBA"/>
    <w:rsid w:val="00C15484"/>
    <w:rsid w:val="00C15EA1"/>
    <w:rsid w:val="00C167AA"/>
    <w:rsid w:val="00C174DB"/>
    <w:rsid w:val="00C17A8E"/>
    <w:rsid w:val="00C217E5"/>
    <w:rsid w:val="00C2378F"/>
    <w:rsid w:val="00C24C44"/>
    <w:rsid w:val="00C24F70"/>
    <w:rsid w:val="00C25615"/>
    <w:rsid w:val="00C25DC2"/>
    <w:rsid w:val="00C25E00"/>
    <w:rsid w:val="00C263A9"/>
    <w:rsid w:val="00C26A06"/>
    <w:rsid w:val="00C2766D"/>
    <w:rsid w:val="00C278CA"/>
    <w:rsid w:val="00C32523"/>
    <w:rsid w:val="00C328CB"/>
    <w:rsid w:val="00C32AB5"/>
    <w:rsid w:val="00C33479"/>
    <w:rsid w:val="00C33DDD"/>
    <w:rsid w:val="00C3498E"/>
    <w:rsid w:val="00C405EE"/>
    <w:rsid w:val="00C40ED2"/>
    <w:rsid w:val="00C41F10"/>
    <w:rsid w:val="00C42005"/>
    <w:rsid w:val="00C432DD"/>
    <w:rsid w:val="00C4423A"/>
    <w:rsid w:val="00C44D4C"/>
    <w:rsid w:val="00C4748A"/>
    <w:rsid w:val="00C501FE"/>
    <w:rsid w:val="00C51C37"/>
    <w:rsid w:val="00C51CFC"/>
    <w:rsid w:val="00C52AAD"/>
    <w:rsid w:val="00C5390A"/>
    <w:rsid w:val="00C54E89"/>
    <w:rsid w:val="00C55E04"/>
    <w:rsid w:val="00C56957"/>
    <w:rsid w:val="00C576E1"/>
    <w:rsid w:val="00C5784B"/>
    <w:rsid w:val="00C57EFA"/>
    <w:rsid w:val="00C6031A"/>
    <w:rsid w:val="00C612CA"/>
    <w:rsid w:val="00C61F4E"/>
    <w:rsid w:val="00C63779"/>
    <w:rsid w:val="00C639FF"/>
    <w:rsid w:val="00C63CB4"/>
    <w:rsid w:val="00C6442A"/>
    <w:rsid w:val="00C6492D"/>
    <w:rsid w:val="00C64D15"/>
    <w:rsid w:val="00C65C28"/>
    <w:rsid w:val="00C66088"/>
    <w:rsid w:val="00C66698"/>
    <w:rsid w:val="00C669F7"/>
    <w:rsid w:val="00C670CD"/>
    <w:rsid w:val="00C67C4C"/>
    <w:rsid w:val="00C67F21"/>
    <w:rsid w:val="00C710BC"/>
    <w:rsid w:val="00C711A6"/>
    <w:rsid w:val="00C72CB4"/>
    <w:rsid w:val="00C74B5D"/>
    <w:rsid w:val="00C74F74"/>
    <w:rsid w:val="00C7554B"/>
    <w:rsid w:val="00C761DC"/>
    <w:rsid w:val="00C76CFF"/>
    <w:rsid w:val="00C77354"/>
    <w:rsid w:val="00C8094C"/>
    <w:rsid w:val="00C80951"/>
    <w:rsid w:val="00C8205E"/>
    <w:rsid w:val="00C8223A"/>
    <w:rsid w:val="00C82EB5"/>
    <w:rsid w:val="00C84DE1"/>
    <w:rsid w:val="00C85127"/>
    <w:rsid w:val="00C85D24"/>
    <w:rsid w:val="00C86D1E"/>
    <w:rsid w:val="00C87966"/>
    <w:rsid w:val="00C90039"/>
    <w:rsid w:val="00C902DE"/>
    <w:rsid w:val="00C916AE"/>
    <w:rsid w:val="00C91C74"/>
    <w:rsid w:val="00C93980"/>
    <w:rsid w:val="00C93AAA"/>
    <w:rsid w:val="00C95FCD"/>
    <w:rsid w:val="00C97188"/>
    <w:rsid w:val="00C977CD"/>
    <w:rsid w:val="00CA0639"/>
    <w:rsid w:val="00CA11D0"/>
    <w:rsid w:val="00CA1414"/>
    <w:rsid w:val="00CA2E02"/>
    <w:rsid w:val="00CA583A"/>
    <w:rsid w:val="00CA5EC6"/>
    <w:rsid w:val="00CA7291"/>
    <w:rsid w:val="00CA787C"/>
    <w:rsid w:val="00CA79E1"/>
    <w:rsid w:val="00CA7D15"/>
    <w:rsid w:val="00CB10CD"/>
    <w:rsid w:val="00CB1E33"/>
    <w:rsid w:val="00CB1ED4"/>
    <w:rsid w:val="00CB20A5"/>
    <w:rsid w:val="00CB2DEC"/>
    <w:rsid w:val="00CB3F6D"/>
    <w:rsid w:val="00CB5744"/>
    <w:rsid w:val="00CB7022"/>
    <w:rsid w:val="00CB771B"/>
    <w:rsid w:val="00CB7BC5"/>
    <w:rsid w:val="00CB7FC4"/>
    <w:rsid w:val="00CC141E"/>
    <w:rsid w:val="00CC18DD"/>
    <w:rsid w:val="00CC34CA"/>
    <w:rsid w:val="00CC3C11"/>
    <w:rsid w:val="00CC586D"/>
    <w:rsid w:val="00CC5D2F"/>
    <w:rsid w:val="00CC742D"/>
    <w:rsid w:val="00CC7DBC"/>
    <w:rsid w:val="00CD1BA3"/>
    <w:rsid w:val="00CD1D23"/>
    <w:rsid w:val="00CD2A4F"/>
    <w:rsid w:val="00CD3612"/>
    <w:rsid w:val="00CD3E69"/>
    <w:rsid w:val="00CD4224"/>
    <w:rsid w:val="00CD4948"/>
    <w:rsid w:val="00CD58D1"/>
    <w:rsid w:val="00CD6B7D"/>
    <w:rsid w:val="00CD776B"/>
    <w:rsid w:val="00CD7CE8"/>
    <w:rsid w:val="00CD7D29"/>
    <w:rsid w:val="00CE0847"/>
    <w:rsid w:val="00CE0B6C"/>
    <w:rsid w:val="00CE0DE5"/>
    <w:rsid w:val="00CE11D0"/>
    <w:rsid w:val="00CE1985"/>
    <w:rsid w:val="00CE223D"/>
    <w:rsid w:val="00CE2734"/>
    <w:rsid w:val="00CE37E2"/>
    <w:rsid w:val="00CE3C30"/>
    <w:rsid w:val="00CE430D"/>
    <w:rsid w:val="00CE450B"/>
    <w:rsid w:val="00CE4708"/>
    <w:rsid w:val="00CE4C50"/>
    <w:rsid w:val="00CE6858"/>
    <w:rsid w:val="00CE6D45"/>
    <w:rsid w:val="00CE6E9C"/>
    <w:rsid w:val="00CE7450"/>
    <w:rsid w:val="00CE770C"/>
    <w:rsid w:val="00CF3385"/>
    <w:rsid w:val="00CF3964"/>
    <w:rsid w:val="00CF4DD2"/>
    <w:rsid w:val="00CF50BE"/>
    <w:rsid w:val="00CF538C"/>
    <w:rsid w:val="00CF6BAE"/>
    <w:rsid w:val="00CF7625"/>
    <w:rsid w:val="00D000CA"/>
    <w:rsid w:val="00D007E0"/>
    <w:rsid w:val="00D01170"/>
    <w:rsid w:val="00D01E66"/>
    <w:rsid w:val="00D03CE8"/>
    <w:rsid w:val="00D0506A"/>
    <w:rsid w:val="00D053EC"/>
    <w:rsid w:val="00D066FB"/>
    <w:rsid w:val="00D06AFC"/>
    <w:rsid w:val="00D10042"/>
    <w:rsid w:val="00D1070E"/>
    <w:rsid w:val="00D10E29"/>
    <w:rsid w:val="00D10FA1"/>
    <w:rsid w:val="00D12460"/>
    <w:rsid w:val="00D1281F"/>
    <w:rsid w:val="00D1289C"/>
    <w:rsid w:val="00D133FC"/>
    <w:rsid w:val="00D14425"/>
    <w:rsid w:val="00D14F20"/>
    <w:rsid w:val="00D151DC"/>
    <w:rsid w:val="00D156A4"/>
    <w:rsid w:val="00D16334"/>
    <w:rsid w:val="00D16489"/>
    <w:rsid w:val="00D1666F"/>
    <w:rsid w:val="00D20181"/>
    <w:rsid w:val="00D203BD"/>
    <w:rsid w:val="00D2071A"/>
    <w:rsid w:val="00D2186D"/>
    <w:rsid w:val="00D2206C"/>
    <w:rsid w:val="00D22F44"/>
    <w:rsid w:val="00D2350E"/>
    <w:rsid w:val="00D25177"/>
    <w:rsid w:val="00D264E1"/>
    <w:rsid w:val="00D26AAB"/>
    <w:rsid w:val="00D27E64"/>
    <w:rsid w:val="00D300C9"/>
    <w:rsid w:val="00D30F73"/>
    <w:rsid w:val="00D30F97"/>
    <w:rsid w:val="00D313A0"/>
    <w:rsid w:val="00D31D63"/>
    <w:rsid w:val="00D322A1"/>
    <w:rsid w:val="00D366E6"/>
    <w:rsid w:val="00D36FE0"/>
    <w:rsid w:val="00D37124"/>
    <w:rsid w:val="00D40449"/>
    <w:rsid w:val="00D40799"/>
    <w:rsid w:val="00D41A06"/>
    <w:rsid w:val="00D42924"/>
    <w:rsid w:val="00D42ABF"/>
    <w:rsid w:val="00D42EFB"/>
    <w:rsid w:val="00D42F40"/>
    <w:rsid w:val="00D42F83"/>
    <w:rsid w:val="00D43158"/>
    <w:rsid w:val="00D45B67"/>
    <w:rsid w:val="00D5034A"/>
    <w:rsid w:val="00D51292"/>
    <w:rsid w:val="00D51F49"/>
    <w:rsid w:val="00D52335"/>
    <w:rsid w:val="00D524FF"/>
    <w:rsid w:val="00D52AE4"/>
    <w:rsid w:val="00D53CC0"/>
    <w:rsid w:val="00D545A9"/>
    <w:rsid w:val="00D55299"/>
    <w:rsid w:val="00D553AA"/>
    <w:rsid w:val="00D55EE8"/>
    <w:rsid w:val="00D560D1"/>
    <w:rsid w:val="00D562CB"/>
    <w:rsid w:val="00D56947"/>
    <w:rsid w:val="00D569D1"/>
    <w:rsid w:val="00D56AD8"/>
    <w:rsid w:val="00D56C05"/>
    <w:rsid w:val="00D5785A"/>
    <w:rsid w:val="00D600EB"/>
    <w:rsid w:val="00D60174"/>
    <w:rsid w:val="00D6049C"/>
    <w:rsid w:val="00D60DD7"/>
    <w:rsid w:val="00D6113E"/>
    <w:rsid w:val="00D62769"/>
    <w:rsid w:val="00D63293"/>
    <w:rsid w:val="00D6375F"/>
    <w:rsid w:val="00D63E44"/>
    <w:rsid w:val="00D64982"/>
    <w:rsid w:val="00D64C48"/>
    <w:rsid w:val="00D650B7"/>
    <w:rsid w:val="00D6680B"/>
    <w:rsid w:val="00D6706D"/>
    <w:rsid w:val="00D7010F"/>
    <w:rsid w:val="00D707DC"/>
    <w:rsid w:val="00D71739"/>
    <w:rsid w:val="00D72F4F"/>
    <w:rsid w:val="00D73117"/>
    <w:rsid w:val="00D731C4"/>
    <w:rsid w:val="00D73D16"/>
    <w:rsid w:val="00D74EB4"/>
    <w:rsid w:val="00D801FC"/>
    <w:rsid w:val="00D80D4D"/>
    <w:rsid w:val="00D822E2"/>
    <w:rsid w:val="00D82537"/>
    <w:rsid w:val="00D850A1"/>
    <w:rsid w:val="00D85BE0"/>
    <w:rsid w:val="00D87FD7"/>
    <w:rsid w:val="00D90598"/>
    <w:rsid w:val="00D91466"/>
    <w:rsid w:val="00D915ED"/>
    <w:rsid w:val="00D91DE4"/>
    <w:rsid w:val="00D91F90"/>
    <w:rsid w:val="00D92300"/>
    <w:rsid w:val="00D925ED"/>
    <w:rsid w:val="00D92FBE"/>
    <w:rsid w:val="00D9433B"/>
    <w:rsid w:val="00D94AFC"/>
    <w:rsid w:val="00D950E6"/>
    <w:rsid w:val="00D95774"/>
    <w:rsid w:val="00D96485"/>
    <w:rsid w:val="00D96558"/>
    <w:rsid w:val="00D966BA"/>
    <w:rsid w:val="00D96BC1"/>
    <w:rsid w:val="00D97047"/>
    <w:rsid w:val="00DA30F2"/>
    <w:rsid w:val="00DA3619"/>
    <w:rsid w:val="00DA6BAD"/>
    <w:rsid w:val="00DA72ED"/>
    <w:rsid w:val="00DA79D9"/>
    <w:rsid w:val="00DA7AB8"/>
    <w:rsid w:val="00DA7AE4"/>
    <w:rsid w:val="00DB0B88"/>
    <w:rsid w:val="00DB1638"/>
    <w:rsid w:val="00DB1652"/>
    <w:rsid w:val="00DB1E21"/>
    <w:rsid w:val="00DB203E"/>
    <w:rsid w:val="00DB25B8"/>
    <w:rsid w:val="00DB2C82"/>
    <w:rsid w:val="00DB30AF"/>
    <w:rsid w:val="00DB5773"/>
    <w:rsid w:val="00DB58A6"/>
    <w:rsid w:val="00DB598B"/>
    <w:rsid w:val="00DB6B99"/>
    <w:rsid w:val="00DB6E04"/>
    <w:rsid w:val="00DB716F"/>
    <w:rsid w:val="00DC001A"/>
    <w:rsid w:val="00DC2EFF"/>
    <w:rsid w:val="00DC359A"/>
    <w:rsid w:val="00DC3CC9"/>
    <w:rsid w:val="00DC3F7B"/>
    <w:rsid w:val="00DC4C98"/>
    <w:rsid w:val="00DC5F9C"/>
    <w:rsid w:val="00DD018A"/>
    <w:rsid w:val="00DD037F"/>
    <w:rsid w:val="00DD22BB"/>
    <w:rsid w:val="00DD2952"/>
    <w:rsid w:val="00DD4F44"/>
    <w:rsid w:val="00DD5DA1"/>
    <w:rsid w:val="00DD60E7"/>
    <w:rsid w:val="00DD686C"/>
    <w:rsid w:val="00DD6E09"/>
    <w:rsid w:val="00DD7E0C"/>
    <w:rsid w:val="00DE04B7"/>
    <w:rsid w:val="00DE05A0"/>
    <w:rsid w:val="00DE1072"/>
    <w:rsid w:val="00DE2AC3"/>
    <w:rsid w:val="00DE2E40"/>
    <w:rsid w:val="00DE3598"/>
    <w:rsid w:val="00DE3FBD"/>
    <w:rsid w:val="00DE43F5"/>
    <w:rsid w:val="00DE4952"/>
    <w:rsid w:val="00DE4A7B"/>
    <w:rsid w:val="00DE65FB"/>
    <w:rsid w:val="00DE6756"/>
    <w:rsid w:val="00DF082A"/>
    <w:rsid w:val="00DF234F"/>
    <w:rsid w:val="00DF2566"/>
    <w:rsid w:val="00DF3442"/>
    <w:rsid w:val="00DF38FC"/>
    <w:rsid w:val="00DF420A"/>
    <w:rsid w:val="00DF52A2"/>
    <w:rsid w:val="00E01811"/>
    <w:rsid w:val="00E01CDC"/>
    <w:rsid w:val="00E0229D"/>
    <w:rsid w:val="00E02472"/>
    <w:rsid w:val="00E03261"/>
    <w:rsid w:val="00E041F0"/>
    <w:rsid w:val="00E04786"/>
    <w:rsid w:val="00E04BF5"/>
    <w:rsid w:val="00E060EB"/>
    <w:rsid w:val="00E071CA"/>
    <w:rsid w:val="00E07BCD"/>
    <w:rsid w:val="00E11DA3"/>
    <w:rsid w:val="00E128D8"/>
    <w:rsid w:val="00E130C3"/>
    <w:rsid w:val="00E13B5C"/>
    <w:rsid w:val="00E14F4B"/>
    <w:rsid w:val="00E1504D"/>
    <w:rsid w:val="00E1634C"/>
    <w:rsid w:val="00E170ED"/>
    <w:rsid w:val="00E176ED"/>
    <w:rsid w:val="00E17EDF"/>
    <w:rsid w:val="00E20248"/>
    <w:rsid w:val="00E2082D"/>
    <w:rsid w:val="00E20DF1"/>
    <w:rsid w:val="00E21489"/>
    <w:rsid w:val="00E221E2"/>
    <w:rsid w:val="00E22E08"/>
    <w:rsid w:val="00E22F0A"/>
    <w:rsid w:val="00E22F94"/>
    <w:rsid w:val="00E2330D"/>
    <w:rsid w:val="00E233E4"/>
    <w:rsid w:val="00E24303"/>
    <w:rsid w:val="00E24535"/>
    <w:rsid w:val="00E24B57"/>
    <w:rsid w:val="00E27A16"/>
    <w:rsid w:val="00E3022B"/>
    <w:rsid w:val="00E318B5"/>
    <w:rsid w:val="00E320C4"/>
    <w:rsid w:val="00E327E3"/>
    <w:rsid w:val="00E32F6E"/>
    <w:rsid w:val="00E344B0"/>
    <w:rsid w:val="00E356F8"/>
    <w:rsid w:val="00E36DA6"/>
    <w:rsid w:val="00E375B4"/>
    <w:rsid w:val="00E37F34"/>
    <w:rsid w:val="00E406FC"/>
    <w:rsid w:val="00E40F7B"/>
    <w:rsid w:val="00E419C1"/>
    <w:rsid w:val="00E4241D"/>
    <w:rsid w:val="00E43AEC"/>
    <w:rsid w:val="00E43E48"/>
    <w:rsid w:val="00E461C9"/>
    <w:rsid w:val="00E46AC2"/>
    <w:rsid w:val="00E46CB5"/>
    <w:rsid w:val="00E46D60"/>
    <w:rsid w:val="00E47C33"/>
    <w:rsid w:val="00E47F58"/>
    <w:rsid w:val="00E51615"/>
    <w:rsid w:val="00E54BB5"/>
    <w:rsid w:val="00E54BFC"/>
    <w:rsid w:val="00E55248"/>
    <w:rsid w:val="00E56D9D"/>
    <w:rsid w:val="00E5721C"/>
    <w:rsid w:val="00E57B33"/>
    <w:rsid w:val="00E60489"/>
    <w:rsid w:val="00E60E2E"/>
    <w:rsid w:val="00E6234C"/>
    <w:rsid w:val="00E62E16"/>
    <w:rsid w:val="00E63459"/>
    <w:rsid w:val="00E6381E"/>
    <w:rsid w:val="00E63ADA"/>
    <w:rsid w:val="00E64918"/>
    <w:rsid w:val="00E64E81"/>
    <w:rsid w:val="00E667DE"/>
    <w:rsid w:val="00E700D6"/>
    <w:rsid w:val="00E709A7"/>
    <w:rsid w:val="00E71A2D"/>
    <w:rsid w:val="00E724C5"/>
    <w:rsid w:val="00E72621"/>
    <w:rsid w:val="00E72FB3"/>
    <w:rsid w:val="00E73FC6"/>
    <w:rsid w:val="00E74661"/>
    <w:rsid w:val="00E74A73"/>
    <w:rsid w:val="00E74D72"/>
    <w:rsid w:val="00E74FC7"/>
    <w:rsid w:val="00E75CA7"/>
    <w:rsid w:val="00E77B59"/>
    <w:rsid w:val="00E8095E"/>
    <w:rsid w:val="00E809EE"/>
    <w:rsid w:val="00E8105F"/>
    <w:rsid w:val="00E81394"/>
    <w:rsid w:val="00E823C1"/>
    <w:rsid w:val="00E82DB7"/>
    <w:rsid w:val="00E83C85"/>
    <w:rsid w:val="00E8527A"/>
    <w:rsid w:val="00E855CC"/>
    <w:rsid w:val="00E8579C"/>
    <w:rsid w:val="00E86547"/>
    <w:rsid w:val="00E865FE"/>
    <w:rsid w:val="00E86D88"/>
    <w:rsid w:val="00E86F06"/>
    <w:rsid w:val="00E91408"/>
    <w:rsid w:val="00E91759"/>
    <w:rsid w:val="00E95707"/>
    <w:rsid w:val="00E95BAF"/>
    <w:rsid w:val="00E95CB7"/>
    <w:rsid w:val="00E9654B"/>
    <w:rsid w:val="00E9770B"/>
    <w:rsid w:val="00EA003B"/>
    <w:rsid w:val="00EA03FA"/>
    <w:rsid w:val="00EA0799"/>
    <w:rsid w:val="00EA0FB1"/>
    <w:rsid w:val="00EA13E4"/>
    <w:rsid w:val="00EA18DB"/>
    <w:rsid w:val="00EA27BD"/>
    <w:rsid w:val="00EA2FBA"/>
    <w:rsid w:val="00EA3F54"/>
    <w:rsid w:val="00EA46A3"/>
    <w:rsid w:val="00EA4B4B"/>
    <w:rsid w:val="00EA4DC5"/>
    <w:rsid w:val="00EA5664"/>
    <w:rsid w:val="00EA66DF"/>
    <w:rsid w:val="00EA6ADC"/>
    <w:rsid w:val="00EB0609"/>
    <w:rsid w:val="00EB13A7"/>
    <w:rsid w:val="00EB14DF"/>
    <w:rsid w:val="00EB1A4D"/>
    <w:rsid w:val="00EB2BAA"/>
    <w:rsid w:val="00EB34EC"/>
    <w:rsid w:val="00EB3A07"/>
    <w:rsid w:val="00EB54FA"/>
    <w:rsid w:val="00EB5539"/>
    <w:rsid w:val="00EB574A"/>
    <w:rsid w:val="00EB741A"/>
    <w:rsid w:val="00EB78A7"/>
    <w:rsid w:val="00EC05BA"/>
    <w:rsid w:val="00EC20B8"/>
    <w:rsid w:val="00EC367D"/>
    <w:rsid w:val="00EC3F31"/>
    <w:rsid w:val="00EC52E7"/>
    <w:rsid w:val="00EC5612"/>
    <w:rsid w:val="00EC6D2C"/>
    <w:rsid w:val="00EC70F0"/>
    <w:rsid w:val="00EC7E0E"/>
    <w:rsid w:val="00ED086C"/>
    <w:rsid w:val="00ED0ADD"/>
    <w:rsid w:val="00ED1C37"/>
    <w:rsid w:val="00ED3698"/>
    <w:rsid w:val="00ED4794"/>
    <w:rsid w:val="00ED57D3"/>
    <w:rsid w:val="00ED7B59"/>
    <w:rsid w:val="00EE206C"/>
    <w:rsid w:val="00EE265C"/>
    <w:rsid w:val="00EE3A4E"/>
    <w:rsid w:val="00EE44C7"/>
    <w:rsid w:val="00EE4B6E"/>
    <w:rsid w:val="00EE51F9"/>
    <w:rsid w:val="00EE5A60"/>
    <w:rsid w:val="00EE5C63"/>
    <w:rsid w:val="00EE678E"/>
    <w:rsid w:val="00EE67D7"/>
    <w:rsid w:val="00EF0E07"/>
    <w:rsid w:val="00EF359C"/>
    <w:rsid w:val="00EF416F"/>
    <w:rsid w:val="00EF5618"/>
    <w:rsid w:val="00EF601C"/>
    <w:rsid w:val="00F00449"/>
    <w:rsid w:val="00F0095C"/>
    <w:rsid w:val="00F01129"/>
    <w:rsid w:val="00F01CCA"/>
    <w:rsid w:val="00F01F2C"/>
    <w:rsid w:val="00F02104"/>
    <w:rsid w:val="00F032C6"/>
    <w:rsid w:val="00F04EF6"/>
    <w:rsid w:val="00F056AD"/>
    <w:rsid w:val="00F06C02"/>
    <w:rsid w:val="00F06C17"/>
    <w:rsid w:val="00F073C8"/>
    <w:rsid w:val="00F073E5"/>
    <w:rsid w:val="00F10FD8"/>
    <w:rsid w:val="00F121B2"/>
    <w:rsid w:val="00F12ED1"/>
    <w:rsid w:val="00F135F2"/>
    <w:rsid w:val="00F138B4"/>
    <w:rsid w:val="00F13C82"/>
    <w:rsid w:val="00F147CB"/>
    <w:rsid w:val="00F151C9"/>
    <w:rsid w:val="00F1632B"/>
    <w:rsid w:val="00F17C96"/>
    <w:rsid w:val="00F202CA"/>
    <w:rsid w:val="00F223A7"/>
    <w:rsid w:val="00F23A01"/>
    <w:rsid w:val="00F23A60"/>
    <w:rsid w:val="00F25295"/>
    <w:rsid w:val="00F26A64"/>
    <w:rsid w:val="00F31136"/>
    <w:rsid w:val="00F32418"/>
    <w:rsid w:val="00F334CB"/>
    <w:rsid w:val="00F3495A"/>
    <w:rsid w:val="00F34E2C"/>
    <w:rsid w:val="00F351B8"/>
    <w:rsid w:val="00F35CEF"/>
    <w:rsid w:val="00F363E8"/>
    <w:rsid w:val="00F36CCE"/>
    <w:rsid w:val="00F370BC"/>
    <w:rsid w:val="00F37143"/>
    <w:rsid w:val="00F40783"/>
    <w:rsid w:val="00F40F2A"/>
    <w:rsid w:val="00F430C2"/>
    <w:rsid w:val="00F438B1"/>
    <w:rsid w:val="00F455CE"/>
    <w:rsid w:val="00F46EF6"/>
    <w:rsid w:val="00F50562"/>
    <w:rsid w:val="00F507D0"/>
    <w:rsid w:val="00F50A92"/>
    <w:rsid w:val="00F50B0B"/>
    <w:rsid w:val="00F50B68"/>
    <w:rsid w:val="00F50D01"/>
    <w:rsid w:val="00F51DF4"/>
    <w:rsid w:val="00F52D4E"/>
    <w:rsid w:val="00F5357B"/>
    <w:rsid w:val="00F53CE6"/>
    <w:rsid w:val="00F546B9"/>
    <w:rsid w:val="00F55057"/>
    <w:rsid w:val="00F561C9"/>
    <w:rsid w:val="00F56A97"/>
    <w:rsid w:val="00F56BC1"/>
    <w:rsid w:val="00F575DC"/>
    <w:rsid w:val="00F60481"/>
    <w:rsid w:val="00F604CD"/>
    <w:rsid w:val="00F60D34"/>
    <w:rsid w:val="00F618C4"/>
    <w:rsid w:val="00F635DE"/>
    <w:rsid w:val="00F64AB1"/>
    <w:rsid w:val="00F6544B"/>
    <w:rsid w:val="00F65774"/>
    <w:rsid w:val="00F65A34"/>
    <w:rsid w:val="00F65F4C"/>
    <w:rsid w:val="00F700C1"/>
    <w:rsid w:val="00F7040A"/>
    <w:rsid w:val="00F715E9"/>
    <w:rsid w:val="00F71A60"/>
    <w:rsid w:val="00F720D8"/>
    <w:rsid w:val="00F7246D"/>
    <w:rsid w:val="00F725DA"/>
    <w:rsid w:val="00F73AAE"/>
    <w:rsid w:val="00F742EB"/>
    <w:rsid w:val="00F7529B"/>
    <w:rsid w:val="00F7536E"/>
    <w:rsid w:val="00F75652"/>
    <w:rsid w:val="00F76137"/>
    <w:rsid w:val="00F7782D"/>
    <w:rsid w:val="00F80216"/>
    <w:rsid w:val="00F810DB"/>
    <w:rsid w:val="00F8168B"/>
    <w:rsid w:val="00F81CF2"/>
    <w:rsid w:val="00F81F93"/>
    <w:rsid w:val="00F857D1"/>
    <w:rsid w:val="00F86296"/>
    <w:rsid w:val="00F868EE"/>
    <w:rsid w:val="00F86FD9"/>
    <w:rsid w:val="00F872A4"/>
    <w:rsid w:val="00F9110A"/>
    <w:rsid w:val="00F91525"/>
    <w:rsid w:val="00F91DCC"/>
    <w:rsid w:val="00F91E00"/>
    <w:rsid w:val="00F9239F"/>
    <w:rsid w:val="00F9323F"/>
    <w:rsid w:val="00F943FE"/>
    <w:rsid w:val="00F95814"/>
    <w:rsid w:val="00F95CE9"/>
    <w:rsid w:val="00F9620B"/>
    <w:rsid w:val="00F965FC"/>
    <w:rsid w:val="00F97100"/>
    <w:rsid w:val="00F97A1E"/>
    <w:rsid w:val="00F97EFA"/>
    <w:rsid w:val="00FA01D9"/>
    <w:rsid w:val="00FA0B32"/>
    <w:rsid w:val="00FA10BD"/>
    <w:rsid w:val="00FA2533"/>
    <w:rsid w:val="00FA3CBB"/>
    <w:rsid w:val="00FA473D"/>
    <w:rsid w:val="00FA4EEA"/>
    <w:rsid w:val="00FA5F6F"/>
    <w:rsid w:val="00FA7307"/>
    <w:rsid w:val="00FA730B"/>
    <w:rsid w:val="00FA77E5"/>
    <w:rsid w:val="00FB00ED"/>
    <w:rsid w:val="00FB0401"/>
    <w:rsid w:val="00FB0DC8"/>
    <w:rsid w:val="00FB3824"/>
    <w:rsid w:val="00FB52EE"/>
    <w:rsid w:val="00FC1DFB"/>
    <w:rsid w:val="00FC1EF2"/>
    <w:rsid w:val="00FC24A3"/>
    <w:rsid w:val="00FC2636"/>
    <w:rsid w:val="00FC327F"/>
    <w:rsid w:val="00FC3343"/>
    <w:rsid w:val="00FC33BA"/>
    <w:rsid w:val="00FC35AB"/>
    <w:rsid w:val="00FC3B3C"/>
    <w:rsid w:val="00FC5E22"/>
    <w:rsid w:val="00FC6134"/>
    <w:rsid w:val="00FC654D"/>
    <w:rsid w:val="00FC69B5"/>
    <w:rsid w:val="00FC77CF"/>
    <w:rsid w:val="00FD0555"/>
    <w:rsid w:val="00FD06F5"/>
    <w:rsid w:val="00FD1F02"/>
    <w:rsid w:val="00FD2C46"/>
    <w:rsid w:val="00FD440B"/>
    <w:rsid w:val="00FD454A"/>
    <w:rsid w:val="00FD4F80"/>
    <w:rsid w:val="00FD51E6"/>
    <w:rsid w:val="00FD5961"/>
    <w:rsid w:val="00FD6312"/>
    <w:rsid w:val="00FD6757"/>
    <w:rsid w:val="00FE3EFA"/>
    <w:rsid w:val="00FE4048"/>
    <w:rsid w:val="00FE51C6"/>
    <w:rsid w:val="00FE5C56"/>
    <w:rsid w:val="00FE5E0F"/>
    <w:rsid w:val="00FE5E20"/>
    <w:rsid w:val="00FE6A81"/>
    <w:rsid w:val="00FE7AAC"/>
    <w:rsid w:val="00FE7B06"/>
    <w:rsid w:val="00FE7E98"/>
    <w:rsid w:val="00FF06BC"/>
    <w:rsid w:val="00FF06E2"/>
    <w:rsid w:val="00FF20AC"/>
    <w:rsid w:val="00FF3801"/>
    <w:rsid w:val="00FF3A27"/>
    <w:rsid w:val="00FF3B27"/>
    <w:rsid w:val="00FF422B"/>
    <w:rsid w:val="00FF4955"/>
    <w:rsid w:val="00FF4E8D"/>
    <w:rsid w:val="00FF5CFA"/>
    <w:rsid w:val="0130B730"/>
    <w:rsid w:val="01523017"/>
    <w:rsid w:val="01FA773A"/>
    <w:rsid w:val="022211DD"/>
    <w:rsid w:val="08F0C17B"/>
    <w:rsid w:val="0C71D2F0"/>
    <w:rsid w:val="10650806"/>
    <w:rsid w:val="202AB544"/>
    <w:rsid w:val="212F6449"/>
    <w:rsid w:val="255C98A7"/>
    <w:rsid w:val="277B512A"/>
    <w:rsid w:val="2DF28DA8"/>
    <w:rsid w:val="300338A6"/>
    <w:rsid w:val="3734B956"/>
    <w:rsid w:val="3BF36461"/>
    <w:rsid w:val="3C42EEEC"/>
    <w:rsid w:val="40E119F9"/>
    <w:rsid w:val="41A67F53"/>
    <w:rsid w:val="4E1D7306"/>
    <w:rsid w:val="559C3F1E"/>
    <w:rsid w:val="5752F1E7"/>
    <w:rsid w:val="67A6E600"/>
    <w:rsid w:val="6DEAE65D"/>
    <w:rsid w:val="6E1F933E"/>
    <w:rsid w:val="7A243E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o:shapelayout v:ext="edit">
      <o:idmap v:ext="edit" data="1"/>
    </o:shapelayout>
  </w:shapeDefaults>
  <w:decimalSymbol w:val="."/>
  <w:listSeparator w:val=","/>
  <w14:docId w14:val="3A92B8C0"/>
  <w15:docId w15:val="{20C37B3C-7DD3-47BE-9EE9-433B816C5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4" w:qFormat="1"/>
    <w:lsdException w:name="heading 2" w:uiPriority="4" w:qFormat="1"/>
    <w:lsdException w:name="heading 3" w:uiPriority="4" w:qFormat="1"/>
    <w:lsdException w:name="heading 4" w:uiPriority="4" w:qFormat="1"/>
    <w:lsdException w:name="heading 5"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iPriority="5" w:unhideWhenUsed="1" w:qFormat="1"/>
    <w:lsdException w:name="List Number" w:uiPriority="5" w:qFormat="1"/>
    <w:lsdException w:name="List 2" w:semiHidden="1" w:unhideWhenUsed="1"/>
    <w:lsdException w:name="List 3" w:semiHidden="1" w:unhideWhenUsed="1"/>
    <w:lsdException w:name="List 4" w:semiHidden="1"/>
    <w:lsdException w:name="List 5" w:semiHidden="1"/>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1"/>
    <w:lsdException w:name="Salutation" w:semiHidden="1" w:uiPriority="0"/>
    <w:lsdException w:name="Date" w:uiPriority="42"/>
    <w:lsdException w:name="Body Text First Indent" w:semiHidden="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6F06"/>
    <w:pPr>
      <w:spacing w:after="160" w:line="280" w:lineRule="atLeast"/>
    </w:pPr>
    <w:rPr>
      <w:rFonts w:asciiTheme="minorHAnsi" w:hAnsiTheme="minorHAnsi"/>
      <w:szCs w:val="24"/>
    </w:rPr>
  </w:style>
  <w:style w:type="paragraph" w:styleId="Heading1">
    <w:name w:val="heading 1"/>
    <w:basedOn w:val="Normal"/>
    <w:next w:val="Normal"/>
    <w:uiPriority w:val="4"/>
    <w:qFormat/>
    <w:rsid w:val="0097749C"/>
    <w:pPr>
      <w:keepNext/>
      <w:keepLines/>
      <w:spacing w:before="1320" w:after="400" w:line="252" w:lineRule="auto"/>
      <w:contextualSpacing/>
      <w:outlineLvl w:val="0"/>
    </w:pPr>
    <w:rPr>
      <w:rFonts w:asciiTheme="majorHAnsi" w:hAnsiTheme="majorHAnsi"/>
      <w:b/>
      <w:sz w:val="130"/>
      <w:szCs w:val="44"/>
    </w:rPr>
  </w:style>
  <w:style w:type="paragraph" w:styleId="Heading2">
    <w:name w:val="heading 2"/>
    <w:basedOn w:val="Heading1"/>
    <w:next w:val="Normal"/>
    <w:link w:val="Heading2Char"/>
    <w:uiPriority w:val="4"/>
    <w:qFormat/>
    <w:rsid w:val="00345348"/>
    <w:pPr>
      <w:pBdr>
        <w:bottom w:val="single" w:sz="24" w:space="21" w:color="2158A9" w:themeColor="accent2"/>
      </w:pBdr>
      <w:spacing w:before="0" w:after="480" w:line="216" w:lineRule="auto"/>
      <w:outlineLvl w:val="1"/>
    </w:pPr>
    <w:rPr>
      <w:sz w:val="72"/>
    </w:rPr>
  </w:style>
  <w:style w:type="paragraph" w:styleId="Heading3">
    <w:name w:val="heading 3"/>
    <w:basedOn w:val="WhiteHeading2"/>
    <w:next w:val="Normal"/>
    <w:link w:val="Heading3Char"/>
    <w:uiPriority w:val="4"/>
    <w:qFormat/>
    <w:rsid w:val="00E54BB5"/>
    <w:pPr>
      <w:pBdr>
        <w:bottom w:val="none" w:sz="0" w:space="0" w:color="auto"/>
      </w:pBdr>
      <w:spacing w:before="300" w:after="120" w:line="280" w:lineRule="atLeast"/>
      <w:outlineLvl w:val="2"/>
    </w:pPr>
    <w:rPr>
      <w:color w:val="2158A9" w:themeColor="accent2"/>
    </w:rPr>
  </w:style>
  <w:style w:type="paragraph" w:styleId="Heading4">
    <w:name w:val="heading 4"/>
    <w:basedOn w:val="Normal"/>
    <w:next w:val="Normal"/>
    <w:uiPriority w:val="4"/>
    <w:qFormat/>
    <w:rsid w:val="00CE0DE5"/>
    <w:pPr>
      <w:keepNext/>
      <w:keepLines/>
      <w:pBdr>
        <w:top w:val="single" w:sz="4" w:space="1" w:color="2158A9" w:themeColor="accent2"/>
        <w:left w:val="single" w:sz="4" w:space="4" w:color="2158A9" w:themeColor="accent2"/>
        <w:bottom w:val="single" w:sz="4" w:space="1" w:color="2158A9" w:themeColor="accent2"/>
        <w:right w:val="single" w:sz="4" w:space="4" w:color="2158A9" w:themeColor="accent2"/>
      </w:pBdr>
      <w:spacing w:before="180" w:after="120"/>
      <w:outlineLvl w:val="3"/>
    </w:pPr>
    <w:rPr>
      <w:rFonts w:asciiTheme="majorHAnsi" w:hAnsiTheme="majorHAnsi"/>
      <w:color w:val="2158A9" w:themeColor="accent2"/>
    </w:rPr>
  </w:style>
  <w:style w:type="paragraph" w:styleId="Heading5">
    <w:name w:val="heading 5"/>
    <w:basedOn w:val="Normal"/>
    <w:next w:val="Normal"/>
    <w:link w:val="Heading5Char"/>
    <w:uiPriority w:val="99"/>
    <w:semiHidden/>
    <w:qFormat/>
    <w:rsid w:val="009175A6"/>
    <w:pPr>
      <w:keepNext/>
      <w:spacing w:before="240" w:after="40"/>
      <w:contextualSpacing/>
      <w:outlineLvl w:val="4"/>
    </w:pPr>
    <w:rPr>
      <w:b/>
      <w:color w:val="ABDBF6" w:themeColor="accent1"/>
      <w:szCs w:val="22"/>
    </w:rPr>
  </w:style>
  <w:style w:type="paragraph" w:styleId="Heading6">
    <w:name w:val="heading 6"/>
    <w:basedOn w:val="Normal"/>
    <w:next w:val="Normal"/>
    <w:link w:val="Heading6Char"/>
    <w:uiPriority w:val="99"/>
    <w:semiHidden/>
    <w:rsid w:val="009F06C4"/>
    <w:pPr>
      <w:keepNext/>
      <w:numPr>
        <w:ilvl w:val="5"/>
        <w:numId w:val="4"/>
      </w:numPr>
      <w:spacing w:before="240"/>
      <w:contextualSpacing/>
      <w:outlineLvl w:val="5"/>
    </w:pPr>
    <w:rPr>
      <w:b/>
      <w:szCs w:val="22"/>
    </w:rPr>
  </w:style>
  <w:style w:type="paragraph" w:styleId="Heading7">
    <w:name w:val="heading 7"/>
    <w:basedOn w:val="Normal"/>
    <w:next w:val="Normal"/>
    <w:link w:val="Heading7Char"/>
    <w:uiPriority w:val="99"/>
    <w:semiHidden/>
    <w:unhideWhenUsed/>
    <w:qFormat/>
    <w:rsid w:val="009F06C4"/>
    <w:pPr>
      <w:keepNext/>
      <w:keepLines/>
      <w:numPr>
        <w:ilvl w:val="6"/>
        <w:numId w:val="4"/>
      </w:numPr>
      <w:spacing w:before="40" w:after="0"/>
      <w:outlineLvl w:val="6"/>
    </w:pPr>
    <w:rPr>
      <w:rFonts w:asciiTheme="majorHAnsi" w:eastAsiaTheme="majorEastAsia" w:hAnsiTheme="majorHAnsi" w:cstheme="majorBidi"/>
      <w:i/>
      <w:iCs/>
      <w:color w:val="147FBB" w:themeColor="accent1" w:themeShade="7F"/>
    </w:rPr>
  </w:style>
  <w:style w:type="paragraph" w:styleId="Heading8">
    <w:name w:val="heading 8"/>
    <w:basedOn w:val="Normal"/>
    <w:next w:val="Normal"/>
    <w:link w:val="Heading8Char"/>
    <w:uiPriority w:val="99"/>
    <w:semiHidden/>
    <w:unhideWhenUsed/>
    <w:qFormat/>
    <w:rsid w:val="009F06C4"/>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unhideWhenUsed/>
    <w:qFormat/>
    <w:rsid w:val="009F06C4"/>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rsid w:val="00D91DE4"/>
    <w:pPr>
      <w:tabs>
        <w:tab w:val="right" w:pos="10319"/>
      </w:tabs>
      <w:spacing w:after="0" w:line="240" w:lineRule="auto"/>
    </w:pPr>
    <w:rPr>
      <w:sz w:val="14"/>
    </w:rPr>
  </w:style>
  <w:style w:type="paragraph" w:styleId="Title">
    <w:name w:val="Title"/>
    <w:aliases w:val="Small Title"/>
    <w:basedOn w:val="Normal"/>
    <w:link w:val="TitleChar"/>
    <w:uiPriority w:val="40"/>
    <w:rsid w:val="009C705A"/>
    <w:pPr>
      <w:spacing w:after="360" w:line="240" w:lineRule="auto"/>
      <w:contextualSpacing/>
      <w:outlineLvl w:val="0"/>
    </w:pPr>
    <w:rPr>
      <w:rFonts w:asciiTheme="majorHAnsi" w:hAnsiTheme="majorHAnsi" w:cs="Arial"/>
      <w:b/>
      <w:bCs/>
      <w:kern w:val="28"/>
      <w:sz w:val="70"/>
      <w:szCs w:val="32"/>
    </w:rPr>
  </w:style>
  <w:style w:type="paragraph" w:styleId="ListBullet">
    <w:name w:val="List Bullet"/>
    <w:basedOn w:val="ListParagraph"/>
    <w:uiPriority w:val="5"/>
    <w:qFormat/>
    <w:rsid w:val="00447220"/>
    <w:pPr>
      <w:numPr>
        <w:numId w:val="7"/>
      </w:numPr>
      <w:ind w:left="714" w:hanging="357"/>
      <w:contextualSpacing/>
    </w:pPr>
  </w:style>
  <w:style w:type="paragraph" w:styleId="Footer">
    <w:name w:val="footer"/>
    <w:basedOn w:val="Header"/>
    <w:uiPriority w:val="99"/>
    <w:rsid w:val="00DD5DA1"/>
    <w:pPr>
      <w:pBdr>
        <w:bottom w:val="single" w:sz="24" w:space="12" w:color="2158A9" w:themeColor="accent2"/>
      </w:pBdr>
      <w:tabs>
        <w:tab w:val="clear" w:pos="10319"/>
        <w:tab w:val="right" w:pos="9940"/>
      </w:tabs>
      <w:ind w:right="-1661"/>
    </w:pPr>
  </w:style>
  <w:style w:type="character" w:styleId="Hyperlink">
    <w:name w:val="Hyperlink"/>
    <w:basedOn w:val="DefaultParagraphFont"/>
    <w:uiPriority w:val="99"/>
    <w:rsid w:val="0099651C"/>
    <w:rPr>
      <w:color w:val="6496E0" w:themeColor="accent2" w:themeTint="99"/>
      <w:u w:val="single"/>
    </w:rPr>
  </w:style>
  <w:style w:type="character" w:customStyle="1" w:styleId="Heading5Char">
    <w:name w:val="Heading 5 Char"/>
    <w:basedOn w:val="DefaultParagraphFont"/>
    <w:link w:val="Heading5"/>
    <w:uiPriority w:val="99"/>
    <w:semiHidden/>
    <w:rsid w:val="009175A6"/>
    <w:rPr>
      <w:rFonts w:asciiTheme="minorHAnsi" w:hAnsiTheme="minorHAnsi"/>
      <w:b/>
      <w:color w:val="ABDBF6" w:themeColor="accent1"/>
      <w:szCs w:val="22"/>
    </w:rPr>
  </w:style>
  <w:style w:type="table" w:styleId="TableGrid">
    <w:name w:val="Table Grid"/>
    <w:basedOn w:val="TableNormal"/>
    <w:uiPriority w:val="59"/>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link w:val="ListParagraphChar"/>
    <w:uiPriority w:val="34"/>
    <w:qFormat/>
    <w:rsid w:val="00010D84"/>
    <w:pPr>
      <w:ind w:left="720"/>
    </w:pPr>
  </w:style>
  <w:style w:type="character" w:customStyle="1" w:styleId="Heading2Char">
    <w:name w:val="Heading 2 Char"/>
    <w:basedOn w:val="DefaultParagraphFont"/>
    <w:link w:val="Heading2"/>
    <w:uiPriority w:val="4"/>
    <w:rsid w:val="00345348"/>
    <w:rPr>
      <w:rFonts w:asciiTheme="majorHAnsi" w:hAnsiTheme="majorHAnsi"/>
      <w:b/>
      <w:sz w:val="72"/>
      <w:szCs w:val="44"/>
    </w:rPr>
  </w:style>
  <w:style w:type="paragraph" w:styleId="TOC1">
    <w:name w:val="toc 1"/>
    <w:basedOn w:val="Normal"/>
    <w:next w:val="Normal"/>
    <w:autoRedefine/>
    <w:uiPriority w:val="39"/>
    <w:rsid w:val="00650E2C"/>
    <w:pPr>
      <w:pBdr>
        <w:top w:val="single" w:sz="24" w:space="6" w:color="ABDBF6" w:themeColor="accent1"/>
        <w:between w:val="single" w:sz="24" w:space="6" w:color="ABDBF6" w:themeColor="accent1"/>
      </w:pBdr>
      <w:tabs>
        <w:tab w:val="right" w:pos="6577"/>
      </w:tabs>
      <w:spacing w:before="240" w:line="240" w:lineRule="auto"/>
      <w:ind w:right="1758"/>
    </w:pPr>
    <w:rPr>
      <w:b/>
      <w:noProof/>
      <w:color w:val="FFFFFF" w:themeColor="background1"/>
      <w:sz w:val="28"/>
    </w:rPr>
  </w:style>
  <w:style w:type="paragraph" w:styleId="TOC2">
    <w:name w:val="toc 2"/>
    <w:basedOn w:val="Normal"/>
    <w:next w:val="Normal"/>
    <w:autoRedefine/>
    <w:uiPriority w:val="39"/>
    <w:rsid w:val="00C86D1E"/>
    <w:pPr>
      <w:tabs>
        <w:tab w:val="left" w:pos="1320"/>
        <w:tab w:val="right" w:pos="6577"/>
      </w:tabs>
      <w:spacing w:line="240" w:lineRule="auto"/>
      <w:ind w:left="567" w:right="567"/>
    </w:pPr>
    <w:rPr>
      <w:noProof/>
      <w:color w:val="FFFFFF" w:themeColor="background1"/>
      <w:sz w:val="28"/>
    </w:rPr>
  </w:style>
  <w:style w:type="paragraph" w:customStyle="1" w:styleId="TableTextLeftAligned">
    <w:name w:val="Table Text Left Aligned"/>
    <w:basedOn w:val="Normal"/>
    <w:link w:val="TableTextLeftAlignedChar"/>
    <w:uiPriority w:val="49"/>
    <w:qFormat/>
    <w:rsid w:val="00DB5773"/>
    <w:pPr>
      <w:spacing w:after="80" w:line="240" w:lineRule="auto"/>
    </w:pPr>
  </w:style>
  <w:style w:type="character" w:styleId="Emphasis">
    <w:name w:val="Emphasis"/>
    <w:basedOn w:val="DefaultParagraphFont"/>
    <w:uiPriority w:val="1"/>
    <w:rsid w:val="00D92300"/>
    <w:rPr>
      <w:i/>
      <w:iCs/>
    </w:rPr>
  </w:style>
  <w:style w:type="character" w:customStyle="1" w:styleId="Heading6Char">
    <w:name w:val="Heading 6 Char"/>
    <w:basedOn w:val="DefaultParagraphFont"/>
    <w:link w:val="Heading6"/>
    <w:uiPriority w:val="99"/>
    <w:semiHidden/>
    <w:rsid w:val="00160B66"/>
    <w:rPr>
      <w:rFonts w:asciiTheme="minorHAnsi" w:hAnsiTheme="minorHAnsi"/>
      <w:b/>
      <w:szCs w:val="22"/>
    </w:rPr>
  </w:style>
  <w:style w:type="table" w:customStyle="1" w:styleId="DefaultTable">
    <w:name w:val="Default Table"/>
    <w:basedOn w:val="TableNormal"/>
    <w:uiPriority w:val="99"/>
    <w:rsid w:val="007B3DEA"/>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cPr>
      <w:shd w:val="clear" w:color="auto" w:fill="F2F2F2" w:themeFill="background1" w:themeFillShade="F2"/>
    </w:tcPr>
    <w:tblStylePr w:type="firstRow">
      <w:pPr>
        <w:jc w:val="left"/>
      </w:pPr>
      <w:rPr>
        <w:b/>
        <w:caps w:val="0"/>
        <w:smallCaps w:val="0"/>
        <w:color w:val="FFFFFF" w:themeColor="background1"/>
        <w:sz w:val="22"/>
      </w:rPr>
      <w:tblPr/>
      <w:tcPr>
        <w:shd w:val="clear" w:color="auto" w:fill="2158A9" w:themeFill="accent2"/>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2"/>
    <w:next w:val="Normal"/>
    <w:uiPriority w:val="39"/>
    <w:qFormat/>
    <w:rsid w:val="003E6102"/>
    <w:pPr>
      <w:pBdr>
        <w:bottom w:val="none" w:sz="0" w:space="0" w:color="auto"/>
      </w:pBdr>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EA3F54"/>
    <w:pPr>
      <w:spacing w:before="120" w:line="240" w:lineRule="auto"/>
      <w:contextualSpacing/>
    </w:pPr>
    <w:rPr>
      <w:i/>
      <w:sz w:val="18"/>
      <w:szCs w:val="16"/>
    </w:rPr>
  </w:style>
  <w:style w:type="character" w:styleId="Strong">
    <w:name w:val="Strong"/>
    <w:basedOn w:val="DefaultParagraphFont"/>
    <w:rsid w:val="00D45B67"/>
    <w:rPr>
      <w:b/>
      <w:bCs/>
    </w:rPr>
  </w:style>
  <w:style w:type="paragraph" w:customStyle="1" w:styleId="QuoteBody">
    <w:name w:val="Quote Body"/>
    <w:basedOn w:val="Normal"/>
    <w:next w:val="Normal"/>
    <w:uiPriority w:val="3"/>
    <w:qFormat/>
    <w:rsid w:val="00E54BB5"/>
    <w:pPr>
      <w:spacing w:after="120" w:line="264" w:lineRule="auto"/>
      <w:ind w:left="284" w:right="284"/>
      <w:contextualSpacing/>
    </w:pPr>
    <w:rPr>
      <w:b/>
      <w:i/>
      <w:color w:val="2D276C" w:themeColor="accent6"/>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000000" w:themeColor="text1"/>
      <w:sz w:val="16"/>
      <w:szCs w:val="16"/>
    </w:rPr>
  </w:style>
  <w:style w:type="paragraph" w:styleId="NoSpacing">
    <w:name w:val="No Spacing"/>
    <w:link w:val="NoSpacingChar"/>
    <w:uiPriority w:val="1"/>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000000"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99651C"/>
    <w:rPr>
      <w:color w:val="6D6E71" w:themeColor="accent4"/>
      <w:u w:val="single"/>
    </w:rPr>
  </w:style>
  <w:style w:type="paragraph" w:styleId="Subtitle">
    <w:name w:val="Subtitle"/>
    <w:basedOn w:val="Normal"/>
    <w:link w:val="SubtitleChar"/>
    <w:uiPriority w:val="41"/>
    <w:rsid w:val="00F76137"/>
    <w:pPr>
      <w:numPr>
        <w:ilvl w:val="1"/>
      </w:numPr>
      <w:spacing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000000" w:themeColor="text1"/>
      <w:sz w:val="32"/>
      <w:szCs w:val="24"/>
    </w:rPr>
  </w:style>
  <w:style w:type="paragraph" w:customStyle="1" w:styleId="TableHeading">
    <w:name w:val="Table Heading"/>
    <w:basedOn w:val="Normal"/>
    <w:uiPriority w:val="49"/>
    <w:qFormat/>
    <w:rsid w:val="00C76CFF"/>
    <w:pPr>
      <w:spacing w:after="80" w:line="240" w:lineRule="auto"/>
    </w:pPr>
    <w:rPr>
      <w:rFonts w:asciiTheme="majorHAnsi" w:hAnsiTheme="majorHAnsi"/>
      <w:color w:val="000000"/>
      <w:sz w:val="22"/>
    </w:rPr>
  </w:style>
  <w:style w:type="paragraph" w:customStyle="1" w:styleId="FigureHeading">
    <w:name w:val="Figure Heading"/>
    <w:basedOn w:val="Normal"/>
    <w:next w:val="Normal"/>
    <w:link w:val="FigureHeadingChar"/>
    <w:uiPriority w:val="48"/>
    <w:qFormat/>
    <w:rsid w:val="00353B7F"/>
    <w:pPr>
      <w:keepNext/>
      <w:keepLines/>
      <w:numPr>
        <w:numId w:val="3"/>
      </w:numPr>
      <w:tabs>
        <w:tab w:val="left" w:pos="1361"/>
      </w:tabs>
      <w:spacing w:before="120" w:after="240"/>
      <w:ind w:left="1361" w:hanging="1361"/>
      <w:contextualSpacing/>
      <w:outlineLvl w:val="4"/>
    </w:pPr>
    <w:rPr>
      <w:rFonts w:asciiTheme="majorHAnsi" w:hAnsiTheme="majorHAnsi"/>
      <w:b/>
      <w:color w:val="000000"/>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650E2C"/>
    <w:pPr>
      <w:pBdr>
        <w:bottom w:val="single" w:sz="24" w:space="31" w:color="ABDBF6" w:themeColor="accent1"/>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650E2C"/>
    <w:pPr>
      <w:spacing w:before="240"/>
      <w:contextualSpacing/>
    </w:pPr>
    <w:rPr>
      <w:b/>
      <w:color w:val="ABDBF6" w:themeColor="accent1"/>
      <w:sz w:val="22"/>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2158A9" w:themeColor="accent2"/>
      <w:sz w:val="16"/>
    </w:rPr>
  </w:style>
  <w:style w:type="paragraph" w:customStyle="1" w:styleId="LargeH1">
    <w:name w:val="Large H1"/>
    <w:basedOn w:val="Heading1"/>
    <w:next w:val="Normal"/>
    <w:uiPriority w:val="3"/>
    <w:rsid w:val="009843BA"/>
    <w:rPr>
      <w:sz w:val="186"/>
      <w:szCs w:val="186"/>
    </w:rPr>
  </w:style>
  <w:style w:type="paragraph" w:styleId="ListNumber">
    <w:name w:val="List Number"/>
    <w:basedOn w:val="Normal"/>
    <w:uiPriority w:val="5"/>
    <w:qFormat/>
    <w:rsid w:val="00BA3176"/>
    <w:pPr>
      <w:numPr>
        <w:numId w:val="2"/>
      </w:numPr>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Text">
    <w:name w:val="annotation text"/>
    <w:basedOn w:val="Normal"/>
    <w:link w:val="CommentTextChar"/>
    <w:uiPriority w:val="99"/>
    <w:unhideWhenUsed/>
    <w:rsid w:val="009C705A"/>
    <w:pPr>
      <w:spacing w:line="240" w:lineRule="auto"/>
    </w:pPr>
    <w:rPr>
      <w:szCs w:val="20"/>
    </w:rPr>
  </w:style>
  <w:style w:type="character" w:customStyle="1" w:styleId="CommentTextChar">
    <w:name w:val="Comment Text Char"/>
    <w:basedOn w:val="DefaultParagraphFont"/>
    <w:link w:val="CommentText"/>
    <w:uiPriority w:val="99"/>
    <w:rsid w:val="009C705A"/>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000000"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rsid w:val="00650E2C"/>
    <w:rPr>
      <w:color w:val="FFFFFF" w:themeColor="background1"/>
    </w:rPr>
  </w:style>
  <w:style w:type="paragraph" w:customStyle="1" w:styleId="WhiteHeading2">
    <w:name w:val="White Heading 2"/>
    <w:basedOn w:val="Heading2"/>
    <w:rsid w:val="002602FC"/>
    <w:pPr>
      <w:spacing w:before="360"/>
    </w:pPr>
    <w:rPr>
      <w:color w:val="FFFFFF" w:themeColor="background1"/>
      <w:sz w:val="24"/>
    </w:rPr>
  </w:style>
  <w:style w:type="paragraph" w:customStyle="1" w:styleId="WhiteNormal">
    <w:name w:val="White Normal"/>
    <w:basedOn w:val="Normal"/>
    <w:rsid w:val="00554A1D"/>
    <w:rPr>
      <w:color w:val="FFFFFF" w:themeColor="background1"/>
      <w:sz w:val="22"/>
    </w:rPr>
  </w:style>
  <w:style w:type="paragraph" w:customStyle="1" w:styleId="AppendixHeading">
    <w:name w:val="Appendix Heading"/>
    <w:basedOn w:val="ListParagraph"/>
    <w:next w:val="Normal"/>
    <w:uiPriority w:val="5"/>
    <w:rsid w:val="008E7639"/>
    <w:pPr>
      <w:numPr>
        <w:numId w:val="4"/>
      </w:numPr>
      <w:spacing w:before="240"/>
      <w:contextualSpacing/>
      <w:outlineLvl w:val="2"/>
    </w:pPr>
    <w:rPr>
      <w:b/>
      <w:color w:val="ABDBF6" w:themeColor="accent1"/>
      <w:sz w:val="24"/>
    </w:rPr>
  </w:style>
  <w:style w:type="paragraph" w:styleId="ListBullet2">
    <w:name w:val="List Bullet 2"/>
    <w:basedOn w:val="Normal"/>
    <w:uiPriority w:val="5"/>
    <w:qFormat/>
    <w:rsid w:val="00466320"/>
    <w:pPr>
      <w:numPr>
        <w:ilvl w:val="1"/>
        <w:numId w:val="1"/>
      </w:numPr>
      <w:contextualSpacing/>
    </w:pPr>
  </w:style>
  <w:style w:type="paragraph" w:styleId="ListBullet3">
    <w:name w:val="List Bullet 3"/>
    <w:basedOn w:val="Normal"/>
    <w:uiPriority w:val="5"/>
    <w:qFormat/>
    <w:rsid w:val="00466320"/>
    <w:pPr>
      <w:numPr>
        <w:ilvl w:val="2"/>
        <w:numId w:val="1"/>
      </w:numPr>
      <w:contextualSpacing/>
    </w:pPr>
  </w:style>
  <w:style w:type="paragraph" w:styleId="ListNumber2">
    <w:name w:val="List Number 2"/>
    <w:basedOn w:val="Normal"/>
    <w:uiPriority w:val="5"/>
    <w:qFormat/>
    <w:rsid w:val="000131D0"/>
    <w:pPr>
      <w:numPr>
        <w:ilvl w:val="1"/>
        <w:numId w:val="2"/>
      </w:numPr>
      <w:ind w:left="714" w:hanging="357"/>
    </w:pPr>
  </w:style>
  <w:style w:type="paragraph" w:styleId="ListNumber3">
    <w:name w:val="List Number 3"/>
    <w:basedOn w:val="Normal"/>
    <w:uiPriority w:val="5"/>
    <w:qFormat/>
    <w:rsid w:val="000131D0"/>
    <w:pPr>
      <w:numPr>
        <w:ilvl w:val="2"/>
        <w:numId w:val="2"/>
      </w:numPr>
      <w:ind w:left="1077" w:hanging="357"/>
    </w:pPr>
  </w:style>
  <w:style w:type="paragraph" w:styleId="List">
    <w:name w:val="List"/>
    <w:basedOn w:val="Normal"/>
    <w:uiPriority w:val="99"/>
    <w:semiHidden/>
    <w:unhideWhenUsed/>
    <w:rsid w:val="008D551E"/>
    <w:pPr>
      <w:ind w:left="283" w:hanging="283"/>
      <w:contextualSpacing/>
    </w:pPr>
  </w:style>
  <w:style w:type="character" w:customStyle="1" w:styleId="Heading7Char">
    <w:name w:val="Heading 7 Char"/>
    <w:basedOn w:val="DefaultParagraphFont"/>
    <w:link w:val="Heading7"/>
    <w:uiPriority w:val="99"/>
    <w:semiHidden/>
    <w:rsid w:val="00E419C1"/>
    <w:rPr>
      <w:rFonts w:asciiTheme="majorHAnsi" w:eastAsiaTheme="majorEastAsia" w:hAnsiTheme="majorHAnsi" w:cstheme="majorBidi"/>
      <w:i/>
      <w:iCs/>
      <w:color w:val="147FBB" w:themeColor="accent1" w:themeShade="7F"/>
      <w:szCs w:val="24"/>
    </w:rPr>
  </w:style>
  <w:style w:type="character" w:customStyle="1" w:styleId="Heading8Char">
    <w:name w:val="Heading 8 Char"/>
    <w:basedOn w:val="DefaultParagraphFont"/>
    <w:link w:val="Heading8"/>
    <w:uiPriority w:val="99"/>
    <w:semiHidden/>
    <w:rsid w:val="00E419C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419C1"/>
    <w:rPr>
      <w:rFonts w:asciiTheme="majorHAnsi" w:eastAsiaTheme="majorEastAsia" w:hAnsiTheme="majorHAnsi" w:cstheme="majorBidi"/>
      <w:i/>
      <w:iCs/>
      <w:color w:val="272727" w:themeColor="text1" w:themeTint="D8"/>
      <w:sz w:val="21"/>
      <w:szCs w:val="21"/>
    </w:rPr>
  </w:style>
  <w:style w:type="paragraph" w:customStyle="1" w:styleId="HeadingTable">
    <w:name w:val="Heading Table"/>
    <w:basedOn w:val="FigureHeading"/>
    <w:link w:val="HeadingTableChar"/>
    <w:qFormat/>
    <w:rsid w:val="002F680D"/>
    <w:pPr>
      <w:numPr>
        <w:numId w:val="5"/>
      </w:numPr>
      <w:tabs>
        <w:tab w:val="left" w:pos="1021"/>
      </w:tabs>
    </w:pPr>
  </w:style>
  <w:style w:type="character" w:customStyle="1" w:styleId="FigureHeadingChar">
    <w:name w:val="Figure Heading Char"/>
    <w:basedOn w:val="DefaultParagraphFont"/>
    <w:link w:val="FigureHeading"/>
    <w:uiPriority w:val="48"/>
    <w:rsid w:val="004533A1"/>
    <w:rPr>
      <w:rFonts w:asciiTheme="majorHAnsi" w:hAnsiTheme="majorHAnsi"/>
      <w:b/>
      <w:color w:val="000000"/>
      <w:szCs w:val="24"/>
    </w:rPr>
  </w:style>
  <w:style w:type="character" w:customStyle="1" w:styleId="HeadingTableChar">
    <w:name w:val="Heading Table Char"/>
    <w:basedOn w:val="FigureHeadingChar"/>
    <w:link w:val="HeadingTable"/>
    <w:rsid w:val="002F680D"/>
    <w:rPr>
      <w:rFonts w:asciiTheme="majorHAnsi" w:hAnsiTheme="majorHAnsi"/>
      <w:b/>
      <w:color w:val="000000"/>
      <w:szCs w:val="24"/>
    </w:rPr>
  </w:style>
  <w:style w:type="paragraph" w:customStyle="1" w:styleId="CoverTitle">
    <w:name w:val="Cover Title"/>
    <w:basedOn w:val="NoSpacing"/>
    <w:rsid w:val="00B8701A"/>
    <w:pPr>
      <w:spacing w:before="1320" w:after="400" w:line="252" w:lineRule="auto"/>
    </w:pPr>
    <w:rPr>
      <w:rFonts w:asciiTheme="majorHAnsi" w:hAnsiTheme="majorHAnsi"/>
      <w:b/>
      <w:noProof/>
      <w:sz w:val="130"/>
      <w:szCs w:val="130"/>
    </w:rPr>
  </w:style>
  <w:style w:type="paragraph" w:customStyle="1" w:styleId="CoverByline">
    <w:name w:val="Cover Byline"/>
    <w:basedOn w:val="NoSpacing"/>
    <w:rsid w:val="00E63459"/>
    <w:pPr>
      <w:spacing w:before="200" w:after="600"/>
    </w:pPr>
    <w:rPr>
      <w:rFonts w:asciiTheme="majorHAnsi" w:hAnsiTheme="majorHAnsi" w:cstheme="majorHAnsi"/>
      <w:noProof/>
      <w:sz w:val="32"/>
      <w:szCs w:val="32"/>
    </w:rPr>
  </w:style>
  <w:style w:type="paragraph" w:customStyle="1" w:styleId="EmphasisPanelHeading">
    <w:name w:val="Emphasis Panel Heading"/>
    <w:basedOn w:val="NoSpacing"/>
    <w:link w:val="EmphasisPanelHeadingChar"/>
    <w:qFormat/>
    <w:rsid w:val="000A1193"/>
    <w:pPr>
      <w:pBdr>
        <w:top w:val="single" w:sz="36" w:space="1" w:color="E2E2E3"/>
        <w:left w:val="single" w:sz="36" w:space="4" w:color="E2E2E3"/>
        <w:bottom w:val="single" w:sz="36" w:space="3" w:color="E2E2E3"/>
        <w:right w:val="single" w:sz="36" w:space="4" w:color="E2E2E3"/>
      </w:pBdr>
      <w:shd w:val="solid" w:color="E2E2E3" w:fill="auto"/>
      <w:spacing w:after="120" w:line="280" w:lineRule="atLeast"/>
      <w:outlineLvl w:val="4"/>
    </w:pPr>
    <w:rPr>
      <w:rFonts w:asciiTheme="majorHAnsi" w:hAnsiTheme="majorHAnsi"/>
      <w:b/>
      <w:color w:val="2158A9" w:themeColor="accent2"/>
      <w:sz w:val="20"/>
    </w:rPr>
  </w:style>
  <w:style w:type="paragraph" w:customStyle="1" w:styleId="EmphasisPanelBody">
    <w:name w:val="Emphasis Panel Body"/>
    <w:basedOn w:val="EmphasisPanelHeading"/>
    <w:link w:val="EmphasisPanelBodyChar"/>
    <w:qFormat/>
    <w:rsid w:val="00E54BB5"/>
    <w:pPr>
      <w:outlineLvl w:val="9"/>
    </w:pPr>
    <w:rPr>
      <w:rFonts w:asciiTheme="minorHAnsi" w:hAnsiTheme="minorHAnsi"/>
      <w:b w:val="0"/>
      <w:color w:val="auto"/>
    </w:rPr>
  </w:style>
  <w:style w:type="paragraph" w:customStyle="1" w:styleId="EmphasisPanelBullet">
    <w:name w:val="Emphasis Panel Bullet"/>
    <w:basedOn w:val="EmphasisPanelBody"/>
    <w:link w:val="EmphasisPanelBulletChar"/>
    <w:qFormat/>
    <w:rsid w:val="00E54BB5"/>
    <w:pPr>
      <w:numPr>
        <w:numId w:val="6"/>
      </w:numPr>
      <w:ind w:left="227" w:hanging="227"/>
      <w:contextualSpacing/>
    </w:pPr>
  </w:style>
  <w:style w:type="character" w:customStyle="1" w:styleId="NoSpacingChar">
    <w:name w:val="No Spacing Char"/>
    <w:basedOn w:val="DefaultParagraphFont"/>
    <w:link w:val="NoSpacing"/>
    <w:uiPriority w:val="1"/>
    <w:rsid w:val="006F5465"/>
    <w:rPr>
      <w:rFonts w:ascii="Arial" w:hAnsi="Arial"/>
      <w:sz w:val="22"/>
      <w:szCs w:val="24"/>
    </w:rPr>
  </w:style>
  <w:style w:type="character" w:customStyle="1" w:styleId="EmphasisPanelHeadingChar">
    <w:name w:val="Emphasis Panel Heading Char"/>
    <w:basedOn w:val="NoSpacingChar"/>
    <w:link w:val="EmphasisPanelHeading"/>
    <w:rsid w:val="000A1193"/>
    <w:rPr>
      <w:rFonts w:asciiTheme="majorHAnsi" w:hAnsiTheme="majorHAnsi"/>
      <w:b/>
      <w:color w:val="2158A9" w:themeColor="accent2"/>
      <w:sz w:val="22"/>
      <w:szCs w:val="24"/>
      <w:shd w:val="solid" w:color="E2E2E3" w:fill="auto"/>
    </w:rPr>
  </w:style>
  <w:style w:type="character" w:customStyle="1" w:styleId="EmphasisPanelBodyChar">
    <w:name w:val="Emphasis Panel Body Char"/>
    <w:basedOn w:val="EmphasisPanelHeadingChar"/>
    <w:link w:val="EmphasisPanelBody"/>
    <w:rsid w:val="00E54BB5"/>
    <w:rPr>
      <w:rFonts w:asciiTheme="minorHAnsi" w:hAnsiTheme="minorHAnsi"/>
      <w:b w:val="0"/>
      <w:color w:val="2158A9" w:themeColor="accent2"/>
      <w:sz w:val="22"/>
      <w:szCs w:val="24"/>
      <w:shd w:val="solid" w:color="E2E2E3" w:fill="auto"/>
    </w:rPr>
  </w:style>
  <w:style w:type="paragraph" w:customStyle="1" w:styleId="TableTextRightAligned">
    <w:name w:val="Table Text Right Aligned"/>
    <w:basedOn w:val="TableTextLeftAligned"/>
    <w:link w:val="TableTextRightAlignedChar"/>
    <w:qFormat/>
    <w:rsid w:val="00FD2C46"/>
    <w:pPr>
      <w:jc w:val="right"/>
    </w:pPr>
  </w:style>
  <w:style w:type="character" w:customStyle="1" w:styleId="EmphasisPanelBulletChar">
    <w:name w:val="Emphasis Panel Bullet Char"/>
    <w:basedOn w:val="EmphasisPanelBodyChar"/>
    <w:link w:val="EmphasisPanelBullet"/>
    <w:rsid w:val="00E54BB5"/>
    <w:rPr>
      <w:rFonts w:asciiTheme="minorHAnsi" w:hAnsiTheme="minorHAnsi"/>
      <w:b w:val="0"/>
      <w:color w:val="2158A9" w:themeColor="accent2"/>
      <w:sz w:val="22"/>
      <w:szCs w:val="24"/>
      <w:shd w:val="solid" w:color="E2E2E3" w:fill="auto"/>
    </w:rPr>
  </w:style>
  <w:style w:type="character" w:customStyle="1" w:styleId="TableTextLeftAlignedChar">
    <w:name w:val="Table Text Left Aligned Char"/>
    <w:basedOn w:val="DefaultParagraphFont"/>
    <w:link w:val="TableTextLeftAligned"/>
    <w:uiPriority w:val="49"/>
    <w:rsid w:val="00FD2C46"/>
    <w:rPr>
      <w:rFonts w:asciiTheme="minorHAnsi" w:hAnsiTheme="minorHAnsi"/>
      <w:szCs w:val="24"/>
    </w:rPr>
  </w:style>
  <w:style w:type="character" w:customStyle="1" w:styleId="TableTextRightAlignedChar">
    <w:name w:val="Table Text Right Aligned Char"/>
    <w:basedOn w:val="TableTextLeftAlignedChar"/>
    <w:link w:val="TableTextRightAligned"/>
    <w:rsid w:val="00FD2C46"/>
    <w:rPr>
      <w:rFonts w:asciiTheme="minorHAnsi" w:hAnsiTheme="minorHAnsi"/>
      <w:szCs w:val="24"/>
    </w:rPr>
  </w:style>
  <w:style w:type="paragraph" w:styleId="EnvelopeReturn">
    <w:name w:val="envelope return"/>
    <w:basedOn w:val="Normal"/>
    <w:uiPriority w:val="99"/>
    <w:unhideWhenUsed/>
    <w:rsid w:val="009175A6"/>
    <w:pPr>
      <w:spacing w:after="0" w:line="240" w:lineRule="auto"/>
    </w:pPr>
    <w:rPr>
      <w:rFonts w:asciiTheme="majorHAnsi" w:eastAsiaTheme="majorEastAsia" w:hAnsiTheme="majorHAnsi" w:cstheme="majorBidi"/>
      <w:szCs w:val="20"/>
    </w:rPr>
  </w:style>
  <w:style w:type="paragraph" w:styleId="TOC3">
    <w:name w:val="toc 3"/>
    <w:basedOn w:val="Normal"/>
    <w:next w:val="Normal"/>
    <w:autoRedefine/>
    <w:uiPriority w:val="39"/>
    <w:unhideWhenUsed/>
    <w:rsid w:val="003B499C"/>
    <w:pPr>
      <w:spacing w:after="100" w:line="259" w:lineRule="auto"/>
      <w:ind w:left="440"/>
    </w:pPr>
    <w:rPr>
      <w:rFonts w:eastAsiaTheme="minorEastAsia"/>
      <w:sz w:val="22"/>
      <w:szCs w:val="22"/>
      <w:lang w:val="en-US" w:eastAsia="en-US"/>
    </w:rPr>
  </w:style>
  <w:style w:type="paragraph" w:customStyle="1" w:styleId="NormalWhite">
    <w:name w:val="Normal White"/>
    <w:basedOn w:val="Normal"/>
    <w:link w:val="NormalWhiteChar"/>
    <w:qFormat/>
    <w:rsid w:val="00BD0246"/>
    <w:rPr>
      <w:color w:val="FFFFFF" w:themeColor="background1"/>
    </w:rPr>
  </w:style>
  <w:style w:type="character" w:customStyle="1" w:styleId="NormalWhiteChar">
    <w:name w:val="Normal White Char"/>
    <w:basedOn w:val="DefaultParagraphFont"/>
    <w:link w:val="NormalWhite"/>
    <w:rsid w:val="00BD0246"/>
    <w:rPr>
      <w:rFonts w:asciiTheme="minorHAnsi" w:hAnsiTheme="minorHAnsi"/>
      <w:color w:val="FFFFFF" w:themeColor="background1"/>
      <w:szCs w:val="24"/>
    </w:rPr>
  </w:style>
  <w:style w:type="paragraph" w:styleId="Bibliography">
    <w:name w:val="Bibliography"/>
    <w:basedOn w:val="Normal"/>
    <w:next w:val="Normal"/>
    <w:uiPriority w:val="37"/>
    <w:unhideWhenUsed/>
    <w:rsid w:val="00CC3C11"/>
    <w:pPr>
      <w:spacing w:before="120" w:after="120"/>
    </w:pPr>
    <w:rPr>
      <w:color w:val="000000" w:themeColor="text1"/>
    </w:rPr>
  </w:style>
  <w:style w:type="paragraph" w:customStyle="1" w:styleId="Default">
    <w:name w:val="Default"/>
    <w:rsid w:val="00E04786"/>
    <w:pPr>
      <w:autoSpaceDE w:val="0"/>
      <w:autoSpaceDN w:val="0"/>
      <w:adjustRightInd w:val="0"/>
    </w:pPr>
    <w:rPr>
      <w:rFonts w:ascii="Arial" w:hAnsi="Arial" w:cs="Arial"/>
      <w:color w:val="000000"/>
      <w:sz w:val="24"/>
      <w:szCs w:val="24"/>
    </w:rPr>
  </w:style>
  <w:style w:type="paragraph" w:styleId="TableofFigures">
    <w:name w:val="table of figures"/>
    <w:basedOn w:val="Normal"/>
    <w:next w:val="Normal"/>
    <w:uiPriority w:val="99"/>
    <w:unhideWhenUsed/>
    <w:rsid w:val="00D7010F"/>
    <w:pPr>
      <w:spacing w:after="0"/>
      <w:ind w:left="400" w:hanging="400"/>
    </w:pPr>
    <w:rPr>
      <w:rFonts w:cstheme="minorHAnsi"/>
      <w:smallCaps/>
      <w:szCs w:val="20"/>
    </w:rPr>
  </w:style>
  <w:style w:type="paragraph" w:styleId="Quote">
    <w:name w:val="Quote"/>
    <w:basedOn w:val="Normal"/>
    <w:next w:val="Normal"/>
    <w:link w:val="QuoteChar"/>
    <w:uiPriority w:val="29"/>
    <w:qFormat/>
    <w:rsid w:val="00D7010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7010F"/>
    <w:rPr>
      <w:rFonts w:asciiTheme="minorHAnsi" w:hAnsiTheme="minorHAnsi"/>
      <w:i/>
      <w:iCs/>
      <w:color w:val="404040" w:themeColor="text1" w:themeTint="BF"/>
      <w:szCs w:val="24"/>
    </w:rPr>
  </w:style>
  <w:style w:type="table" w:styleId="TableGridLight">
    <w:name w:val="Grid Table Light"/>
    <w:basedOn w:val="TableNormal"/>
    <w:uiPriority w:val="40"/>
    <w:rsid w:val="00AB21D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3E2CB9"/>
    <w:rPr>
      <w:rFonts w:asciiTheme="minorHAnsi" w:hAnsiTheme="minorHAnsi"/>
      <w:szCs w:val="24"/>
    </w:rPr>
  </w:style>
  <w:style w:type="character" w:styleId="HTMLCite">
    <w:name w:val="HTML Cite"/>
    <w:basedOn w:val="DefaultParagraphFont"/>
    <w:uiPriority w:val="99"/>
    <w:semiHidden/>
    <w:unhideWhenUsed/>
    <w:rsid w:val="000126B6"/>
    <w:rPr>
      <w:i/>
      <w:iCs/>
    </w:rPr>
  </w:style>
  <w:style w:type="character" w:customStyle="1" w:styleId="reference-accessdate">
    <w:name w:val="reference-accessdate"/>
    <w:basedOn w:val="DefaultParagraphFont"/>
    <w:rsid w:val="000126B6"/>
  </w:style>
  <w:style w:type="character" w:styleId="PlaceholderText">
    <w:name w:val="Placeholder Text"/>
    <w:basedOn w:val="DefaultParagraphFont"/>
    <w:uiPriority w:val="99"/>
    <w:semiHidden/>
    <w:rsid w:val="00B55D64"/>
    <w:rPr>
      <w:color w:val="808080"/>
    </w:rPr>
  </w:style>
  <w:style w:type="paragraph" w:styleId="Index2">
    <w:name w:val="index 2"/>
    <w:basedOn w:val="Normal"/>
    <w:next w:val="Normal"/>
    <w:autoRedefine/>
    <w:uiPriority w:val="99"/>
    <w:unhideWhenUsed/>
    <w:rsid w:val="00522AF9"/>
    <w:pPr>
      <w:spacing w:after="0"/>
      <w:ind w:left="400" w:hanging="200"/>
    </w:pPr>
    <w:rPr>
      <w:rFonts w:cstheme="minorHAnsi"/>
      <w:sz w:val="18"/>
      <w:szCs w:val="18"/>
    </w:rPr>
  </w:style>
  <w:style w:type="paragraph" w:styleId="Index1">
    <w:name w:val="index 1"/>
    <w:basedOn w:val="Normal"/>
    <w:next w:val="Normal"/>
    <w:autoRedefine/>
    <w:uiPriority w:val="99"/>
    <w:unhideWhenUsed/>
    <w:rsid w:val="00B15326"/>
    <w:pPr>
      <w:spacing w:after="0"/>
      <w:ind w:left="200" w:hanging="200"/>
    </w:pPr>
    <w:rPr>
      <w:rFonts w:cstheme="minorHAnsi"/>
      <w:sz w:val="18"/>
      <w:szCs w:val="18"/>
    </w:rPr>
  </w:style>
  <w:style w:type="paragraph" w:styleId="Index3">
    <w:name w:val="index 3"/>
    <w:basedOn w:val="Normal"/>
    <w:next w:val="Normal"/>
    <w:autoRedefine/>
    <w:uiPriority w:val="99"/>
    <w:unhideWhenUsed/>
    <w:rsid w:val="00522AF9"/>
    <w:pPr>
      <w:spacing w:after="0"/>
      <w:ind w:left="600" w:hanging="200"/>
    </w:pPr>
    <w:rPr>
      <w:rFonts w:cstheme="minorHAnsi"/>
      <w:sz w:val="18"/>
      <w:szCs w:val="18"/>
    </w:rPr>
  </w:style>
  <w:style w:type="paragraph" w:styleId="Index4">
    <w:name w:val="index 4"/>
    <w:basedOn w:val="Normal"/>
    <w:next w:val="Normal"/>
    <w:autoRedefine/>
    <w:uiPriority w:val="99"/>
    <w:unhideWhenUsed/>
    <w:rsid w:val="00522AF9"/>
    <w:pPr>
      <w:spacing w:after="0"/>
      <w:ind w:left="800" w:hanging="200"/>
    </w:pPr>
    <w:rPr>
      <w:rFonts w:cstheme="minorHAnsi"/>
      <w:sz w:val="18"/>
      <w:szCs w:val="18"/>
    </w:rPr>
  </w:style>
  <w:style w:type="paragraph" w:styleId="Index5">
    <w:name w:val="index 5"/>
    <w:basedOn w:val="Normal"/>
    <w:next w:val="Normal"/>
    <w:autoRedefine/>
    <w:uiPriority w:val="99"/>
    <w:unhideWhenUsed/>
    <w:rsid w:val="00522AF9"/>
    <w:pPr>
      <w:spacing w:after="0"/>
      <w:ind w:left="1000" w:hanging="200"/>
    </w:pPr>
    <w:rPr>
      <w:rFonts w:cstheme="minorHAnsi"/>
      <w:sz w:val="18"/>
      <w:szCs w:val="18"/>
    </w:rPr>
  </w:style>
  <w:style w:type="paragraph" w:styleId="Index6">
    <w:name w:val="index 6"/>
    <w:basedOn w:val="Normal"/>
    <w:next w:val="Normal"/>
    <w:autoRedefine/>
    <w:uiPriority w:val="99"/>
    <w:unhideWhenUsed/>
    <w:rsid w:val="00522AF9"/>
    <w:pPr>
      <w:spacing w:after="0"/>
      <w:ind w:left="1200" w:hanging="200"/>
    </w:pPr>
    <w:rPr>
      <w:rFonts w:cstheme="minorHAnsi"/>
      <w:sz w:val="18"/>
      <w:szCs w:val="18"/>
    </w:rPr>
  </w:style>
  <w:style w:type="paragraph" w:styleId="Index7">
    <w:name w:val="index 7"/>
    <w:basedOn w:val="Normal"/>
    <w:next w:val="Normal"/>
    <w:autoRedefine/>
    <w:uiPriority w:val="99"/>
    <w:unhideWhenUsed/>
    <w:rsid w:val="00522AF9"/>
    <w:pPr>
      <w:spacing w:after="0"/>
      <w:ind w:left="1400" w:hanging="200"/>
    </w:pPr>
    <w:rPr>
      <w:rFonts w:cstheme="minorHAnsi"/>
      <w:sz w:val="18"/>
      <w:szCs w:val="18"/>
    </w:rPr>
  </w:style>
  <w:style w:type="paragraph" w:styleId="Index8">
    <w:name w:val="index 8"/>
    <w:basedOn w:val="Normal"/>
    <w:next w:val="Normal"/>
    <w:autoRedefine/>
    <w:uiPriority w:val="99"/>
    <w:unhideWhenUsed/>
    <w:rsid w:val="00522AF9"/>
    <w:pPr>
      <w:spacing w:after="0"/>
      <w:ind w:left="1600" w:hanging="200"/>
    </w:pPr>
    <w:rPr>
      <w:rFonts w:cstheme="minorHAnsi"/>
      <w:sz w:val="18"/>
      <w:szCs w:val="18"/>
    </w:rPr>
  </w:style>
  <w:style w:type="paragraph" w:styleId="Index9">
    <w:name w:val="index 9"/>
    <w:basedOn w:val="Normal"/>
    <w:next w:val="Normal"/>
    <w:autoRedefine/>
    <w:uiPriority w:val="99"/>
    <w:unhideWhenUsed/>
    <w:rsid w:val="00522AF9"/>
    <w:pPr>
      <w:spacing w:after="0"/>
      <w:ind w:left="1800" w:hanging="200"/>
    </w:pPr>
    <w:rPr>
      <w:rFonts w:cstheme="minorHAnsi"/>
      <w:sz w:val="18"/>
      <w:szCs w:val="18"/>
    </w:rPr>
  </w:style>
  <w:style w:type="paragraph" w:styleId="IndexHeading">
    <w:name w:val="index heading"/>
    <w:basedOn w:val="Normal"/>
    <w:next w:val="Index1"/>
    <w:uiPriority w:val="99"/>
    <w:unhideWhenUsed/>
    <w:rsid w:val="00522AF9"/>
    <w:pPr>
      <w:pBdr>
        <w:top w:val="single" w:sz="12" w:space="0" w:color="auto"/>
      </w:pBdr>
      <w:spacing w:before="360" w:after="240"/>
    </w:pPr>
    <w:rPr>
      <w:rFonts w:cstheme="minorHAnsi"/>
      <w:b/>
      <w:bCs/>
      <w:i/>
      <w:iCs/>
      <w:sz w:val="26"/>
      <w:szCs w:val="26"/>
    </w:rPr>
  </w:style>
  <w:style w:type="table" w:styleId="PlainTable3">
    <w:name w:val="Plain Table 3"/>
    <w:basedOn w:val="TableNormal"/>
    <w:uiPriority w:val="43"/>
    <w:rsid w:val="00664CD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A6E7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4">
    <w:name w:val="toc 4"/>
    <w:basedOn w:val="Normal"/>
    <w:next w:val="Normal"/>
    <w:autoRedefine/>
    <w:uiPriority w:val="39"/>
    <w:rsid w:val="0035267F"/>
    <w:pPr>
      <w:spacing w:after="100"/>
      <w:ind w:left="600"/>
    </w:pPr>
  </w:style>
  <w:style w:type="paragraph" w:styleId="NormalWeb">
    <w:name w:val="Normal (Web)"/>
    <w:basedOn w:val="Normal"/>
    <w:uiPriority w:val="99"/>
    <w:semiHidden/>
    <w:unhideWhenUsed/>
    <w:rsid w:val="004822D6"/>
    <w:pPr>
      <w:spacing w:before="100" w:beforeAutospacing="1" w:after="100" w:afterAutospacing="1" w:line="240" w:lineRule="auto"/>
    </w:pPr>
    <w:rPr>
      <w:rFonts w:ascii="Times New Roman" w:hAnsi="Times New Roman"/>
      <w:sz w:val="24"/>
    </w:rPr>
  </w:style>
  <w:style w:type="character" w:customStyle="1" w:styleId="Heading3Char">
    <w:name w:val="Heading 3 Char"/>
    <w:basedOn w:val="DefaultParagraphFont"/>
    <w:link w:val="Heading3"/>
    <w:uiPriority w:val="4"/>
    <w:rsid w:val="00C32523"/>
    <w:rPr>
      <w:rFonts w:asciiTheme="majorHAnsi" w:hAnsiTheme="majorHAnsi"/>
      <w:b/>
      <w:color w:val="2158A9" w:themeColor="accent2"/>
      <w:sz w:val="24"/>
      <w:szCs w:val="44"/>
    </w:rPr>
  </w:style>
  <w:style w:type="paragraph" w:customStyle="1" w:styleId="paragraph">
    <w:name w:val="paragraph"/>
    <w:basedOn w:val="Normal"/>
    <w:rsid w:val="00C32523"/>
    <w:pPr>
      <w:spacing w:before="100" w:beforeAutospacing="1" w:after="100" w:afterAutospacing="1" w:line="240" w:lineRule="auto"/>
    </w:pPr>
    <w:rPr>
      <w:rFonts w:ascii="Times New Roman" w:hAnsi="Times New Roman"/>
      <w:sz w:val="24"/>
    </w:rPr>
  </w:style>
  <w:style w:type="character" w:customStyle="1" w:styleId="normaltextrun">
    <w:name w:val="normaltextrun"/>
    <w:basedOn w:val="DefaultParagraphFont"/>
    <w:rsid w:val="00C32523"/>
  </w:style>
  <w:style w:type="character" w:customStyle="1" w:styleId="eop">
    <w:name w:val="eop"/>
    <w:basedOn w:val="DefaultParagraphFont"/>
    <w:rsid w:val="00C32523"/>
  </w:style>
  <w:style w:type="character" w:customStyle="1" w:styleId="superscript">
    <w:name w:val="superscript"/>
    <w:basedOn w:val="DefaultParagraphFont"/>
    <w:rsid w:val="00C32523"/>
  </w:style>
  <w:style w:type="character" w:customStyle="1" w:styleId="ListParagraphChar">
    <w:name w:val="List Paragraph Char"/>
    <w:basedOn w:val="DefaultParagraphFont"/>
    <w:link w:val="ListParagraph"/>
    <w:uiPriority w:val="34"/>
    <w:rsid w:val="00247D97"/>
    <w:rPr>
      <w:rFonts w:asciiTheme="minorHAnsi" w:hAnsiTheme="minorHAnsi"/>
      <w:szCs w:val="24"/>
    </w:rPr>
  </w:style>
  <w:style w:type="paragraph" w:styleId="Caption">
    <w:name w:val="caption"/>
    <w:basedOn w:val="Normal"/>
    <w:next w:val="Normal"/>
    <w:uiPriority w:val="99"/>
    <w:unhideWhenUsed/>
    <w:qFormat/>
    <w:rsid w:val="009F44DF"/>
    <w:pPr>
      <w:spacing w:after="200" w:line="240" w:lineRule="auto"/>
    </w:pPr>
    <w:rPr>
      <w:b/>
      <w:iCs/>
      <w:color w:val="000000" w:themeColor="text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17274">
      <w:bodyDiv w:val="1"/>
      <w:marLeft w:val="0"/>
      <w:marRight w:val="0"/>
      <w:marTop w:val="0"/>
      <w:marBottom w:val="0"/>
      <w:divBdr>
        <w:top w:val="none" w:sz="0" w:space="0" w:color="auto"/>
        <w:left w:val="none" w:sz="0" w:space="0" w:color="auto"/>
        <w:bottom w:val="none" w:sz="0" w:space="0" w:color="auto"/>
        <w:right w:val="none" w:sz="0" w:space="0" w:color="auto"/>
      </w:divBdr>
    </w:div>
    <w:div w:id="158154662">
      <w:bodyDiv w:val="1"/>
      <w:marLeft w:val="0"/>
      <w:marRight w:val="0"/>
      <w:marTop w:val="0"/>
      <w:marBottom w:val="0"/>
      <w:divBdr>
        <w:top w:val="none" w:sz="0" w:space="0" w:color="auto"/>
        <w:left w:val="none" w:sz="0" w:space="0" w:color="auto"/>
        <w:bottom w:val="none" w:sz="0" w:space="0" w:color="auto"/>
        <w:right w:val="none" w:sz="0" w:space="0" w:color="auto"/>
      </w:divBdr>
    </w:div>
    <w:div w:id="186260618">
      <w:bodyDiv w:val="1"/>
      <w:marLeft w:val="0"/>
      <w:marRight w:val="0"/>
      <w:marTop w:val="0"/>
      <w:marBottom w:val="0"/>
      <w:divBdr>
        <w:top w:val="none" w:sz="0" w:space="0" w:color="auto"/>
        <w:left w:val="none" w:sz="0" w:space="0" w:color="auto"/>
        <w:bottom w:val="none" w:sz="0" w:space="0" w:color="auto"/>
        <w:right w:val="none" w:sz="0" w:space="0" w:color="auto"/>
      </w:divBdr>
    </w:div>
    <w:div w:id="677537999">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94830975">
      <w:bodyDiv w:val="1"/>
      <w:marLeft w:val="0"/>
      <w:marRight w:val="0"/>
      <w:marTop w:val="0"/>
      <w:marBottom w:val="0"/>
      <w:divBdr>
        <w:top w:val="none" w:sz="0" w:space="0" w:color="auto"/>
        <w:left w:val="none" w:sz="0" w:space="0" w:color="auto"/>
        <w:bottom w:val="none" w:sz="0" w:space="0" w:color="auto"/>
        <w:right w:val="none" w:sz="0" w:space="0" w:color="auto"/>
      </w:divBdr>
    </w:div>
    <w:div w:id="965892453">
      <w:bodyDiv w:val="1"/>
      <w:marLeft w:val="0"/>
      <w:marRight w:val="0"/>
      <w:marTop w:val="0"/>
      <w:marBottom w:val="0"/>
      <w:divBdr>
        <w:top w:val="none" w:sz="0" w:space="0" w:color="auto"/>
        <w:left w:val="none" w:sz="0" w:space="0" w:color="auto"/>
        <w:bottom w:val="none" w:sz="0" w:space="0" w:color="auto"/>
        <w:right w:val="none" w:sz="0" w:space="0" w:color="auto"/>
      </w:divBdr>
    </w:div>
    <w:div w:id="1034423219">
      <w:bodyDiv w:val="1"/>
      <w:marLeft w:val="0"/>
      <w:marRight w:val="0"/>
      <w:marTop w:val="0"/>
      <w:marBottom w:val="0"/>
      <w:divBdr>
        <w:top w:val="none" w:sz="0" w:space="0" w:color="auto"/>
        <w:left w:val="none" w:sz="0" w:space="0" w:color="auto"/>
        <w:bottom w:val="none" w:sz="0" w:space="0" w:color="auto"/>
        <w:right w:val="none" w:sz="0" w:space="0" w:color="auto"/>
      </w:divBdr>
    </w:div>
    <w:div w:id="1044599160">
      <w:bodyDiv w:val="1"/>
      <w:marLeft w:val="0"/>
      <w:marRight w:val="0"/>
      <w:marTop w:val="0"/>
      <w:marBottom w:val="0"/>
      <w:divBdr>
        <w:top w:val="none" w:sz="0" w:space="0" w:color="auto"/>
        <w:left w:val="none" w:sz="0" w:space="0" w:color="auto"/>
        <w:bottom w:val="none" w:sz="0" w:space="0" w:color="auto"/>
        <w:right w:val="none" w:sz="0" w:space="0" w:color="auto"/>
      </w:divBdr>
    </w:div>
    <w:div w:id="1050031578">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394885190">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523469314">
      <w:bodyDiv w:val="1"/>
      <w:marLeft w:val="0"/>
      <w:marRight w:val="0"/>
      <w:marTop w:val="0"/>
      <w:marBottom w:val="0"/>
      <w:divBdr>
        <w:top w:val="none" w:sz="0" w:space="0" w:color="auto"/>
        <w:left w:val="none" w:sz="0" w:space="0" w:color="auto"/>
        <w:bottom w:val="none" w:sz="0" w:space="0" w:color="auto"/>
        <w:right w:val="none" w:sz="0" w:space="0" w:color="auto"/>
      </w:divBdr>
    </w:div>
    <w:div w:id="1600717638">
      <w:bodyDiv w:val="1"/>
      <w:marLeft w:val="0"/>
      <w:marRight w:val="0"/>
      <w:marTop w:val="0"/>
      <w:marBottom w:val="0"/>
      <w:divBdr>
        <w:top w:val="none" w:sz="0" w:space="0" w:color="auto"/>
        <w:left w:val="none" w:sz="0" w:space="0" w:color="auto"/>
        <w:bottom w:val="none" w:sz="0" w:space="0" w:color="auto"/>
        <w:right w:val="none" w:sz="0" w:space="0" w:color="auto"/>
      </w:divBdr>
    </w:div>
    <w:div w:id="1909798911">
      <w:bodyDiv w:val="1"/>
      <w:marLeft w:val="0"/>
      <w:marRight w:val="0"/>
      <w:marTop w:val="0"/>
      <w:marBottom w:val="0"/>
      <w:divBdr>
        <w:top w:val="none" w:sz="0" w:space="0" w:color="auto"/>
        <w:left w:val="none" w:sz="0" w:space="0" w:color="auto"/>
        <w:bottom w:val="none" w:sz="0" w:space="0" w:color="auto"/>
        <w:right w:val="none" w:sz="0" w:space="0" w:color="auto"/>
      </w:divBdr>
    </w:div>
    <w:div w:id="1955942810">
      <w:bodyDiv w:val="1"/>
      <w:marLeft w:val="0"/>
      <w:marRight w:val="0"/>
      <w:marTop w:val="0"/>
      <w:marBottom w:val="0"/>
      <w:divBdr>
        <w:top w:val="none" w:sz="0" w:space="0" w:color="auto"/>
        <w:left w:val="none" w:sz="0" w:space="0" w:color="auto"/>
        <w:bottom w:val="none" w:sz="0" w:space="0" w:color="auto"/>
        <w:right w:val="none" w:sz="0" w:space="0" w:color="auto"/>
      </w:divBdr>
    </w:div>
    <w:div w:id="2029257890">
      <w:bodyDiv w:val="1"/>
      <w:marLeft w:val="0"/>
      <w:marRight w:val="0"/>
      <w:marTop w:val="0"/>
      <w:marBottom w:val="0"/>
      <w:divBdr>
        <w:top w:val="none" w:sz="0" w:space="0" w:color="auto"/>
        <w:left w:val="none" w:sz="0" w:space="0" w:color="auto"/>
        <w:bottom w:val="none" w:sz="0" w:space="0" w:color="auto"/>
        <w:right w:val="none" w:sz="0" w:space="0" w:color="auto"/>
      </w:divBdr>
    </w:div>
    <w:div w:id="2032876582">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header" Target="header4.xml"/><Relationship Id="rId34" Type="http://schemas.openxmlformats.org/officeDocument/2006/relationships/image" Target="media/image12.png"/><Relationship Id="rId42" Type="http://schemas.openxmlformats.org/officeDocument/2006/relationships/hyperlink" Target="https://www.aer.gov.au/system/files/BIT%20-%20Testing%20the%20better%20offer%20notice%20on%20energy%20bills%20-%20Final%20report.pdf" TargetMode="External"/><Relationship Id="rId47" Type="http://schemas.openxmlformats.org/officeDocument/2006/relationships/image" Target="media/image20.png"/><Relationship Id="rId50" Type="http://schemas.openxmlformats.org/officeDocument/2006/relationships/header" Target="header9.xml"/><Relationship Id="rId55" Type="http://schemas.openxmlformats.org/officeDocument/2006/relationships/hyperlink" Target="mailto:media@pmc.gov.au"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29" Type="http://schemas.openxmlformats.org/officeDocument/2006/relationships/image" Target="media/image7.png"/><Relationship Id="rId41" Type="http://schemas.openxmlformats.org/officeDocument/2006/relationships/hyperlink" Target="https://www.accc.gov.au/publications/serial-publications/inquiry-into-the-national-electricity-market-2018-2025/inquiry-into-the-national-electricity-market-may-2021-report" TargetMode="External"/><Relationship Id="rId54" Type="http://schemas.openxmlformats.org/officeDocument/2006/relationships/hyperlink" Target="mailto:beta@pmc.gov.au"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19.png"/><Relationship Id="rId53" Type="http://schemas.openxmlformats.org/officeDocument/2006/relationships/image" Target="media/image21.png"/><Relationship Id="rId58" Type="http://schemas.openxmlformats.org/officeDocument/2006/relationships/header" Target="header12.xml"/><Relationship Id="rId5" Type="http://schemas.openxmlformats.org/officeDocument/2006/relationships/customXml" Target="../customXml/item5.xml"/><Relationship Id="rId15" Type="http://schemas.openxmlformats.org/officeDocument/2006/relationships/hyperlink" Target="mailto:beta@pmc.gov.au" TargetMode="External"/><Relationship Id="rId23" Type="http://schemas.openxmlformats.org/officeDocument/2006/relationships/header" Target="header6.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header" Target="header8.xml"/><Relationship Id="rId57" Type="http://schemas.openxmlformats.org/officeDocument/2006/relationships/header" Target="header11.xml"/><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9.png"/><Relationship Id="rId44" Type="http://schemas.openxmlformats.org/officeDocument/2006/relationships/hyperlink" Target="https://www.aemc.gov.au/sites/default/files/content/62080e52-06d1-4526-8c92-3eadec24876f/Newgate-Research-AEMC-2017-Retail-Competition-Review-Consumer-Research-Report-F.pdf" TargetMode="External"/><Relationship Id="rId52" Type="http://schemas.openxmlformats.org/officeDocument/2006/relationships/header" Target="header10.xml"/><Relationship Id="rId60" Type="http://schemas.openxmlformats.org/officeDocument/2006/relationships/header" Target="header1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yperlink" Target="https://behaviouraleconomics.pmc.gov.au/sites/default/files/projects/Fit-the-bill-report_0.pdf" TargetMode="External"/><Relationship Id="rId48" Type="http://schemas.openxmlformats.org/officeDocument/2006/relationships/hyperlink" Target="https://pmc.gov.au/cca" TargetMode="External"/><Relationship Id="rId56" Type="http://schemas.openxmlformats.org/officeDocument/2006/relationships/hyperlink" Target="http://www.pmc.gov.au/beta" TargetMode="External"/><Relationship Id="rId8" Type="http://schemas.openxmlformats.org/officeDocument/2006/relationships/settings" Target="settings.xml"/><Relationship Id="rId5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socialscienceregistry.org/trials/9660" TargetMode="External"/><Relationship Id="rId25" Type="http://schemas.openxmlformats.org/officeDocument/2006/relationships/header" Target="header7.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yperlink" Target="https://creativecommons.org/licenses/by/4.0/" TargetMode="External"/><Relationship Id="rId59"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BETA Blue">
      <a:dk1>
        <a:srgbClr val="000000"/>
      </a:dk1>
      <a:lt1>
        <a:srgbClr val="FFFFFF"/>
      </a:lt1>
      <a:dk2>
        <a:srgbClr val="000000"/>
      </a:dk2>
      <a:lt2>
        <a:srgbClr val="FFFFFF"/>
      </a:lt2>
      <a:accent1>
        <a:srgbClr val="ABDBF6"/>
      </a:accent1>
      <a:accent2>
        <a:srgbClr val="2158A9"/>
      </a:accent2>
      <a:accent3>
        <a:srgbClr val="8C734A"/>
      </a:accent3>
      <a:accent4>
        <a:srgbClr val="6D6E71"/>
      </a:accent4>
      <a:accent5>
        <a:srgbClr val="D21E32"/>
      </a:accent5>
      <a:accent6>
        <a:srgbClr val="2D276C"/>
      </a:accent6>
      <a:hlink>
        <a:srgbClr val="2158A8"/>
      </a:hlink>
      <a:folHlink>
        <a:srgbClr val="8C734A"/>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HubID xmlns="e771ab56-0c5d-40e7-b080-2686d2b89623">DOC22-266153</ShareHubID>
    <Comments xmlns="http://schemas.microsoft.com/sharepoint/v3" xsi:nil="true"/>
    <TaxCatchAll xmlns="d0dfa800-9ef0-44cb-8a12-633e29de1e0b">
      <Value>4</Value>
    </TaxCatchAll>
    <lcf76f155ced4ddcb4097134ff3c332f xmlns="ce530a30-1469-477c-a42f-e412a5d2cfe7">
      <Terms xmlns="http://schemas.microsoft.com/office/infopath/2007/PartnerControls"/>
    </lcf76f155ced4ddcb4097134ff3c332f>
    <TaxKeywordTaxHTField xmlns="d0dfa800-9ef0-44cb-8a12-633e29de1e0b">
      <Terms xmlns="http://schemas.microsoft.com/office/infopath/2007/PartnerControls"/>
    </TaxKeywordTaxHTField>
    <_dlc_DocId xmlns="d0dfa800-9ef0-44cb-8a12-633e29de1e0b">PMCdoc-213507164-65979</_dlc_DocId>
    <_dlc_DocIdPersistId xmlns="d0dfa800-9ef0-44cb-8a12-633e29de1e0b">false</_dlc_DocIdPersistId>
    <_dlc_DocIdUrl xmlns="d0dfa800-9ef0-44cb-8a12-633e29de1e0b">
      <Url>https://pmc01.sharepoint.com/sites/pmc-ms-cb/_layouts/15/DocIdRedir.aspx?ID=PMCdoc-213507164-65979</Url>
      <Description>PMCdoc-213507164-65979</Description>
    </_dlc_DocIdUrl>
    <i33d79d771804d3fbb0a7948c73bb64e xmlns="d0dfa800-9ef0-44cb-8a12-633e29de1e0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i33d79d771804d3fbb0a7948c73bb64e>
    <b3c0f3586e914200b73ee5084f8aea6e xmlns="d0dfa800-9ef0-44cb-8a12-633e29de1e0b">
      <Terms xmlns="http://schemas.microsoft.com/office/infopath/2007/PartnerControls"/>
    </b3c0f3586e914200b73ee5084f8aea6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F285619428CBE4886618267E9F1076D" ma:contentTypeVersion="33" ma:contentTypeDescription="Create a new document." ma:contentTypeScope="" ma:versionID="359620c81b97637cbe42c57a53f8f632">
  <xsd:schema xmlns:xsd="http://www.w3.org/2001/XMLSchema" xmlns:xs="http://www.w3.org/2001/XMLSchema" xmlns:p="http://schemas.microsoft.com/office/2006/metadata/properties" xmlns:ns1="http://schemas.microsoft.com/sharepoint/v3" xmlns:ns2="d0dfa800-9ef0-44cb-8a12-633e29de1e0b" xmlns:ns3="e771ab56-0c5d-40e7-b080-2686d2b89623" xmlns:ns4="ce530a30-1469-477c-a42f-e412a5d2cfe7" targetNamespace="http://schemas.microsoft.com/office/2006/metadata/properties" ma:root="true" ma:fieldsID="6167440c3b5fc6f15ef2d07217fb4b01" ns1:_="" ns2:_="" ns3:_="" ns4:_="">
    <xsd:import namespace="http://schemas.microsoft.com/sharepoint/v3"/>
    <xsd:import namespace="d0dfa800-9ef0-44cb-8a12-633e29de1e0b"/>
    <xsd:import namespace="e771ab56-0c5d-40e7-b080-2686d2b89623"/>
    <xsd:import namespace="ce530a30-1469-477c-a42f-e412a5d2cfe7"/>
    <xsd:element name="properties">
      <xsd:complexType>
        <xsd:sequence>
          <xsd:element name="documentManagement">
            <xsd:complexType>
              <xsd:all>
                <xsd:element ref="ns2:_dlc_DocId" minOccurs="0"/>
                <xsd:element ref="ns2:_dlc_DocIdUrl" minOccurs="0"/>
                <xsd:element ref="ns2:_dlc_DocIdPersistId" minOccurs="0"/>
                <xsd:element ref="ns2:i33d79d771804d3fbb0a7948c73bb64e" minOccurs="0"/>
                <xsd:element ref="ns2:TaxCatchAll" minOccurs="0"/>
                <xsd:element ref="ns2:b3c0f3586e914200b73ee5084f8aea6e" minOccurs="0"/>
                <xsd:element ref="ns3:ShareHubID" minOccurs="0"/>
                <xsd:element ref="ns2:TaxKeywordTaxHTField" minOccurs="0"/>
                <xsd:element ref="ns1:Comments" minOccurs="0"/>
                <xsd:element ref="ns4:lcf76f155ced4ddcb4097134ff3c332f" minOccurs="0"/>
                <xsd:element ref="ns4:MediaServiceMetadata" minOccurs="0"/>
                <xsd:element ref="ns4:MediaServiceFastMetadata" minOccurs="0"/>
                <xsd:element ref="ns4:MediaServiceSearchProperties" minOccurs="0"/>
                <xsd:element ref="ns4:MediaServiceDateTaken" minOccurs="0"/>
                <xsd:element ref="ns4:MediaServiceObjectDetectorVersions" minOccurs="0"/>
                <xsd:element ref="ns4:MediaServiceOCR" minOccurs="0"/>
                <xsd:element ref="ns4:MediaServiceGenerationTime" minOccurs="0"/>
                <xsd:element ref="ns4:MediaServiceEventHashCod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dfa800-9ef0-44cb-8a12-633e29de1e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33d79d771804d3fbb0a7948c73bb64e" ma:index="12" ma:taxonomy="true" ma:internalName="i33d79d771804d3fbb0a7948c73bb64e" ma:taxonomyFieldName="SecurityClassification" ma:displayName="Security Classification" ma:default="1;#OFFICIAL|9e0ec9cb-4e7f-4d4a-bd32-1ee7525c6d87" ma:fieldId="{233d79d7-7180-4d3f-bb0a-7948c73bb64e}"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3e71626-501d-4005-9cdb-ece5cfae16ce}" ma:internalName="TaxCatchAll" ma:showField="CatchAllData" ma:web="d0dfa800-9ef0-44cb-8a12-633e29de1e0b">
      <xsd:complexType>
        <xsd:complexContent>
          <xsd:extension base="dms:MultiChoiceLookup">
            <xsd:sequence>
              <xsd:element name="Value" type="dms:Lookup" maxOccurs="unbounded" minOccurs="0" nillable="true"/>
            </xsd:sequence>
          </xsd:extension>
        </xsd:complexContent>
      </xsd:complexType>
    </xsd:element>
    <xsd:element name="b3c0f3586e914200b73ee5084f8aea6e" ma:index="15" nillable="true" ma:taxonomy="true" ma:internalName="b3c0f3586e914200b73ee5084f8aea6e" ma:taxonomyFieldName="InformationMarker" ma:displayName="Information Marker" ma:readOnly="false" ma:fieldId="{b3c0f358-6e91-4200-b73e-e5084f8aea6e}"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530a30-1469-477c-a42f-e412a5d2cfe7" elementFormDefault="qualified">
    <xsd:import namespace="http://schemas.microsoft.com/office/2006/documentManagement/types"/>
    <xsd:import namespace="http://schemas.microsoft.com/office/infopath/2007/PartnerControls"/>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LengthInSeconds" ma:index="30" nillable="true" ma:displayName="MediaLengthInSeconds" ma:hidden="true" ma:internalName="MediaLengthInSeconds" ma:readOnly="true">
      <xsd:simpleType>
        <xsd:restriction base="dms:Unknown"/>
      </xsd:simpleType>
    </xsd:element>
    <xsd:element name="MediaServiceLocation" ma:index="3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C0072-2E20-495C-AF67-D8F36FCE6C0E}">
  <ds:schemaRefs>
    <ds:schemaRef ds:uri="http://schemas.microsoft.com/sharepoint/v3/contenttype/forms"/>
  </ds:schemaRefs>
</ds:datastoreItem>
</file>

<file path=customXml/itemProps2.xml><?xml version="1.0" encoding="utf-8"?>
<ds:datastoreItem xmlns:ds="http://schemas.openxmlformats.org/officeDocument/2006/customXml" ds:itemID="{F6D4CC1A-1FCC-46CA-B7B5-EAF3FB16A9C2}">
  <ds:schemaRefs>
    <ds:schemaRef ds:uri="http://schemas.openxmlformats.org/package/2006/metadata/core-properties"/>
    <ds:schemaRef ds:uri="http://purl.org/dc/terms/"/>
    <ds:schemaRef ds:uri="ce530a30-1469-477c-a42f-e412a5d2cfe7"/>
    <ds:schemaRef ds:uri="http://schemas.microsoft.com/office/2006/documentManagement/types"/>
    <ds:schemaRef ds:uri="d0dfa800-9ef0-44cb-8a12-633e29de1e0b"/>
    <ds:schemaRef ds:uri="http://schemas.microsoft.com/office/2006/metadata/properties"/>
    <ds:schemaRef ds:uri="http://purl.org/dc/elements/1.1/"/>
    <ds:schemaRef ds:uri="http://schemas.microsoft.com/sharepoint/v3"/>
    <ds:schemaRef ds:uri="http://schemas.microsoft.com/office/infopath/2007/PartnerControls"/>
    <ds:schemaRef ds:uri="e771ab56-0c5d-40e7-b080-2686d2b89623"/>
    <ds:schemaRef ds:uri="http://www.w3.org/XML/1998/namespace"/>
    <ds:schemaRef ds:uri="http://purl.org/dc/dcmitype/"/>
  </ds:schemaRefs>
</ds:datastoreItem>
</file>

<file path=customXml/itemProps3.xml><?xml version="1.0" encoding="utf-8"?>
<ds:datastoreItem xmlns:ds="http://schemas.openxmlformats.org/officeDocument/2006/customXml" ds:itemID="{477D8555-2E88-4B74-B6C7-C88703B38E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0dfa800-9ef0-44cb-8a12-633e29de1e0b"/>
    <ds:schemaRef ds:uri="e771ab56-0c5d-40e7-b080-2686d2b89623"/>
    <ds:schemaRef ds:uri="ce530a30-1469-477c-a42f-e412a5d2cf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795B37-885C-443D-8CBB-B85A3D664DD3}">
  <ds:schemaRefs>
    <ds:schemaRef ds:uri="http://schemas.microsoft.com/sharepoint/events"/>
  </ds:schemaRefs>
</ds:datastoreItem>
</file>

<file path=customXml/itemProps5.xml><?xml version="1.0" encoding="utf-8"?>
<ds:datastoreItem xmlns:ds="http://schemas.openxmlformats.org/officeDocument/2006/customXml" ds:itemID="{0ECE616E-6ED4-490E-8C9F-3188270FB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47</Pages>
  <Words>11519</Words>
  <Characters>62664</Characters>
  <Application>Microsoft Office Word</Application>
  <DocSecurity>0</DocSecurity>
  <Lines>1182</Lines>
  <Paragraphs>518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Empowered to switch: A partnership to improve the Energy Made Easy comparison website (online)</dc:title>
  <dc:subject/>
  <dc:creator>Falez, Anton</dc:creator>
  <cp:keywords/>
  <dc:description/>
  <cp:lastModifiedBy>Lipapis, Sia</cp:lastModifiedBy>
  <cp:revision>3</cp:revision>
  <dcterms:created xsi:type="dcterms:W3CDTF">2025-07-25T04:14:00Z</dcterms:created>
  <dcterms:modified xsi:type="dcterms:W3CDTF">2025-07-29T01:55:00Z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0x0101004F285619428CBE4886618267E9F1076D</vt:lpwstr>
  </property>
  <property fmtid="{D5CDD505-2E9C-101B-9397-08002B2CF9AE}" pid="3" name="HPRMSecurityLevel">
    <vt:lpwstr>39;#OFFICIAL|11463c70-78df-4e3b-b0ff-f66cd3cb26ec</vt:lpwstr>
  </property>
  <property fmtid="{D5CDD505-2E9C-101B-9397-08002B2CF9AE}" pid="4" name="HPRMSecurityCaveat">
    <vt:lpwstr/>
  </property>
  <property fmtid="{D5CDD505-2E9C-101B-9397-08002B2CF9AE}" pid="5" name="ESearchTags">
    <vt:lpwstr>21;#Election|4090d51f-fccc-4f41-80dd-86270166a8a3;#12;#Cabinet|84cba657-17c1-4642-9e59-a0df180c2be5</vt:lpwstr>
  </property>
  <property fmtid="{D5CDD505-2E9C-101B-9397-08002B2CF9AE}" pid="6" name="PMC.ESearch.TagGeneratedTime">
    <vt:lpwstr>2023-02-24T12:02:24</vt:lpwstr>
  </property>
  <property fmtid="{D5CDD505-2E9C-101B-9397-08002B2CF9AE}" pid="7" name="TaxKeyword">
    <vt:lpwstr/>
  </property>
  <property fmtid="{D5CDD505-2E9C-101B-9397-08002B2CF9AE}" pid="8" name="FolderID">
    <vt:lpwstr/>
  </property>
  <property fmtid="{D5CDD505-2E9C-101B-9397-08002B2CF9AE}" pid="9" name="xd_ProgID">
    <vt:lpwstr/>
  </property>
  <property fmtid="{D5CDD505-2E9C-101B-9397-08002B2CF9AE}" pid="10" name="MediaServiceImageTags">
    <vt:lpwstr/>
  </property>
  <property fmtid="{D5CDD505-2E9C-101B-9397-08002B2CF9AE}" pid="11" name="SecurityClassification">
    <vt:lpwstr>4;#OFFICIAL|9e0ec9cb-4e7f-4d4a-bd32-1ee7525c6d87</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TriggerFlowInfo">
    <vt:lpwstr/>
  </property>
  <property fmtid="{D5CDD505-2E9C-101B-9397-08002B2CF9AE}" pid="16" name="xd_Signature">
    <vt:bool>false</vt:bool>
  </property>
  <property fmtid="{D5CDD505-2E9C-101B-9397-08002B2CF9AE}" pid="17" name="GUID">
    <vt:lpwstr>f7d066e0-a977-471b-ac03-eb512b472a0b</vt:lpwstr>
  </property>
  <property fmtid="{D5CDD505-2E9C-101B-9397-08002B2CF9AE}" pid="18" name="SharedWithUsers">
    <vt:lpwstr>7214;#Chen, Ruisi</vt:lpwstr>
  </property>
  <property fmtid="{D5CDD505-2E9C-101B-9397-08002B2CF9AE}" pid="19" name="InformationMarker">
    <vt:lpwstr/>
  </property>
  <property fmtid="{D5CDD505-2E9C-101B-9397-08002B2CF9AE}" pid="20" name="NonRecordJustification">
    <vt:lpwstr/>
  </property>
  <property fmtid="{D5CDD505-2E9C-101B-9397-08002B2CF9AE}" pid="21" name="PMCNotes">
    <vt:lpwstr/>
  </property>
  <property fmtid="{D5CDD505-2E9C-101B-9397-08002B2CF9AE}" pid="22" name="jd1c641577414dfdab1686c9d5d0dbd0">
    <vt:lpwstr/>
  </property>
  <property fmtid="{D5CDD505-2E9C-101B-9397-08002B2CF9AE}" pid="23" name="_dlc_DocIdItemGuid">
    <vt:lpwstr>0a0af52e-9bff-4198-acea-4e3d0e1768af</vt:lpwstr>
  </property>
</Properties>
</file>